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Default Extension="jpeg" ContentType="image/jpeg"/>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4"/>
          <w:szCs w:val="14"/>
        </w:rPr>
      </w:pPr>
    </w:p>
    <w:p>
      <w:pPr>
        <w:spacing w:line="2700" w:lineRule="exact"/>
        <w:ind w:left="86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3"/>
          <w:sz w:val="20"/>
          <w:szCs w:val="20"/>
        </w:rPr>
        <w:drawing>
          <wp:inline distT="0" distB="0" distL="0" distR="0">
            <wp:extent cx="5485764" cy="1714500"/>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5485764" cy="1714500"/>
                    </a:xfrm>
                    <a:prstGeom prst="rect">
                      <a:avLst/>
                    </a:prstGeom>
                  </pic:spPr>
                </pic:pic>
              </a:graphicData>
            </a:graphic>
          </wp:inline>
        </w:drawing>
      </w:r>
      <w:r>
        <w:rPr>
          <w:rFonts w:ascii="Times New Roman" w:hAnsi="Times New Roman" w:cs="Times New Roman" w:eastAsia="Times New Roman" w:hint="default"/>
          <w:position w:val="-53"/>
          <w:sz w:val="20"/>
          <w:szCs w:val="20"/>
        </w:rPr>
      </w:r>
    </w:p>
    <w:p>
      <w:pPr>
        <w:spacing w:line="240" w:lineRule="auto" w:before="0"/>
        <w:rPr>
          <w:rFonts w:ascii="Times New Roman" w:hAnsi="Times New Roman" w:cs="Times New Roman" w:eastAsia="Times New Roman" w:hint="default"/>
          <w:sz w:val="20"/>
          <w:szCs w:val="20"/>
        </w:rPr>
      </w:pPr>
    </w:p>
    <w:p>
      <w:pPr>
        <w:spacing w:before="119"/>
        <w:ind w:left="3270" w:right="4249"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3270" w:right="4246"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2016</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本公司董事会、监事会及董事、监事、高级管理人员保证年度报告内容的</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真实、准确、完整，不存在虚假记载、误导性陈述或重大遗漏，并承担个别和</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386" w:lineRule="auto" w:before="161"/>
        <w:ind w:left="153"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公司负责人赵福君、主管会计工作负责人邱安超及会计机构负责人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马巧红声明：保证年度报告中财务报告的真实、准确、完整。</w:t>
      </w:r>
      <w:r>
        <w:rPr>
          <w:rFonts w:ascii="宋体" w:hAnsi="宋体" w:cs="宋体" w:eastAsia="宋体" w:hint="default"/>
          <w:sz w:val="28"/>
          <w:szCs w:val="28"/>
        </w:rPr>
      </w:r>
    </w:p>
    <w:p>
      <w:pPr>
        <w:spacing w:line="472" w:lineRule="auto" w:before="147"/>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本报告中涉及的对公司未来年度计划及发展规划等前瞻性陈述，不构成公</w:t>
      </w:r>
      <w:r>
        <w:rPr>
          <w:rFonts w:ascii="宋体" w:hAnsi="宋体" w:cs="宋体" w:eastAsia="宋体" w:hint="default"/>
          <w:spacing w:val="3"/>
          <w:sz w:val="28"/>
          <w:szCs w:val="28"/>
        </w:rPr>
      </w:r>
    </w:p>
    <w:p>
      <w:pPr>
        <w:spacing w:line="475" w:lineRule="auto" w:before="0"/>
        <w:ind w:left="715" w:right="0" w:hanging="562"/>
        <w:jc w:val="left"/>
        <w:rPr>
          <w:rFonts w:ascii="宋体" w:hAnsi="宋体" w:cs="宋体" w:eastAsia="宋体" w:hint="default"/>
          <w:sz w:val="28"/>
          <w:szCs w:val="28"/>
        </w:rPr>
      </w:pPr>
      <w:r>
        <w:rPr>
          <w:rFonts w:ascii="宋体" w:hAnsi="宋体" w:cs="宋体" w:eastAsia="宋体" w:hint="default"/>
          <w:b/>
          <w:bCs/>
          <w:sz w:val="28"/>
          <w:szCs w:val="28"/>
        </w:rPr>
        <w:t>司对投资者的实质承诺，请投资者注意投资风险。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公司当前暂不存在重大经营风险，但不排除因下述风险事项影响公司的日</w:t>
      </w:r>
      <w:r>
        <w:rPr>
          <w:rFonts w:ascii="宋体" w:hAnsi="宋体" w:cs="宋体" w:eastAsia="宋体" w:hint="default"/>
          <w:spacing w:val="3"/>
          <w:sz w:val="28"/>
          <w:szCs w:val="28"/>
        </w:rPr>
      </w:r>
    </w:p>
    <w:p>
      <w:pPr>
        <w:spacing w:line="351" w:lineRule="exact" w:before="0"/>
        <w:ind w:left="153" w:right="0" w:firstLine="0"/>
        <w:jc w:val="both"/>
        <w:rPr>
          <w:rFonts w:ascii="宋体" w:hAnsi="宋体" w:cs="宋体" w:eastAsia="宋体" w:hint="default"/>
          <w:sz w:val="28"/>
          <w:szCs w:val="28"/>
        </w:rPr>
      </w:pPr>
      <w:r>
        <w:rPr>
          <w:rFonts w:ascii="宋体" w:hAnsi="宋体" w:cs="宋体" w:eastAsia="宋体" w:hint="default"/>
          <w:b/>
          <w:bCs/>
          <w:sz w:val="28"/>
          <w:szCs w:val="28"/>
        </w:rPr>
        <w:t>常经营成果，敬请广大投资者注意投资风险。</w:t>
      </w:r>
      <w:r>
        <w:rPr>
          <w:rFonts w:ascii="宋体" w:hAnsi="宋体" w:cs="宋体" w:eastAsia="宋体" w:hint="default"/>
          <w:sz w:val="28"/>
          <w:szCs w:val="28"/>
        </w:rPr>
      </w:r>
    </w:p>
    <w:p>
      <w:pPr>
        <w:spacing w:line="240" w:lineRule="auto" w:before="4"/>
        <w:rPr>
          <w:rFonts w:ascii="宋体" w:hAnsi="宋体" w:cs="宋体" w:eastAsia="宋体" w:hint="default"/>
          <w:b/>
          <w:bCs/>
          <w:sz w:val="27"/>
          <w:szCs w:val="27"/>
        </w:rPr>
      </w:pPr>
    </w:p>
    <w:p>
      <w:pPr>
        <w:spacing w:line="472" w:lineRule="auto" w:before="0"/>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一、业绩季节性波动风险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目前公司收入主要来源于管理软件、数字营销和数字视讯三大类业务。由</w:t>
      </w:r>
      <w:r>
        <w:rPr>
          <w:rFonts w:ascii="宋体" w:hAnsi="宋体" w:cs="宋体" w:eastAsia="宋体" w:hint="default"/>
          <w:spacing w:val="3"/>
          <w:sz w:val="28"/>
          <w:szCs w:val="28"/>
        </w:rPr>
      </w:r>
    </w:p>
    <w:p>
      <w:pPr>
        <w:spacing w:line="408" w:lineRule="auto" w:before="0"/>
        <w:ind w:left="153" w:right="1136"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于管理软件和数字视讯业务服务的客户群体主要为政府部门和大型企事业单位</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等，该类用户大多执行较为严格的财务预算和支出管理制度，通常在年初确定</w:t>
      </w:r>
      <w:r>
        <w:rPr>
          <w:rFonts w:ascii="宋体" w:hAnsi="宋体" w:cs="宋体" w:eastAsia="宋体" w:hint="default"/>
          <w:b/>
          <w:bCs/>
          <w:spacing w:val="31"/>
          <w:w w:val="95"/>
          <w:sz w:val="28"/>
          <w:szCs w:val="28"/>
        </w:rPr>
        <w:t> </w:t>
      </w:r>
      <w:r>
        <w:rPr>
          <w:rFonts w:ascii="宋体" w:hAnsi="宋体" w:cs="宋体" w:eastAsia="宋体" w:hint="default"/>
          <w:b/>
          <w:bCs/>
          <w:spacing w:val="31"/>
          <w:w w:val="95"/>
          <w:sz w:val="28"/>
          <w:szCs w:val="28"/>
        </w:rPr>
      </w:r>
      <w:r>
        <w:rPr>
          <w:rFonts w:ascii="宋体" w:hAnsi="宋体" w:cs="宋体" w:eastAsia="宋体" w:hint="default"/>
          <w:b/>
          <w:bCs/>
          <w:spacing w:val="3"/>
          <w:w w:val="95"/>
          <w:sz w:val="28"/>
          <w:szCs w:val="28"/>
        </w:rPr>
        <w:t>项目规划及支出安排，在下半年完成项目招标或项目验收相关工作，因此，公</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司实现收入及盈利的高峰期通常在每年的第三和第四季度，存在一定季节性波</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动风险。但数字营销业务受业绩季节性因素影响相对较小，从一定程度上能够</w:t>
      </w:r>
      <w:r>
        <w:rPr>
          <w:rFonts w:ascii="宋体" w:hAnsi="宋体" w:cs="宋体" w:eastAsia="宋体" w:hint="default"/>
          <w:b/>
          <w:bCs/>
          <w:spacing w:val="29"/>
          <w:w w:val="95"/>
          <w:sz w:val="28"/>
          <w:szCs w:val="28"/>
        </w:rPr>
        <w:t> </w:t>
      </w:r>
      <w:r>
        <w:rPr>
          <w:rFonts w:ascii="宋体" w:hAnsi="宋体" w:cs="宋体" w:eastAsia="宋体" w:hint="default"/>
          <w:b/>
          <w:bCs/>
          <w:spacing w:val="29"/>
          <w:w w:val="95"/>
          <w:sz w:val="28"/>
          <w:szCs w:val="28"/>
        </w:rPr>
      </w:r>
      <w:r>
        <w:rPr>
          <w:rFonts w:ascii="宋体" w:hAnsi="宋体" w:cs="宋体" w:eastAsia="宋体" w:hint="default"/>
          <w:b/>
          <w:bCs/>
          <w:sz w:val="28"/>
          <w:szCs w:val="28"/>
        </w:rPr>
        <w:t>缓解公司业绩季节性波动的不利影响。</w:t>
      </w:r>
      <w:r>
        <w:rPr>
          <w:rFonts w:ascii="宋体" w:hAnsi="宋体" w:cs="宋体" w:eastAsia="宋体" w:hint="default"/>
          <w:sz w:val="28"/>
          <w:szCs w:val="28"/>
        </w:rPr>
      </w:r>
    </w:p>
    <w:p>
      <w:pPr>
        <w:spacing w:before="162"/>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二、新业务发展风险</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b/>
          <w:bCs/>
          <w:sz w:val="29"/>
          <w:szCs w:val="29"/>
        </w:rPr>
      </w:pPr>
    </w:p>
    <w:p>
      <w:pPr>
        <w:spacing w:line="408" w:lineRule="auto" w:before="13"/>
        <w:ind w:left="153" w:right="0" w:firstLine="562"/>
        <w:jc w:val="left"/>
        <w:rPr>
          <w:rFonts w:ascii="宋体" w:hAnsi="宋体" w:cs="宋体" w:eastAsia="宋体" w:hint="default"/>
          <w:sz w:val="28"/>
          <w:szCs w:val="28"/>
        </w:rPr>
      </w:pPr>
      <w:r>
        <w:rPr>
          <w:rFonts w:ascii="宋体" w:hAnsi="宋体" w:cs="宋体" w:eastAsia="宋体" w:hint="default"/>
          <w:b/>
          <w:bCs/>
          <w:spacing w:val="-2"/>
          <w:w w:val="95"/>
          <w:sz w:val="28"/>
          <w:szCs w:val="28"/>
        </w:rPr>
        <w:t>为把握产业发展机遇，实现战略转型升级，公司近年来积极开展业务布局，</w:t>
      </w:r>
      <w:r>
        <w:rPr>
          <w:rFonts w:ascii="宋体" w:hAnsi="宋体" w:cs="宋体" w:eastAsia="宋体" w:hint="default"/>
          <w:b/>
          <w:bCs/>
          <w:w w:val="99"/>
          <w:sz w:val="28"/>
          <w:szCs w:val="28"/>
        </w:rPr>
        <w:t> </w:t>
      </w:r>
      <w:r>
        <w:rPr>
          <w:rFonts w:ascii="宋体" w:hAnsi="宋体" w:cs="宋体" w:eastAsia="宋体" w:hint="default"/>
          <w:b/>
          <w:bCs/>
          <w:spacing w:val="3"/>
          <w:sz w:val="28"/>
          <w:szCs w:val="28"/>
        </w:rPr>
        <w:t>在技术研发、商业模式、市场资源等方面探求传统产业与移动互联、大数据等</w:t>
      </w:r>
      <w:r>
        <w:rPr>
          <w:rFonts w:ascii="宋体" w:hAnsi="宋体" w:cs="宋体" w:eastAsia="宋体" w:hint="default"/>
          <w:b/>
          <w:bCs/>
          <w:w w:val="99"/>
          <w:sz w:val="28"/>
          <w:szCs w:val="28"/>
        </w:rPr>
        <w:t> </w:t>
      </w:r>
      <w:r>
        <w:rPr>
          <w:rFonts w:ascii="宋体" w:hAnsi="宋体" w:cs="宋体" w:eastAsia="宋体" w:hint="default"/>
          <w:b/>
          <w:bCs/>
          <w:spacing w:val="3"/>
          <w:sz w:val="28"/>
          <w:szCs w:val="28"/>
        </w:rPr>
        <w:t>新兴产业之间的融合与创新。通过自主孵化和投资并购的方式扩充业务范围，</w:t>
      </w:r>
      <w:r>
        <w:rPr>
          <w:rFonts w:ascii="宋体" w:hAnsi="宋体" w:cs="宋体" w:eastAsia="宋体" w:hint="default"/>
          <w:b/>
          <w:bCs/>
          <w:w w:val="99"/>
          <w:sz w:val="28"/>
          <w:szCs w:val="28"/>
        </w:rPr>
        <w:t> </w:t>
      </w:r>
      <w:r>
        <w:rPr>
          <w:rFonts w:ascii="宋体" w:hAnsi="宋体" w:cs="宋体" w:eastAsia="宋体" w:hint="default"/>
          <w:b/>
          <w:bCs/>
          <w:spacing w:val="3"/>
          <w:sz w:val="28"/>
          <w:szCs w:val="28"/>
        </w:rPr>
        <w:t>加大产业投资力度，完善产品与解决方案体系，打造业务生态。然而，信息技</w:t>
      </w:r>
      <w:r>
        <w:rPr>
          <w:rFonts w:ascii="宋体" w:hAnsi="宋体" w:cs="宋体" w:eastAsia="宋体" w:hint="default"/>
          <w:b/>
          <w:bCs/>
          <w:w w:val="99"/>
          <w:sz w:val="28"/>
          <w:szCs w:val="28"/>
        </w:rPr>
        <w:t> </w:t>
      </w:r>
      <w:r>
        <w:rPr>
          <w:rFonts w:ascii="宋体" w:hAnsi="宋体" w:cs="宋体" w:eastAsia="宋体" w:hint="default"/>
          <w:b/>
          <w:bCs/>
          <w:spacing w:val="3"/>
          <w:sz w:val="28"/>
          <w:szCs w:val="28"/>
        </w:rPr>
        <w:t>术行业发展日新月异，市场竞争日趋白热化，公司各项新业务在技术与市场上</w:t>
      </w:r>
      <w:r>
        <w:rPr>
          <w:rFonts w:ascii="宋体" w:hAnsi="宋体" w:cs="宋体" w:eastAsia="宋体" w:hint="default"/>
          <w:b/>
          <w:bCs/>
          <w:w w:val="99"/>
          <w:sz w:val="28"/>
          <w:szCs w:val="28"/>
        </w:rPr>
        <w:t> </w:t>
      </w:r>
      <w:r>
        <w:rPr>
          <w:rFonts w:ascii="宋体" w:hAnsi="宋体" w:cs="宋体" w:eastAsia="宋体" w:hint="default"/>
          <w:b/>
          <w:bCs/>
          <w:spacing w:val="3"/>
          <w:sz w:val="28"/>
          <w:szCs w:val="28"/>
        </w:rPr>
        <w:t>能否保持先进性，并在较短的时间周期内抢占市场资源、树立优势地位，从而</w:t>
      </w:r>
      <w:r>
        <w:rPr>
          <w:rFonts w:ascii="宋体" w:hAnsi="宋体" w:cs="宋体" w:eastAsia="宋体" w:hint="default"/>
          <w:b/>
          <w:bCs/>
          <w:w w:val="99"/>
          <w:sz w:val="28"/>
          <w:szCs w:val="28"/>
        </w:rPr>
        <w:t> </w:t>
      </w:r>
      <w:r>
        <w:rPr>
          <w:rFonts w:ascii="宋体" w:hAnsi="宋体" w:cs="宋体" w:eastAsia="宋体" w:hint="default"/>
          <w:b/>
          <w:bCs/>
          <w:sz w:val="28"/>
          <w:szCs w:val="28"/>
        </w:rPr>
        <w:t>构成公司新的利润增长点仍存在不确定性。</w:t>
      </w:r>
      <w:r>
        <w:rPr>
          <w:rFonts w:ascii="宋体" w:hAnsi="宋体" w:cs="宋体" w:eastAsia="宋体" w:hint="default"/>
          <w:sz w:val="28"/>
          <w:szCs w:val="28"/>
        </w:rPr>
      </w:r>
    </w:p>
    <w:p>
      <w:pPr>
        <w:spacing w:line="472" w:lineRule="auto" w:before="161"/>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三、并购效益未达预期风险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公司将继续坚持内生式增长与外延式发展相结合的发展战略，并购作为外</w:t>
      </w:r>
      <w:r>
        <w:rPr>
          <w:rFonts w:ascii="宋体" w:hAnsi="宋体" w:cs="宋体" w:eastAsia="宋体" w:hint="default"/>
          <w:spacing w:val="3"/>
          <w:sz w:val="28"/>
          <w:szCs w:val="28"/>
        </w:rPr>
      </w:r>
    </w:p>
    <w:p>
      <w:pPr>
        <w:spacing w:line="408" w:lineRule="auto" w:before="0"/>
        <w:ind w:left="153" w:right="0" w:firstLine="0"/>
        <w:jc w:val="left"/>
        <w:rPr>
          <w:rFonts w:ascii="宋体" w:hAnsi="宋体" w:cs="宋体" w:eastAsia="宋体" w:hint="default"/>
          <w:sz w:val="28"/>
          <w:szCs w:val="28"/>
        </w:rPr>
      </w:pPr>
      <w:r>
        <w:rPr>
          <w:rFonts w:ascii="宋体" w:hAnsi="宋体" w:cs="宋体" w:eastAsia="宋体" w:hint="default"/>
          <w:b/>
          <w:bCs/>
          <w:spacing w:val="3"/>
          <w:sz w:val="28"/>
          <w:szCs w:val="28"/>
        </w:rPr>
        <w:t>延式发展的主要方式，其对提升公司整体资产规模以及盈利能力发挥着重要作</w:t>
      </w:r>
      <w:r>
        <w:rPr>
          <w:rFonts w:ascii="宋体" w:hAnsi="宋体" w:cs="宋体" w:eastAsia="宋体" w:hint="default"/>
          <w:b/>
          <w:bCs/>
          <w:w w:val="99"/>
          <w:sz w:val="28"/>
          <w:szCs w:val="28"/>
        </w:rPr>
        <w:t> </w:t>
      </w:r>
      <w:r>
        <w:rPr>
          <w:rFonts w:ascii="宋体" w:hAnsi="宋体" w:cs="宋体" w:eastAsia="宋体" w:hint="default"/>
          <w:b/>
          <w:bCs/>
          <w:spacing w:val="3"/>
          <w:sz w:val="28"/>
          <w:szCs w:val="28"/>
        </w:rPr>
        <w:t>用，但被并购企业因面临着宏观经济、行业政策、市场竞争、技术研发等经营</w:t>
      </w:r>
      <w:r>
        <w:rPr>
          <w:rFonts w:ascii="宋体" w:hAnsi="宋体" w:cs="宋体" w:eastAsia="宋体" w:hint="default"/>
          <w:b/>
          <w:bCs/>
          <w:w w:val="99"/>
          <w:sz w:val="28"/>
          <w:szCs w:val="28"/>
        </w:rPr>
        <w:t> </w:t>
      </w:r>
      <w:r>
        <w:rPr>
          <w:rFonts w:ascii="宋体" w:hAnsi="宋体" w:cs="宋体" w:eastAsia="宋体" w:hint="default"/>
          <w:b/>
          <w:bCs/>
          <w:spacing w:val="-2"/>
          <w:w w:val="95"/>
          <w:sz w:val="28"/>
          <w:szCs w:val="28"/>
        </w:rPr>
        <w:t>管理风险，或将出现承诺业绩不达标的情况，从而影响上市公司整体经营业绩。</w:t>
      </w:r>
      <w:r>
        <w:rPr>
          <w:rFonts w:ascii="宋体" w:hAnsi="宋体" w:cs="宋体" w:eastAsia="宋体" w:hint="default"/>
          <w:b/>
          <w:bCs/>
          <w:spacing w:val="64"/>
          <w:w w:val="95"/>
          <w:sz w:val="28"/>
          <w:szCs w:val="28"/>
        </w:rPr>
        <w:t> </w:t>
      </w:r>
      <w:r>
        <w:rPr>
          <w:rFonts w:ascii="宋体" w:hAnsi="宋体" w:cs="宋体" w:eastAsia="宋体" w:hint="default"/>
          <w:b/>
          <w:bCs/>
          <w:spacing w:val="64"/>
          <w:w w:val="95"/>
          <w:sz w:val="28"/>
          <w:szCs w:val="28"/>
        </w:rPr>
      </w:r>
      <w:r>
        <w:rPr>
          <w:rFonts w:ascii="宋体" w:hAnsi="宋体" w:cs="宋体" w:eastAsia="宋体" w:hint="default"/>
          <w:b/>
          <w:bCs/>
          <w:spacing w:val="3"/>
          <w:sz w:val="28"/>
          <w:szCs w:val="28"/>
        </w:rPr>
        <w:t>公司将加强对被并购企业在财务管理、客户管理、资源统筹、业务拓展等方面</w:t>
      </w:r>
      <w:r>
        <w:rPr>
          <w:rFonts w:ascii="宋体" w:hAnsi="宋体" w:cs="宋体" w:eastAsia="宋体" w:hint="default"/>
          <w:b/>
          <w:bCs/>
          <w:w w:val="99"/>
          <w:sz w:val="28"/>
          <w:szCs w:val="28"/>
        </w:rPr>
        <w:t> </w:t>
      </w:r>
      <w:r>
        <w:rPr>
          <w:rFonts w:ascii="宋体" w:hAnsi="宋体" w:cs="宋体" w:eastAsia="宋体" w:hint="default"/>
          <w:b/>
          <w:bCs/>
          <w:spacing w:val="3"/>
          <w:sz w:val="28"/>
          <w:szCs w:val="28"/>
        </w:rPr>
        <w:t>的融合，从而发挥整合协同效应，为被并购企业的稳定经营与持续发展奠定良</w:t>
      </w:r>
      <w:r>
        <w:rPr>
          <w:rFonts w:ascii="宋体" w:hAnsi="宋体" w:cs="宋体" w:eastAsia="宋体" w:hint="default"/>
          <w:b/>
          <w:bCs/>
          <w:w w:val="99"/>
          <w:sz w:val="28"/>
          <w:szCs w:val="28"/>
        </w:rPr>
        <w:t> </w:t>
      </w:r>
      <w:r>
        <w:rPr>
          <w:rFonts w:ascii="宋体" w:hAnsi="宋体" w:cs="宋体" w:eastAsia="宋体" w:hint="default"/>
          <w:b/>
          <w:bCs/>
          <w:sz w:val="28"/>
          <w:szCs w:val="28"/>
        </w:rPr>
        <w:t>好的基础。</w:t>
      </w:r>
      <w:r>
        <w:rPr>
          <w:rFonts w:ascii="宋体" w:hAnsi="宋体" w:cs="宋体" w:eastAsia="宋体" w:hint="default"/>
          <w:sz w:val="28"/>
          <w:szCs w:val="28"/>
        </w:rPr>
      </w:r>
    </w:p>
    <w:p>
      <w:pPr>
        <w:spacing w:before="161"/>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四、商誉减值风险</w:t>
      </w:r>
      <w:r>
        <w:rPr>
          <w:rFonts w:ascii="宋体" w:hAnsi="宋体" w:cs="宋体" w:eastAsia="宋体" w:hint="default"/>
          <w:sz w:val="28"/>
          <w:szCs w:val="28"/>
        </w:rPr>
      </w:r>
    </w:p>
    <w:p>
      <w:pPr>
        <w:spacing w:line="240" w:lineRule="auto" w:before="3"/>
        <w:rPr>
          <w:rFonts w:ascii="宋体" w:hAnsi="宋体" w:cs="宋体" w:eastAsia="宋体" w:hint="default"/>
          <w:b/>
          <w:bCs/>
          <w:sz w:val="27"/>
          <w:szCs w:val="27"/>
        </w:rPr>
      </w:pPr>
    </w:p>
    <w:p>
      <w:pPr>
        <w:spacing w:line="403" w:lineRule="auto" w:before="0"/>
        <w:ind w:left="153" w:right="0" w:firstLine="562"/>
        <w:jc w:val="left"/>
        <w:rPr>
          <w:rFonts w:ascii="宋体" w:hAnsi="宋体" w:cs="宋体" w:eastAsia="宋体" w:hint="default"/>
          <w:sz w:val="28"/>
          <w:szCs w:val="28"/>
        </w:rPr>
      </w:pPr>
      <w:r>
        <w:rPr>
          <w:rFonts w:ascii="宋体" w:hAnsi="宋体" w:cs="宋体" w:eastAsia="宋体" w:hint="default"/>
          <w:b/>
          <w:bCs/>
          <w:sz w:val="28"/>
          <w:szCs w:val="28"/>
        </w:rPr>
        <w:t>截至报告期末，公司因投资并购形成的商誉总额为</w:t>
      </w:r>
      <w:r>
        <w:rPr>
          <w:rFonts w:ascii="宋体" w:hAnsi="宋体" w:cs="宋体" w:eastAsia="宋体" w:hint="default"/>
          <w:b/>
          <w:bCs/>
          <w:spacing w:val="-78"/>
          <w:sz w:val="28"/>
          <w:szCs w:val="28"/>
        </w:rPr>
        <w:t> </w:t>
      </w:r>
      <w:r>
        <w:rPr>
          <w:rFonts w:ascii="Times New Roman" w:hAnsi="Times New Roman" w:cs="Times New Roman" w:eastAsia="Times New Roman" w:hint="default"/>
          <w:b/>
          <w:bCs/>
          <w:sz w:val="28"/>
          <w:szCs w:val="28"/>
        </w:rPr>
        <w:t>85,610.99</w:t>
      </w:r>
      <w:r>
        <w:rPr>
          <w:rFonts w:ascii="Times New Roman" w:hAnsi="Times New Roman" w:cs="Times New Roman" w:eastAsia="Times New Roman" w:hint="default"/>
          <w:b/>
          <w:bCs/>
          <w:spacing w:val="-12"/>
          <w:sz w:val="28"/>
          <w:szCs w:val="28"/>
        </w:rPr>
        <w:t> </w:t>
      </w:r>
      <w:r>
        <w:rPr>
          <w:rFonts w:ascii="宋体" w:hAnsi="宋体" w:cs="宋体" w:eastAsia="宋体" w:hint="default"/>
          <w:b/>
          <w:bCs/>
          <w:spacing w:val="-5"/>
          <w:sz w:val="28"/>
          <w:szCs w:val="28"/>
        </w:rPr>
        <w:t>万元。如果被</w:t>
      </w:r>
      <w:r>
        <w:rPr>
          <w:rFonts w:ascii="宋体" w:hAnsi="宋体" w:cs="宋体" w:eastAsia="宋体" w:hint="default"/>
          <w:b/>
          <w:bCs/>
          <w:w w:val="99"/>
          <w:sz w:val="28"/>
          <w:szCs w:val="28"/>
        </w:rPr>
        <w:t> </w:t>
      </w:r>
      <w:r>
        <w:rPr>
          <w:rFonts w:ascii="宋体" w:hAnsi="宋体" w:cs="宋体" w:eastAsia="宋体" w:hint="default"/>
          <w:b/>
          <w:bCs/>
          <w:spacing w:val="3"/>
          <w:sz w:val="28"/>
          <w:szCs w:val="28"/>
        </w:rPr>
        <w:t>并购企业受到外部经济环境、行业政策的不利影响，或自身技术研发、市场拓</w:t>
      </w:r>
      <w:r>
        <w:rPr>
          <w:rFonts w:ascii="宋体" w:hAnsi="宋体" w:cs="宋体" w:eastAsia="宋体" w:hint="default"/>
          <w:b/>
          <w:bCs/>
          <w:w w:val="99"/>
          <w:sz w:val="28"/>
          <w:szCs w:val="28"/>
        </w:rPr>
        <w:t> </w:t>
      </w:r>
      <w:r>
        <w:rPr>
          <w:rFonts w:ascii="宋体" w:hAnsi="宋体" w:cs="宋体" w:eastAsia="宋体" w:hint="default"/>
          <w:b/>
          <w:bCs/>
          <w:spacing w:val="-2"/>
          <w:w w:val="95"/>
          <w:sz w:val="28"/>
          <w:szCs w:val="28"/>
        </w:rPr>
        <w:t>展、经营管理方面出现问题，导致其经营状况急剧恶化，根据《企业会计准则》</w:t>
      </w:r>
      <w:r>
        <w:rPr>
          <w:rFonts w:ascii="宋体" w:hAnsi="宋体" w:cs="宋体" w:eastAsia="宋体" w:hint="default"/>
          <w:b/>
          <w:bCs/>
          <w:spacing w:val="61"/>
          <w:w w:val="95"/>
          <w:sz w:val="28"/>
          <w:szCs w:val="28"/>
        </w:rPr>
        <w:t> </w:t>
      </w:r>
      <w:r>
        <w:rPr>
          <w:rFonts w:ascii="宋体" w:hAnsi="宋体" w:cs="宋体" w:eastAsia="宋体" w:hint="default"/>
          <w:b/>
          <w:bCs/>
          <w:spacing w:val="61"/>
          <w:w w:val="95"/>
          <w:sz w:val="28"/>
          <w:szCs w:val="28"/>
        </w:rPr>
      </w:r>
      <w:r>
        <w:rPr>
          <w:rFonts w:ascii="宋体" w:hAnsi="宋体" w:cs="宋体" w:eastAsia="宋体" w:hint="default"/>
          <w:b/>
          <w:bCs/>
          <w:spacing w:val="3"/>
          <w:sz w:val="28"/>
          <w:szCs w:val="28"/>
        </w:rPr>
        <w:t>的相关规定，需要对商誉计提减值，将对公司的整体经营业绩造成较为严重的</w:t>
      </w:r>
      <w:r>
        <w:rPr>
          <w:rFonts w:ascii="宋体" w:hAnsi="宋体" w:cs="宋体" w:eastAsia="宋体" w:hint="default"/>
          <w:b/>
          <w:bCs/>
          <w:w w:val="99"/>
          <w:sz w:val="28"/>
          <w:szCs w:val="28"/>
        </w:rPr>
        <w:t> </w:t>
      </w:r>
      <w:r>
        <w:rPr>
          <w:rFonts w:ascii="宋体" w:hAnsi="宋体" w:cs="宋体" w:eastAsia="宋体" w:hint="default"/>
          <w:b/>
          <w:bCs/>
          <w:spacing w:val="3"/>
          <w:sz w:val="28"/>
          <w:szCs w:val="28"/>
        </w:rPr>
        <w:t>影响。为防范商誉减值风险，公司会审慎选择并购对象，并对其核心竞争力、</w:t>
      </w:r>
      <w:r>
        <w:rPr>
          <w:rFonts w:ascii="宋体" w:hAnsi="宋体" w:cs="宋体" w:eastAsia="宋体" w:hint="default"/>
          <w:spacing w:val="3"/>
          <w:sz w:val="28"/>
          <w:szCs w:val="28"/>
        </w:rPr>
      </w:r>
    </w:p>
    <w:p>
      <w:pPr>
        <w:spacing w:after="0" w:line="403" w:lineRule="auto"/>
        <w:jc w:val="left"/>
        <w:rPr>
          <w:rFonts w:ascii="宋体" w:hAnsi="宋体" w:cs="宋体" w:eastAsia="宋体" w:hint="default"/>
          <w:sz w:val="28"/>
          <w:szCs w:val="2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3"/>
          <w:szCs w:val="13"/>
        </w:rPr>
      </w:pPr>
    </w:p>
    <w:p>
      <w:pPr>
        <w:spacing w:line="410" w:lineRule="auto" w:before="13"/>
        <w:ind w:left="153" w:right="1136"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业务模式、行业地位、业绩增长可行性等进行充分的尽职调查与评估，同时加</w:t>
      </w:r>
      <w:r>
        <w:rPr>
          <w:rFonts w:ascii="宋体" w:hAnsi="宋体" w:cs="宋体" w:eastAsia="宋体" w:hint="default"/>
          <w:b/>
          <w:bCs/>
          <w:spacing w:val="31"/>
          <w:w w:val="95"/>
          <w:sz w:val="28"/>
          <w:szCs w:val="28"/>
        </w:rPr>
        <w:t> </w:t>
      </w:r>
      <w:r>
        <w:rPr>
          <w:rFonts w:ascii="宋体" w:hAnsi="宋体" w:cs="宋体" w:eastAsia="宋体" w:hint="default"/>
          <w:b/>
          <w:bCs/>
          <w:spacing w:val="31"/>
          <w:w w:val="95"/>
          <w:sz w:val="28"/>
          <w:szCs w:val="28"/>
        </w:rPr>
      </w:r>
      <w:r>
        <w:rPr>
          <w:rFonts w:ascii="宋体" w:hAnsi="宋体" w:cs="宋体" w:eastAsia="宋体" w:hint="default"/>
          <w:b/>
          <w:bCs/>
          <w:spacing w:val="3"/>
          <w:w w:val="95"/>
          <w:sz w:val="28"/>
          <w:szCs w:val="28"/>
        </w:rPr>
        <w:t>强并购方案中对赌与激励机制的运用，强化被并购企业管理团队的风险意识和</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抵御风险的能力，最大限度地降低商誉减值风险。</w:t>
      </w:r>
      <w:r>
        <w:rPr>
          <w:rFonts w:ascii="宋体" w:hAnsi="宋体" w:cs="宋体" w:eastAsia="宋体" w:hint="default"/>
          <w:sz w:val="28"/>
          <w:szCs w:val="28"/>
        </w:rPr>
      </w:r>
    </w:p>
    <w:p>
      <w:pPr>
        <w:spacing w:line="240" w:lineRule="auto" w:before="0"/>
        <w:rPr>
          <w:rFonts w:ascii="宋体" w:hAnsi="宋体" w:cs="宋体" w:eastAsia="宋体" w:hint="default"/>
          <w:b/>
          <w:bCs/>
          <w:sz w:val="28"/>
          <w:szCs w:val="28"/>
        </w:rPr>
      </w:pPr>
    </w:p>
    <w:p>
      <w:pPr>
        <w:spacing w:line="240" w:lineRule="auto" w:before="5"/>
        <w:rPr>
          <w:rFonts w:ascii="宋体" w:hAnsi="宋体" w:cs="宋体" w:eastAsia="宋体" w:hint="default"/>
          <w:b/>
          <w:bCs/>
          <w:sz w:val="39"/>
          <w:szCs w:val="39"/>
        </w:rPr>
      </w:pPr>
    </w:p>
    <w:p>
      <w:pPr>
        <w:spacing w:before="0"/>
        <w:ind w:left="716" w:right="0" w:firstLine="0"/>
        <w:jc w:val="left"/>
        <w:rPr>
          <w:rFonts w:ascii="宋体" w:hAnsi="宋体" w:cs="宋体" w:eastAsia="宋体" w:hint="default"/>
          <w:sz w:val="28"/>
          <w:szCs w:val="28"/>
        </w:rPr>
      </w:pPr>
      <w:r>
        <w:rPr>
          <w:rFonts w:ascii="宋体" w:hAnsi="宋体" w:cs="宋体" w:eastAsia="宋体" w:hint="default"/>
          <w:b/>
          <w:bCs/>
          <w:spacing w:val="-3"/>
          <w:sz w:val="28"/>
          <w:szCs w:val="28"/>
        </w:rPr>
        <w:t>公司经本次董事会审议通过的利润分配预案为：以</w:t>
      </w:r>
      <w:r>
        <w:rPr>
          <w:rFonts w:ascii="宋体" w:hAnsi="宋体" w:cs="宋体" w:eastAsia="宋体" w:hint="default"/>
          <w:b/>
          <w:bCs/>
          <w:spacing w:val="-67"/>
          <w:sz w:val="28"/>
          <w:szCs w:val="28"/>
        </w:rPr>
        <w:t> </w:t>
      </w:r>
      <w:r>
        <w:rPr>
          <w:rFonts w:ascii="Times New Roman" w:hAnsi="Times New Roman" w:cs="Times New Roman" w:eastAsia="Times New Roman" w:hint="default"/>
          <w:b/>
          <w:bCs/>
          <w:sz w:val="28"/>
          <w:szCs w:val="28"/>
        </w:rPr>
        <w:t>2015</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年</w:t>
      </w:r>
      <w:r>
        <w:rPr>
          <w:rFonts w:ascii="宋体" w:hAnsi="宋体" w:cs="宋体" w:eastAsia="宋体" w:hint="default"/>
          <w:b/>
          <w:bCs/>
          <w:spacing w:val="-73"/>
          <w:sz w:val="28"/>
          <w:szCs w:val="28"/>
        </w:rPr>
        <w:t> </w:t>
      </w:r>
      <w:r>
        <w:rPr>
          <w:rFonts w:ascii="Times New Roman" w:hAnsi="Times New Roman" w:cs="Times New Roman" w:eastAsia="Times New Roman" w:hint="default"/>
          <w:b/>
          <w:bCs/>
          <w:sz w:val="28"/>
          <w:szCs w:val="28"/>
        </w:rPr>
        <w:t>12</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月</w:t>
      </w:r>
      <w:r>
        <w:rPr>
          <w:rFonts w:ascii="宋体" w:hAnsi="宋体" w:cs="宋体" w:eastAsia="宋体" w:hint="default"/>
          <w:b/>
          <w:bCs/>
          <w:spacing w:val="-73"/>
          <w:sz w:val="28"/>
          <w:szCs w:val="28"/>
        </w:rPr>
        <w:t> </w:t>
      </w:r>
      <w:r>
        <w:rPr>
          <w:rFonts w:ascii="Times New Roman" w:hAnsi="Times New Roman" w:cs="Times New Roman" w:eastAsia="Times New Roman" w:hint="default"/>
          <w:b/>
          <w:bCs/>
          <w:sz w:val="28"/>
          <w:szCs w:val="28"/>
        </w:rPr>
        <w:t>31</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日公司</w:t>
      </w:r>
      <w:r>
        <w:rPr>
          <w:rFonts w:ascii="宋体" w:hAnsi="宋体" w:cs="宋体" w:eastAsia="宋体" w:hint="default"/>
          <w:sz w:val="28"/>
          <w:szCs w:val="28"/>
        </w:rPr>
      </w:r>
    </w:p>
    <w:p>
      <w:pPr>
        <w:spacing w:before="236"/>
        <w:ind w:left="153" w:right="0" w:firstLine="0"/>
        <w:jc w:val="both"/>
        <w:rPr>
          <w:rFonts w:ascii="宋体" w:hAnsi="宋体" w:cs="宋体" w:eastAsia="宋体" w:hint="default"/>
          <w:sz w:val="28"/>
          <w:szCs w:val="28"/>
        </w:rPr>
      </w:pPr>
      <w:r>
        <w:rPr>
          <w:rFonts w:ascii="宋体" w:hAnsi="宋体" w:cs="宋体" w:eastAsia="宋体" w:hint="default"/>
          <w:b/>
          <w:bCs/>
          <w:spacing w:val="1"/>
          <w:w w:val="99"/>
          <w:sz w:val="28"/>
          <w:szCs w:val="28"/>
        </w:rPr>
        <w:t>总股</w:t>
      </w:r>
      <w:r>
        <w:rPr>
          <w:rFonts w:ascii="宋体" w:hAnsi="宋体" w:cs="宋体" w:eastAsia="宋体" w:hint="default"/>
          <w:b/>
          <w:bCs/>
          <w:w w:val="99"/>
          <w:sz w:val="28"/>
          <w:szCs w:val="28"/>
        </w:rPr>
        <w:t>本</w:t>
      </w:r>
      <w:r>
        <w:rPr>
          <w:rFonts w:ascii="宋体" w:hAnsi="宋体" w:cs="宋体" w:eastAsia="宋体" w:hint="default"/>
          <w:b/>
          <w:bCs/>
          <w:spacing w:val="-69"/>
          <w:sz w:val="28"/>
          <w:szCs w:val="28"/>
        </w:rPr>
        <w:t> </w:t>
      </w:r>
      <w:r>
        <w:rPr>
          <w:rFonts w:ascii="Times New Roman" w:hAnsi="Times New Roman" w:cs="Times New Roman" w:eastAsia="Times New Roman" w:hint="default"/>
          <w:b/>
          <w:bCs/>
          <w:w w:val="99"/>
          <w:sz w:val="28"/>
          <w:szCs w:val="28"/>
        </w:rPr>
        <w:t>216,596,780</w:t>
      </w:r>
      <w:r>
        <w:rPr>
          <w:rFonts w:ascii="Times New Roman" w:hAnsi="Times New Roman" w:cs="Times New Roman" w:eastAsia="Times New Roman" w:hint="default"/>
          <w:b/>
          <w:bCs/>
          <w:sz w:val="28"/>
          <w:szCs w:val="28"/>
        </w:rPr>
        <w:t> </w:t>
      </w:r>
      <w:r>
        <w:rPr>
          <w:rFonts w:ascii="宋体" w:hAnsi="宋体" w:cs="宋体" w:eastAsia="宋体" w:hint="default"/>
          <w:b/>
          <w:bCs/>
          <w:w w:val="99"/>
          <w:sz w:val="28"/>
          <w:szCs w:val="28"/>
        </w:rPr>
        <w:t>股为基</w:t>
      </w:r>
      <w:r>
        <w:rPr>
          <w:rFonts w:ascii="宋体" w:hAnsi="宋体" w:cs="宋体" w:eastAsia="宋体" w:hint="default"/>
          <w:b/>
          <w:bCs/>
          <w:spacing w:val="2"/>
          <w:w w:val="99"/>
          <w:sz w:val="28"/>
          <w:szCs w:val="28"/>
        </w:rPr>
        <w:t>数</w:t>
      </w:r>
      <w:r>
        <w:rPr>
          <w:rFonts w:ascii="宋体" w:hAnsi="宋体" w:cs="宋体" w:eastAsia="宋体" w:hint="default"/>
          <w:b/>
          <w:bCs/>
          <w:w w:val="99"/>
          <w:sz w:val="28"/>
          <w:szCs w:val="28"/>
        </w:rPr>
        <w:t>，向全</w:t>
      </w:r>
      <w:r>
        <w:rPr>
          <w:rFonts w:ascii="宋体" w:hAnsi="宋体" w:cs="宋体" w:eastAsia="宋体" w:hint="default"/>
          <w:b/>
          <w:bCs/>
          <w:spacing w:val="2"/>
          <w:w w:val="99"/>
          <w:sz w:val="28"/>
          <w:szCs w:val="28"/>
        </w:rPr>
        <w:t>体</w:t>
      </w:r>
      <w:r>
        <w:rPr>
          <w:rFonts w:ascii="宋体" w:hAnsi="宋体" w:cs="宋体" w:eastAsia="宋体" w:hint="default"/>
          <w:b/>
          <w:bCs/>
          <w:w w:val="99"/>
          <w:sz w:val="28"/>
          <w:szCs w:val="28"/>
        </w:rPr>
        <w:t>股东每</w:t>
      </w:r>
      <w:r>
        <w:rPr>
          <w:rFonts w:ascii="宋体" w:hAnsi="宋体" w:cs="宋体" w:eastAsia="宋体" w:hint="default"/>
          <w:b/>
          <w:bCs/>
          <w:spacing w:val="-66"/>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1"/>
          <w:w w:val="99"/>
          <w:sz w:val="28"/>
          <w:szCs w:val="28"/>
        </w:rPr>
        <w:t>股派发现金红</w:t>
      </w:r>
      <w:r>
        <w:rPr>
          <w:rFonts w:ascii="宋体" w:hAnsi="宋体" w:cs="宋体" w:eastAsia="宋体" w:hint="default"/>
          <w:b/>
          <w:bCs/>
          <w:w w:val="99"/>
          <w:sz w:val="28"/>
          <w:szCs w:val="28"/>
        </w:rPr>
        <w:t>利</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1</w:t>
      </w:r>
      <w:r>
        <w:rPr>
          <w:rFonts w:ascii="Times New Roman" w:hAnsi="Times New Roman" w:cs="Times New Roman" w:eastAsia="Times New Roman" w:hint="default"/>
          <w:b/>
          <w:bCs/>
          <w:spacing w:val="1"/>
          <w:sz w:val="28"/>
          <w:szCs w:val="28"/>
        </w:rPr>
        <w:t> </w:t>
      </w:r>
      <w:r>
        <w:rPr>
          <w:rFonts w:ascii="宋体" w:hAnsi="宋体" w:cs="宋体" w:eastAsia="宋体" w:hint="default"/>
          <w:b/>
          <w:bCs/>
          <w:w w:val="99"/>
          <w:sz w:val="28"/>
          <w:szCs w:val="28"/>
        </w:rPr>
        <w:t>元（含税</w:t>
      </w:r>
      <w:r>
        <w:rPr>
          <w:rFonts w:ascii="宋体" w:hAnsi="宋体" w:cs="宋体" w:eastAsia="宋体" w:hint="default"/>
          <w:b/>
          <w:bCs/>
          <w:spacing w:val="-140"/>
          <w:w w:val="99"/>
          <w:sz w:val="28"/>
          <w:szCs w:val="28"/>
        </w:rPr>
        <w:t>）</w:t>
      </w:r>
      <w:r>
        <w:rPr>
          <w:rFonts w:ascii="宋体" w:hAnsi="宋体" w:cs="宋体" w:eastAsia="宋体" w:hint="default"/>
          <w:b/>
          <w:bCs/>
          <w:w w:val="99"/>
          <w:sz w:val="28"/>
          <w:szCs w:val="28"/>
        </w:rPr>
        <w:t>，</w:t>
      </w:r>
      <w:r>
        <w:rPr>
          <w:rFonts w:ascii="宋体" w:hAnsi="宋体" w:cs="宋体" w:eastAsia="宋体" w:hint="default"/>
          <w:sz w:val="28"/>
          <w:szCs w:val="28"/>
        </w:rPr>
      </w:r>
    </w:p>
    <w:p>
      <w:pPr>
        <w:spacing w:before="237"/>
        <w:ind w:left="153" w:right="0" w:firstLine="0"/>
        <w:jc w:val="both"/>
        <w:rPr>
          <w:rFonts w:ascii="宋体" w:hAnsi="宋体" w:cs="宋体" w:eastAsia="宋体" w:hint="default"/>
          <w:sz w:val="28"/>
          <w:szCs w:val="28"/>
        </w:rPr>
      </w:pPr>
      <w:r>
        <w:rPr>
          <w:rFonts w:ascii="宋体" w:hAnsi="宋体" w:cs="宋体" w:eastAsia="宋体" w:hint="default"/>
          <w:b/>
          <w:bCs/>
          <w:spacing w:val="1"/>
          <w:w w:val="99"/>
          <w:sz w:val="28"/>
          <w:szCs w:val="28"/>
        </w:rPr>
        <w:t>送红</w:t>
      </w:r>
      <w:r>
        <w:rPr>
          <w:rFonts w:ascii="宋体" w:hAnsi="宋体" w:cs="宋体" w:eastAsia="宋体" w:hint="default"/>
          <w:b/>
          <w:bCs/>
          <w:w w:val="99"/>
          <w:sz w:val="28"/>
          <w:szCs w:val="28"/>
        </w:rPr>
        <w:t>股</w:t>
      </w:r>
      <w:r>
        <w:rPr>
          <w:rFonts w:ascii="宋体" w:hAnsi="宋体" w:cs="宋体" w:eastAsia="宋体" w:hint="default"/>
          <w:b/>
          <w:bCs/>
          <w:spacing w:val="-69"/>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z w:val="28"/>
          <w:szCs w:val="28"/>
        </w:rPr>
        <w:t> </w:t>
      </w:r>
      <w:r>
        <w:rPr>
          <w:rFonts w:ascii="宋体" w:hAnsi="宋体" w:cs="宋体" w:eastAsia="宋体" w:hint="default"/>
          <w:b/>
          <w:bCs/>
          <w:w w:val="99"/>
          <w:sz w:val="28"/>
          <w:szCs w:val="28"/>
        </w:rPr>
        <w:t>股（含</w:t>
      </w:r>
      <w:r>
        <w:rPr>
          <w:rFonts w:ascii="宋体" w:hAnsi="宋体" w:cs="宋体" w:eastAsia="宋体" w:hint="default"/>
          <w:b/>
          <w:bCs/>
          <w:spacing w:val="2"/>
          <w:w w:val="99"/>
          <w:sz w:val="28"/>
          <w:szCs w:val="28"/>
        </w:rPr>
        <w:t>税</w:t>
      </w:r>
      <w:r>
        <w:rPr>
          <w:rFonts w:ascii="宋体" w:hAnsi="宋体" w:cs="宋体" w:eastAsia="宋体" w:hint="default"/>
          <w:b/>
          <w:bCs/>
          <w:spacing w:val="-140"/>
          <w:w w:val="99"/>
          <w:sz w:val="28"/>
          <w:szCs w:val="28"/>
        </w:rPr>
        <w:t>）</w:t>
      </w:r>
      <w:r>
        <w:rPr>
          <w:rFonts w:ascii="宋体" w:hAnsi="宋体" w:cs="宋体" w:eastAsia="宋体" w:hint="default"/>
          <w:b/>
          <w:bCs/>
          <w:w w:val="99"/>
          <w:sz w:val="28"/>
          <w:szCs w:val="28"/>
        </w:rPr>
        <w:t>，以</w:t>
      </w:r>
      <w:r>
        <w:rPr>
          <w:rFonts w:ascii="宋体" w:hAnsi="宋体" w:cs="宋体" w:eastAsia="宋体" w:hint="default"/>
          <w:b/>
          <w:bCs/>
          <w:spacing w:val="2"/>
          <w:w w:val="99"/>
          <w:sz w:val="28"/>
          <w:szCs w:val="28"/>
        </w:rPr>
        <w:t>资</w:t>
      </w:r>
      <w:r>
        <w:rPr>
          <w:rFonts w:ascii="宋体" w:hAnsi="宋体" w:cs="宋体" w:eastAsia="宋体" w:hint="default"/>
          <w:b/>
          <w:bCs/>
          <w:w w:val="99"/>
          <w:sz w:val="28"/>
          <w:szCs w:val="28"/>
        </w:rPr>
        <w:t>本公积</w:t>
      </w:r>
      <w:r>
        <w:rPr>
          <w:rFonts w:ascii="宋体" w:hAnsi="宋体" w:cs="宋体" w:eastAsia="宋体" w:hint="default"/>
          <w:b/>
          <w:bCs/>
          <w:spacing w:val="2"/>
          <w:w w:val="99"/>
          <w:sz w:val="28"/>
          <w:szCs w:val="28"/>
        </w:rPr>
        <w:t>金</w:t>
      </w:r>
      <w:r>
        <w:rPr>
          <w:rFonts w:ascii="宋体" w:hAnsi="宋体" w:cs="宋体" w:eastAsia="宋体" w:hint="default"/>
          <w:b/>
          <w:bCs/>
          <w:w w:val="99"/>
          <w:sz w:val="28"/>
          <w:szCs w:val="28"/>
        </w:rPr>
        <w:t>向全体</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东每</w:t>
      </w:r>
      <w:r>
        <w:rPr>
          <w:rFonts w:ascii="宋体" w:hAnsi="宋体" w:cs="宋体" w:eastAsia="宋体" w:hint="default"/>
          <w:b/>
          <w:bCs/>
          <w:spacing w:val="-64"/>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z w:val="28"/>
          <w:szCs w:val="28"/>
        </w:rPr>
        <w:t> </w:t>
      </w:r>
      <w:r>
        <w:rPr>
          <w:rFonts w:ascii="宋体" w:hAnsi="宋体" w:cs="宋体" w:eastAsia="宋体" w:hint="default"/>
          <w:b/>
          <w:bCs/>
          <w:spacing w:val="1"/>
          <w:w w:val="99"/>
          <w:sz w:val="28"/>
          <w:szCs w:val="28"/>
        </w:rPr>
        <w:t>股转</w:t>
      </w:r>
      <w:r>
        <w:rPr>
          <w:rFonts w:ascii="宋体" w:hAnsi="宋体" w:cs="宋体" w:eastAsia="宋体" w:hint="default"/>
          <w:b/>
          <w:bCs/>
          <w:w w:val="99"/>
          <w:sz w:val="28"/>
          <w:szCs w:val="28"/>
        </w:rPr>
        <w:t>增</w:t>
      </w:r>
      <w:r>
        <w:rPr>
          <w:rFonts w:ascii="宋体" w:hAnsi="宋体" w:cs="宋体" w:eastAsia="宋体" w:hint="default"/>
          <w:b/>
          <w:bCs/>
          <w:spacing w:val="-69"/>
          <w:sz w:val="28"/>
          <w:szCs w:val="28"/>
        </w:rPr>
        <w:t> </w:t>
      </w:r>
      <w:r>
        <w:rPr>
          <w:rFonts w:ascii="Times New Roman" w:hAnsi="Times New Roman" w:cs="Times New Roman" w:eastAsia="Times New Roman" w:hint="default"/>
          <w:b/>
          <w:bCs/>
          <w:w w:val="99"/>
          <w:sz w:val="28"/>
          <w:szCs w:val="28"/>
        </w:rPr>
        <w:t>15</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1"/>
          <w:w w:val="99"/>
          <w:sz w:val="28"/>
          <w:szCs w:val="28"/>
        </w:rPr>
        <w:t>股。</w:t>
      </w:r>
      <w:r>
        <w:rPr>
          <w:rFonts w:ascii="宋体" w:hAnsi="宋体" w:cs="宋体" w:eastAsia="宋体" w:hint="default"/>
          <w:sz w:val="28"/>
          <w:szCs w:val="28"/>
        </w:rPr>
      </w:r>
    </w:p>
    <w:p>
      <w:pPr>
        <w:spacing w:after="0"/>
        <w:jc w:val="both"/>
        <w:rPr>
          <w:rFonts w:ascii="宋体" w:hAnsi="宋体" w:cs="宋体" w:eastAsia="宋体" w:hint="default"/>
          <w:sz w:val="28"/>
          <w:szCs w:val="2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23"/>
        <w:ind w:left="3270" w:right="4246"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sdt>
      <w:sdtPr>
        <w:docPartObj>
          <w:docPartGallery w:val="Table of Contents"/>
          <w:docPartUnique/>
        </w:docPartObj>
      </w:sdtPr>
      <w:sdtEndPr/>
      <w:sdtContent>
        <w:p>
          <w:pPr>
            <w:pStyle w:val="TOC1"/>
            <w:tabs>
              <w:tab w:pos="9782" w:val="right" w:leader="dot"/>
            </w:tabs>
            <w:spacing w:line="240" w:lineRule="auto" w:before="238"/>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
              </w:rPr>
              <w:t> </w:t>
            </w:r>
            <w:r>
              <w:rPr/>
              <w:t>公司简介和主要财务指标</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9769" w:val="right" w:leader="dot"/>
            </w:tabs>
            <w:spacing w:line="240" w:lineRule="auto" w:before="332"/>
            <w:ind w:right="0"/>
            <w:jc w:val="left"/>
            <w:rPr>
              <w:rFonts w:ascii="Times New Roman" w:hAnsi="Times New Roman" w:cs="Times New Roman" w:eastAsia="Times New Roman" w:hint="default"/>
              <w:b w:val="0"/>
              <w:bCs w:val="0"/>
            </w:rPr>
          </w:pPr>
          <w:hyperlink w:history="true" w:anchor="_bookmark2">
            <w:r>
              <w:rPr/>
              <w:t>第三节</w:t>
            </w:r>
            <w:r>
              <w:rPr>
                <w:spacing w:val="-1"/>
              </w:rPr>
              <w:t> </w:t>
            </w:r>
            <w:r>
              <w:rPr/>
              <w:t>公司业务概要</w:t>
            </w:r>
            <w:r>
              <w:rPr>
                <w:rFonts w:ascii="Times New Roman" w:hAnsi="Times New Roman" w:cs="Times New Roman" w:eastAsia="Times New Roman" w:hint="default"/>
              </w:rPr>
              <w:tab/>
            </w:r>
            <w:r>
              <w:rPr>
                <w:rFonts w:ascii="Times New Roman" w:hAnsi="Times New Roman" w:cs="Times New Roman" w:eastAsia="Times New Roman" w:hint="default"/>
                <w:spacing w:val="-14"/>
              </w:rPr>
              <w:t>11</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
              </w:rPr>
              <w:t> </w:t>
            </w:r>
            <w:r>
              <w:rPr/>
              <w:t>管理层讨论与分析</w:t>
            </w:r>
            <w:r>
              <w:rPr>
                <w:rFonts w:ascii="Times New Roman" w:hAnsi="Times New Roman" w:cs="Times New Roman" w:eastAsia="Times New Roman" w:hint="default"/>
              </w:rPr>
              <w:tab/>
              <w:t>14</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
              </w:rPr>
              <w:t> </w:t>
            </w:r>
            <w:r>
              <w:rPr/>
              <w:t>重要事项</w:t>
            </w:r>
            <w:r>
              <w:rPr>
                <w:rFonts w:ascii="Times New Roman" w:hAnsi="Times New Roman" w:cs="Times New Roman" w:eastAsia="Times New Roman" w:hint="default"/>
              </w:rPr>
              <w:tab/>
              <w:t>33</w:t>
            </w:r>
            <w:r>
              <w:rPr>
                <w:rFonts w:ascii="Times New Roman" w:hAnsi="Times New Roman" w:cs="Times New Roman" w:eastAsia="Times New Roman" w:hint="default"/>
                <w:b w:val="0"/>
                <w:bCs w:val="0"/>
              </w:rPr>
            </w:r>
          </w:hyperlink>
        </w:p>
        <w:p>
          <w:pPr>
            <w:pStyle w:val="TOC1"/>
            <w:tabs>
              <w:tab w:pos="9782" w:val="right" w:leader="dot"/>
            </w:tabs>
            <w:spacing w:line="240" w:lineRule="auto" w:before="333"/>
            <w:ind w:right="0"/>
            <w:jc w:val="left"/>
            <w:rPr>
              <w:rFonts w:ascii="Times New Roman" w:hAnsi="Times New Roman" w:cs="Times New Roman" w:eastAsia="Times New Roman" w:hint="default"/>
              <w:b w:val="0"/>
              <w:bCs w:val="0"/>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t>49</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w:t>
            </w:r>
            <w:r>
              <w:rPr>
                <w:spacing w:val="-1"/>
              </w:rPr>
              <w:t> </w:t>
            </w:r>
            <w:r>
              <w:rPr/>
              <w:t>优先股相关情况</w:t>
            </w:r>
            <w:r>
              <w:rPr>
                <w:rFonts w:ascii="Times New Roman" w:hAnsi="Times New Roman" w:cs="Times New Roman" w:eastAsia="Times New Roman" w:hint="default"/>
              </w:rPr>
              <w:tab/>
              <w:t>57</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w:t>
            </w:r>
            <w:r>
              <w:rPr>
                <w:spacing w:val="-1"/>
              </w:rPr>
              <w:t> </w:t>
            </w:r>
            <w:r>
              <w:rPr/>
              <w:t>董事、监事、高级管理人员和员工情况</w:t>
            </w:r>
            <w:r>
              <w:rPr>
                <w:rFonts w:ascii="Times New Roman" w:hAnsi="Times New Roman" w:cs="Times New Roman" w:eastAsia="Times New Roman" w:hint="default"/>
              </w:rPr>
              <w:tab/>
              <w:t>58</w:t>
            </w:r>
            <w:r>
              <w:rPr>
                <w:rFonts w:ascii="Times New Roman" w:hAnsi="Times New Roman" w:cs="Times New Roman" w:eastAsia="Times New Roman" w:hint="default"/>
                <w:b w:val="0"/>
                <w:bCs w:val="0"/>
              </w:rPr>
            </w:r>
          </w:hyperlink>
        </w:p>
        <w:p>
          <w:pPr>
            <w:pStyle w:val="TOC1"/>
            <w:tabs>
              <w:tab w:pos="9782" w:val="right" w:leader="dot"/>
            </w:tabs>
            <w:spacing w:line="240" w:lineRule="auto" w:before="332"/>
            <w:ind w:right="0"/>
            <w:jc w:val="left"/>
            <w:rPr>
              <w:rFonts w:ascii="Times New Roman" w:hAnsi="Times New Roman" w:cs="Times New Roman" w:eastAsia="Times New Roman" w:hint="default"/>
              <w:b w:val="0"/>
              <w:bCs w:val="0"/>
            </w:rPr>
          </w:pPr>
          <w:hyperlink w:history="true" w:anchor="_bookmark8">
            <w:r>
              <w:rPr/>
              <w:t>第九节</w:t>
            </w:r>
            <w:r>
              <w:rPr>
                <w:spacing w:val="-1"/>
              </w:rPr>
              <w:t> </w:t>
            </w:r>
            <w:r>
              <w:rPr/>
              <w:t>公司治理</w:t>
            </w:r>
            <w:r>
              <w:rPr>
                <w:rFonts w:ascii="Times New Roman" w:hAnsi="Times New Roman" w:cs="Times New Roman" w:eastAsia="Times New Roman" w:hint="default"/>
              </w:rPr>
              <w:tab/>
              <w:t>63</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r>
            <w:r>
              <w:rPr>
                <w:spacing w:val="-1"/>
              </w:rPr>
              <w:t> </w:t>
            </w:r>
            <w:r>
              <w:rPr/>
              <w:t>财务报告</w:t>
            </w:r>
            <w:r>
              <w:rPr>
                <w:rFonts w:ascii="Times New Roman" w:hAnsi="Times New Roman" w:cs="Times New Roman" w:eastAsia="Times New Roman" w:hint="default"/>
              </w:rPr>
              <w:tab/>
              <w:t>69</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w:t>
            </w:r>
            <w:r>
              <w:rPr>
                <w:spacing w:val="-2"/>
              </w:rPr>
              <w:t> </w:t>
            </w:r>
            <w:r>
              <w:rPr/>
              <w:t>备查文件目录</w:t>
            </w:r>
            <w:r>
              <w:rPr>
                <w:rFonts w:ascii="Times New Roman" w:hAnsi="Times New Roman" w:cs="Times New Roman" w:eastAsia="Times New Roman" w:hint="default"/>
              </w:rPr>
              <w:tab/>
              <w:t>154</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79" w:top="1060" w:bottom="1160" w:left="980" w:right="0"/>
        </w:sectPr>
      </w:pPr>
    </w:p>
    <w:p>
      <w:pPr>
        <w:spacing w:before="946"/>
        <w:ind w:left="3270" w:right="4246"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564"/>
        <w:gridCol w:w="544"/>
        <w:gridCol w:w="6462"/>
      </w:tblGrid>
      <w:tr>
        <w:trPr>
          <w:trHeight w:val="402" w:hRule="exact"/>
        </w:trPr>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6"/>
              <w:jc w:val="right"/>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256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公司、久其、久其软件</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6"/>
              <w:jc w:val="right"/>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北京久其软件股份有限公司</w:t>
            </w:r>
          </w:p>
        </w:tc>
      </w:tr>
      <w:tr>
        <w:trPr>
          <w:trHeight w:val="402" w:hRule="exact"/>
        </w:trPr>
        <w:tc>
          <w:tcPr>
            <w:tcW w:w="256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久其科技</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6"/>
              <w:jc w:val="right"/>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公司控股股东，北京久其科技投资有限公司</w:t>
            </w:r>
          </w:p>
        </w:tc>
      </w:tr>
      <w:tr>
        <w:trPr>
          <w:trHeight w:val="402" w:hRule="exact"/>
        </w:trPr>
        <w:tc>
          <w:tcPr>
            <w:tcW w:w="256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报告期、本报告期</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6"/>
              <w:jc w:val="right"/>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56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久其政务</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6"/>
              <w:jc w:val="right"/>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公司控股子公司，北京久其政务软件股份有限公司</w:t>
            </w:r>
          </w:p>
        </w:tc>
      </w:tr>
      <w:tr>
        <w:trPr>
          <w:trHeight w:val="402" w:hRule="exact"/>
        </w:trPr>
        <w:tc>
          <w:tcPr>
            <w:tcW w:w="256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海南久其</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6"/>
              <w:jc w:val="right"/>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公司全资子公司，海南久其云计算科技有限公司</w:t>
            </w:r>
          </w:p>
        </w:tc>
      </w:tr>
      <w:tr>
        <w:trPr>
          <w:trHeight w:val="402" w:hRule="exact"/>
        </w:trPr>
        <w:tc>
          <w:tcPr>
            <w:tcW w:w="256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久其智通</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6"/>
              <w:jc w:val="right"/>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公司控股子公司，北京久其智通数据科技有限公司</w:t>
            </w:r>
          </w:p>
        </w:tc>
      </w:tr>
      <w:tr>
        <w:trPr>
          <w:trHeight w:val="402" w:hRule="exact"/>
        </w:trPr>
        <w:tc>
          <w:tcPr>
            <w:tcW w:w="256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久其龙信</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6"/>
              <w:jc w:val="right"/>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公司控股子公司，北京久其龙信数据科技有限公司</w:t>
            </w:r>
          </w:p>
        </w:tc>
      </w:tr>
      <w:tr>
        <w:trPr>
          <w:trHeight w:val="402" w:hRule="exact"/>
        </w:trPr>
        <w:tc>
          <w:tcPr>
            <w:tcW w:w="256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小驿科技</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6"/>
              <w:jc w:val="right"/>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海南久其控股子公司，小驿科技（海南）有限公司</w:t>
            </w:r>
          </w:p>
        </w:tc>
      </w:tr>
      <w:tr>
        <w:trPr>
          <w:trHeight w:val="402" w:hRule="exact"/>
        </w:trPr>
        <w:tc>
          <w:tcPr>
            <w:tcW w:w="256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亿起联科技</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6"/>
              <w:jc w:val="right"/>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公司全资子公司，北京亿起联科技有限公司</w:t>
            </w:r>
          </w:p>
        </w:tc>
      </w:tr>
      <w:tr>
        <w:trPr>
          <w:trHeight w:val="402" w:hRule="exact"/>
        </w:trPr>
        <w:tc>
          <w:tcPr>
            <w:tcW w:w="256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华夏电通</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6"/>
              <w:jc w:val="right"/>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公司全资子公司，北京华夏电通科技有限公司</w:t>
            </w:r>
          </w:p>
        </w:tc>
      </w:tr>
      <w:tr>
        <w:trPr>
          <w:trHeight w:val="402" w:hRule="exact"/>
        </w:trPr>
        <w:tc>
          <w:tcPr>
            <w:tcW w:w="256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久金所</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6"/>
              <w:jc w:val="right"/>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公司控股子公司，北京久其互联网金融信息服务有限公司</w:t>
            </w:r>
          </w:p>
        </w:tc>
      </w:tr>
      <w:tr>
        <w:trPr>
          <w:trHeight w:val="402" w:hRule="exact"/>
        </w:trPr>
        <w:tc>
          <w:tcPr>
            <w:tcW w:w="256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蜂语网络</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6"/>
              <w:jc w:val="right"/>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公司控股子公司，北京蜂语网络科技有限公司</w:t>
            </w:r>
          </w:p>
        </w:tc>
      </w:tr>
      <w:tr>
        <w:trPr>
          <w:trHeight w:val="402" w:hRule="exact"/>
        </w:trPr>
        <w:tc>
          <w:tcPr>
            <w:tcW w:w="256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中民颐养</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6"/>
              <w:jc w:val="right"/>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公司控股子公司，北京中民颐养科技服务有限公司</w:t>
            </w:r>
          </w:p>
        </w:tc>
      </w:tr>
      <w:tr>
        <w:trPr>
          <w:trHeight w:val="161" w:hRule="exact"/>
        </w:trPr>
        <w:tc>
          <w:tcPr>
            <w:tcW w:w="2564"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移动广告平台</w:t>
            </w:r>
          </w:p>
        </w:tc>
        <w:tc>
          <w:tcPr>
            <w:tcW w:w="5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462" w:type="dxa"/>
            <w:vMerge w:val="restart"/>
            <w:tcBorders>
              <w:top w:val="single" w:sz="4" w:space="0" w:color="000000"/>
              <w:left w:val="single" w:sz="9" w:space="0" w:color="D2D2D2"/>
              <w:right w:val="single" w:sz="4" w:space="0" w:color="000000"/>
            </w:tcBorders>
          </w:tcPr>
          <w:p>
            <w:pPr>
              <w:pStyle w:val="TableParagraph"/>
              <w:spacing w:line="316" w:lineRule="auto" w:before="51"/>
              <w:ind w:left="27" w:right="22"/>
              <w:jc w:val="left"/>
              <w:rPr>
                <w:rFonts w:ascii="宋体" w:hAnsi="宋体" w:cs="宋体" w:eastAsia="宋体" w:hint="default"/>
                <w:sz w:val="18"/>
                <w:szCs w:val="18"/>
              </w:rPr>
            </w:pPr>
            <w:r>
              <w:rPr>
                <w:rFonts w:ascii="宋体" w:hAnsi="宋体" w:cs="宋体" w:eastAsia="宋体" w:hint="default"/>
                <w:spacing w:val="-3"/>
                <w:sz w:val="18"/>
                <w:szCs w:val="18"/>
              </w:rPr>
              <w:t>连接应用开发者和广告主的平台或者中介，在此平台上，开发者提供应用，广告主</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提供广告</w:t>
            </w:r>
          </w:p>
        </w:tc>
      </w:tr>
      <w:tr>
        <w:trPr>
          <w:trHeight w:val="392" w:hRule="exact"/>
        </w:trPr>
        <w:tc>
          <w:tcPr>
            <w:tcW w:w="2564" w:type="dxa"/>
            <w:vMerge/>
            <w:tcBorders>
              <w:left w:val="single" w:sz="4" w:space="0" w:color="000000"/>
              <w:right w:val="single" w:sz="9" w:space="0" w:color="D2D2D2"/>
            </w:tcBorders>
          </w:tcPr>
          <w:p>
            <w:pPr/>
          </w:p>
        </w:tc>
        <w:tc>
          <w:tcPr>
            <w:tcW w:w="5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76"/>
              <w:jc w:val="right"/>
              <w:rPr>
                <w:rFonts w:ascii="宋体" w:hAnsi="宋体" w:cs="宋体" w:eastAsia="宋体" w:hint="default"/>
                <w:sz w:val="18"/>
                <w:szCs w:val="18"/>
              </w:rPr>
            </w:pPr>
            <w:r>
              <w:rPr>
                <w:rFonts w:ascii="宋体" w:hAnsi="宋体" w:cs="宋体" w:eastAsia="宋体" w:hint="default"/>
                <w:sz w:val="18"/>
                <w:szCs w:val="18"/>
              </w:rPr>
              <w:t>指</w:t>
            </w:r>
          </w:p>
        </w:tc>
        <w:tc>
          <w:tcPr>
            <w:tcW w:w="6462" w:type="dxa"/>
            <w:vMerge/>
            <w:tcBorders>
              <w:left w:val="single" w:sz="9" w:space="0" w:color="D2D2D2"/>
              <w:right w:val="single" w:sz="4" w:space="0" w:color="000000"/>
            </w:tcBorders>
          </w:tcPr>
          <w:p>
            <w:pPr/>
          </w:p>
        </w:tc>
      </w:tr>
      <w:tr>
        <w:trPr>
          <w:trHeight w:val="161" w:hRule="exact"/>
        </w:trPr>
        <w:tc>
          <w:tcPr>
            <w:tcW w:w="2564" w:type="dxa"/>
            <w:vMerge/>
            <w:tcBorders>
              <w:left w:val="single" w:sz="4" w:space="0" w:color="000000"/>
              <w:bottom w:val="single" w:sz="4" w:space="0" w:color="000000"/>
              <w:right w:val="single" w:sz="9" w:space="0" w:color="D2D2D2"/>
            </w:tcBorders>
          </w:tcPr>
          <w:p>
            <w:pPr/>
          </w:p>
        </w:tc>
        <w:tc>
          <w:tcPr>
            <w:tcW w:w="5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462" w:type="dxa"/>
            <w:vMerge/>
            <w:tcBorders>
              <w:left w:val="single" w:sz="9" w:space="0" w:color="D2D2D2"/>
              <w:bottom w:val="single" w:sz="4" w:space="0" w:color="000000"/>
              <w:right w:val="single" w:sz="4" w:space="0" w:color="000000"/>
            </w:tcBorders>
          </w:tcPr>
          <w:p>
            <w:pPr/>
          </w:p>
        </w:tc>
      </w:tr>
      <w:tr>
        <w:trPr>
          <w:trHeight w:val="161" w:hRule="exact"/>
        </w:trPr>
        <w:tc>
          <w:tcPr>
            <w:tcW w:w="2564"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司机驿站</w:t>
            </w:r>
          </w:p>
        </w:tc>
        <w:tc>
          <w:tcPr>
            <w:tcW w:w="5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462" w:type="dxa"/>
            <w:vMerge w:val="restart"/>
            <w:tcBorders>
              <w:top w:val="single" w:sz="4" w:space="0" w:color="000000"/>
              <w:left w:val="single" w:sz="9" w:space="0" w:color="D2D2D2"/>
              <w:right w:val="single" w:sz="4" w:space="0" w:color="000000"/>
            </w:tcBorders>
          </w:tcPr>
          <w:p>
            <w:pPr>
              <w:pStyle w:val="TableParagraph"/>
              <w:spacing w:line="316" w:lineRule="auto" w:before="51"/>
              <w:ind w:left="27" w:right="22"/>
              <w:jc w:val="left"/>
              <w:rPr>
                <w:rFonts w:ascii="宋体" w:hAnsi="宋体" w:cs="宋体" w:eastAsia="宋体" w:hint="default"/>
                <w:sz w:val="18"/>
                <w:szCs w:val="18"/>
              </w:rPr>
            </w:pPr>
            <w:r>
              <w:rPr>
                <w:rFonts w:ascii="宋体" w:hAnsi="宋体" w:cs="宋体" w:eastAsia="宋体" w:hint="default"/>
                <w:spacing w:val="-3"/>
                <w:sz w:val="18"/>
                <w:szCs w:val="18"/>
              </w:rPr>
              <w:t>一款基于互联网、移动互联网、物联网、车联网等多项技术的移动互联网应用，能</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够为货车司机、物流企业等提供高效、智能化的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O2O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精准匹配服务和增值服务</w:t>
            </w:r>
          </w:p>
        </w:tc>
      </w:tr>
      <w:tr>
        <w:trPr>
          <w:trHeight w:val="392" w:hRule="exact"/>
        </w:trPr>
        <w:tc>
          <w:tcPr>
            <w:tcW w:w="2564" w:type="dxa"/>
            <w:vMerge/>
            <w:tcBorders>
              <w:left w:val="single" w:sz="4" w:space="0" w:color="000000"/>
              <w:right w:val="single" w:sz="9" w:space="0" w:color="D2D2D2"/>
            </w:tcBorders>
          </w:tcPr>
          <w:p>
            <w:pPr/>
          </w:p>
        </w:tc>
        <w:tc>
          <w:tcPr>
            <w:tcW w:w="5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76"/>
              <w:jc w:val="right"/>
              <w:rPr>
                <w:rFonts w:ascii="宋体" w:hAnsi="宋体" w:cs="宋体" w:eastAsia="宋体" w:hint="default"/>
                <w:sz w:val="18"/>
                <w:szCs w:val="18"/>
              </w:rPr>
            </w:pPr>
            <w:r>
              <w:rPr>
                <w:rFonts w:ascii="宋体" w:hAnsi="宋体" w:cs="宋体" w:eastAsia="宋体" w:hint="default"/>
                <w:sz w:val="18"/>
                <w:szCs w:val="18"/>
              </w:rPr>
              <w:t>指</w:t>
            </w:r>
          </w:p>
        </w:tc>
        <w:tc>
          <w:tcPr>
            <w:tcW w:w="6462" w:type="dxa"/>
            <w:vMerge/>
            <w:tcBorders>
              <w:left w:val="single" w:sz="9" w:space="0" w:color="D2D2D2"/>
              <w:right w:val="single" w:sz="4" w:space="0" w:color="000000"/>
            </w:tcBorders>
          </w:tcPr>
          <w:p>
            <w:pPr/>
          </w:p>
        </w:tc>
      </w:tr>
      <w:tr>
        <w:trPr>
          <w:trHeight w:val="161" w:hRule="exact"/>
        </w:trPr>
        <w:tc>
          <w:tcPr>
            <w:tcW w:w="2564" w:type="dxa"/>
            <w:vMerge/>
            <w:tcBorders>
              <w:left w:val="single" w:sz="4" w:space="0" w:color="000000"/>
              <w:bottom w:val="single" w:sz="4" w:space="0" w:color="000000"/>
              <w:right w:val="single" w:sz="9" w:space="0" w:color="D2D2D2"/>
            </w:tcBorders>
          </w:tcPr>
          <w:p>
            <w:pPr/>
          </w:p>
        </w:tc>
        <w:tc>
          <w:tcPr>
            <w:tcW w:w="5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462" w:type="dxa"/>
            <w:vMerge/>
            <w:tcBorders>
              <w:left w:val="single" w:sz="9" w:space="0" w:color="D2D2D2"/>
              <w:bottom w:val="single" w:sz="4" w:space="0" w:color="000000"/>
              <w:right w:val="single" w:sz="4" w:space="0" w:color="000000"/>
            </w:tcBorders>
          </w:tcPr>
          <w:p>
            <w:pPr/>
          </w:p>
        </w:tc>
      </w:tr>
      <w:tr>
        <w:trPr>
          <w:trHeight w:val="161" w:hRule="exact"/>
        </w:trPr>
        <w:tc>
          <w:tcPr>
            <w:tcW w:w="2564"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互联网金融信息服务</w:t>
            </w:r>
          </w:p>
        </w:tc>
        <w:tc>
          <w:tcPr>
            <w:tcW w:w="5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462" w:type="dxa"/>
            <w:vMerge w:val="restart"/>
            <w:tcBorders>
              <w:top w:val="single" w:sz="4" w:space="0" w:color="000000"/>
              <w:left w:val="single" w:sz="9" w:space="0" w:color="D2D2D2"/>
              <w:right w:val="single" w:sz="4" w:space="0" w:color="000000"/>
            </w:tcBorders>
          </w:tcPr>
          <w:p>
            <w:pPr>
              <w:pStyle w:val="TableParagraph"/>
              <w:spacing w:line="300" w:lineRule="auto" w:before="51"/>
              <w:ind w:left="27" w:right="21"/>
              <w:jc w:val="left"/>
              <w:rPr>
                <w:rFonts w:ascii="宋体" w:hAnsi="宋体" w:cs="宋体" w:eastAsia="宋体" w:hint="default"/>
                <w:sz w:val="18"/>
                <w:szCs w:val="18"/>
              </w:rPr>
            </w:pPr>
            <w:r>
              <w:rPr>
                <w:rFonts w:ascii="宋体" w:hAnsi="宋体" w:cs="宋体" w:eastAsia="宋体" w:hint="default"/>
                <w:sz w:val="18"/>
                <w:szCs w:val="18"/>
              </w:rPr>
              <w:t>依托于支付、云计算、网络、</w:t>
            </w:r>
            <w:r>
              <w:rPr>
                <w:rFonts w:ascii="Times New Roman" w:hAnsi="Times New Roman" w:cs="Times New Roman" w:eastAsia="Times New Roman" w:hint="default"/>
                <w:sz w:val="18"/>
                <w:szCs w:val="18"/>
              </w:rPr>
              <w:t>app</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等互联网工具，提供资金借贷双方信息匹配等金 融信息中介服务的一种新兴金融模式</w:t>
            </w:r>
          </w:p>
        </w:tc>
      </w:tr>
      <w:tr>
        <w:trPr>
          <w:trHeight w:val="392" w:hRule="exact"/>
        </w:trPr>
        <w:tc>
          <w:tcPr>
            <w:tcW w:w="2564" w:type="dxa"/>
            <w:vMerge/>
            <w:tcBorders>
              <w:left w:val="single" w:sz="4" w:space="0" w:color="000000"/>
              <w:right w:val="single" w:sz="9" w:space="0" w:color="D2D2D2"/>
            </w:tcBorders>
          </w:tcPr>
          <w:p>
            <w:pPr/>
          </w:p>
        </w:tc>
        <w:tc>
          <w:tcPr>
            <w:tcW w:w="5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76"/>
              <w:jc w:val="right"/>
              <w:rPr>
                <w:rFonts w:ascii="宋体" w:hAnsi="宋体" w:cs="宋体" w:eastAsia="宋体" w:hint="default"/>
                <w:sz w:val="18"/>
                <w:szCs w:val="18"/>
              </w:rPr>
            </w:pPr>
            <w:r>
              <w:rPr>
                <w:rFonts w:ascii="宋体" w:hAnsi="宋体" w:cs="宋体" w:eastAsia="宋体" w:hint="default"/>
                <w:sz w:val="18"/>
                <w:szCs w:val="18"/>
              </w:rPr>
              <w:t>指</w:t>
            </w:r>
          </w:p>
        </w:tc>
        <w:tc>
          <w:tcPr>
            <w:tcW w:w="6462" w:type="dxa"/>
            <w:vMerge/>
            <w:tcBorders>
              <w:left w:val="single" w:sz="9" w:space="0" w:color="D2D2D2"/>
              <w:right w:val="single" w:sz="4" w:space="0" w:color="000000"/>
            </w:tcBorders>
          </w:tcPr>
          <w:p>
            <w:pPr/>
          </w:p>
        </w:tc>
      </w:tr>
      <w:tr>
        <w:trPr>
          <w:trHeight w:val="161" w:hRule="exact"/>
        </w:trPr>
        <w:tc>
          <w:tcPr>
            <w:tcW w:w="2564" w:type="dxa"/>
            <w:vMerge/>
            <w:tcBorders>
              <w:left w:val="single" w:sz="4" w:space="0" w:color="000000"/>
              <w:bottom w:val="single" w:sz="4" w:space="0" w:color="000000"/>
              <w:right w:val="single" w:sz="9" w:space="0" w:color="D2D2D2"/>
            </w:tcBorders>
          </w:tcPr>
          <w:p>
            <w:pPr/>
          </w:p>
        </w:tc>
        <w:tc>
          <w:tcPr>
            <w:tcW w:w="5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462" w:type="dxa"/>
            <w:vMerge/>
            <w:tcBorders>
              <w:left w:val="single" w:sz="9" w:space="0" w:color="D2D2D2"/>
              <w:bottom w:val="single" w:sz="4" w:space="0" w:color="000000"/>
              <w:right w:val="single" w:sz="4" w:space="0" w:color="000000"/>
            </w:tcBorders>
          </w:tcPr>
          <w:p>
            <w:pPr/>
          </w:p>
        </w:tc>
      </w:tr>
      <w:tr>
        <w:trPr>
          <w:trHeight w:val="161" w:hRule="exact"/>
        </w:trPr>
        <w:tc>
          <w:tcPr>
            <w:tcW w:w="2564" w:type="dxa"/>
            <w:vMerge w:val="restart"/>
            <w:tcBorders>
              <w:top w:val="single" w:sz="4" w:space="0" w:color="000000"/>
              <w:left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DNA</w:t>
            </w:r>
          </w:p>
        </w:tc>
        <w:tc>
          <w:tcPr>
            <w:tcW w:w="5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462" w:type="dxa"/>
            <w:vMerge w:val="restart"/>
            <w:tcBorders>
              <w:top w:val="single" w:sz="4" w:space="0" w:color="000000"/>
              <w:left w:val="single" w:sz="9" w:space="0" w:color="D2D2D2"/>
              <w:right w:val="single" w:sz="4" w:space="0" w:color="000000"/>
            </w:tcBorders>
          </w:tcPr>
          <w:p>
            <w:pPr>
              <w:pStyle w:val="TableParagraph"/>
              <w:spacing w:line="300" w:lineRule="auto" w:before="51"/>
              <w:ind w:left="27" w:right="71"/>
              <w:jc w:val="left"/>
              <w:rPr>
                <w:rFonts w:ascii="宋体" w:hAnsi="宋体" w:cs="宋体" w:eastAsia="宋体" w:hint="default"/>
                <w:sz w:val="18"/>
                <w:szCs w:val="18"/>
              </w:rPr>
            </w:pPr>
            <w:r>
              <w:rPr>
                <w:rFonts w:ascii="宋体" w:hAnsi="宋体" w:cs="宋体" w:eastAsia="宋体" w:hint="default"/>
                <w:sz w:val="18"/>
                <w:szCs w:val="18"/>
              </w:rPr>
              <w:t>研发与业务生成平台，</w:t>
            </w:r>
            <w:r>
              <w:rPr>
                <w:rFonts w:ascii="Times New Roman" w:hAnsi="Times New Roman" w:cs="Times New Roman" w:eastAsia="Times New Roman" w:hint="default"/>
                <w:sz w:val="18"/>
                <w:szCs w:val="18"/>
              </w:rPr>
              <w:t>Development and Application</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的缩写，是公司自主研发的用 于构建各种业务系统和解决方案的基础性产品开发平台</w:t>
            </w:r>
          </w:p>
        </w:tc>
      </w:tr>
      <w:tr>
        <w:trPr>
          <w:trHeight w:val="392" w:hRule="exact"/>
        </w:trPr>
        <w:tc>
          <w:tcPr>
            <w:tcW w:w="2564" w:type="dxa"/>
            <w:vMerge/>
            <w:tcBorders>
              <w:left w:val="single" w:sz="4" w:space="0" w:color="000000"/>
              <w:right w:val="single" w:sz="9" w:space="0" w:color="D2D2D2"/>
            </w:tcBorders>
          </w:tcPr>
          <w:p>
            <w:pPr/>
          </w:p>
        </w:tc>
        <w:tc>
          <w:tcPr>
            <w:tcW w:w="5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76"/>
              <w:jc w:val="right"/>
              <w:rPr>
                <w:rFonts w:ascii="宋体" w:hAnsi="宋体" w:cs="宋体" w:eastAsia="宋体" w:hint="default"/>
                <w:sz w:val="18"/>
                <w:szCs w:val="18"/>
              </w:rPr>
            </w:pPr>
            <w:r>
              <w:rPr>
                <w:rFonts w:ascii="宋体" w:hAnsi="宋体" w:cs="宋体" w:eastAsia="宋体" w:hint="default"/>
                <w:sz w:val="18"/>
                <w:szCs w:val="18"/>
              </w:rPr>
              <w:t>指</w:t>
            </w:r>
          </w:p>
        </w:tc>
        <w:tc>
          <w:tcPr>
            <w:tcW w:w="6462" w:type="dxa"/>
            <w:vMerge/>
            <w:tcBorders>
              <w:left w:val="single" w:sz="9" w:space="0" w:color="D2D2D2"/>
              <w:right w:val="single" w:sz="4" w:space="0" w:color="000000"/>
            </w:tcBorders>
          </w:tcPr>
          <w:p>
            <w:pPr/>
          </w:p>
        </w:tc>
      </w:tr>
      <w:tr>
        <w:trPr>
          <w:trHeight w:val="161" w:hRule="exact"/>
        </w:trPr>
        <w:tc>
          <w:tcPr>
            <w:tcW w:w="2564" w:type="dxa"/>
            <w:vMerge/>
            <w:tcBorders>
              <w:left w:val="single" w:sz="4" w:space="0" w:color="000000"/>
              <w:bottom w:val="single" w:sz="4" w:space="0" w:color="000000"/>
              <w:right w:val="single" w:sz="9" w:space="0" w:color="D2D2D2"/>
            </w:tcBorders>
          </w:tcPr>
          <w:p>
            <w:pPr/>
          </w:p>
        </w:tc>
        <w:tc>
          <w:tcPr>
            <w:tcW w:w="5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462" w:type="dxa"/>
            <w:vMerge/>
            <w:tcBorders>
              <w:left w:val="single" w:sz="9" w:space="0" w:color="D2D2D2"/>
              <w:bottom w:val="single" w:sz="4" w:space="0" w:color="000000"/>
              <w:right w:val="single" w:sz="4" w:space="0" w:color="000000"/>
            </w:tcBorders>
          </w:tcPr>
          <w:p>
            <w:pPr/>
          </w:p>
        </w:tc>
      </w:tr>
      <w:tr>
        <w:trPr>
          <w:trHeight w:val="402" w:hRule="exact"/>
        </w:trPr>
        <w:tc>
          <w:tcPr>
            <w:tcW w:w="256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PaaS</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6"/>
              <w:jc w:val="right"/>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平台即服务，</w:t>
            </w:r>
            <w:r>
              <w:rPr>
                <w:rFonts w:ascii="Times New Roman" w:hAnsi="Times New Roman" w:cs="Times New Roman" w:eastAsia="Times New Roman" w:hint="default"/>
                <w:sz w:val="18"/>
                <w:szCs w:val="18"/>
              </w:rPr>
              <w:t>Platform as a Service</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的缩写，是云计算模式下的平台软件服务</w:t>
            </w:r>
          </w:p>
        </w:tc>
      </w:tr>
      <w:tr>
        <w:trPr>
          <w:trHeight w:val="402" w:hRule="exact"/>
        </w:trPr>
        <w:tc>
          <w:tcPr>
            <w:tcW w:w="256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SaaS</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6"/>
              <w:jc w:val="right"/>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软件即服务，</w:t>
            </w:r>
            <w:r>
              <w:rPr>
                <w:rFonts w:ascii="Times New Roman" w:hAnsi="Times New Roman" w:cs="Times New Roman" w:eastAsia="Times New Roman" w:hint="default"/>
                <w:sz w:val="18"/>
                <w:szCs w:val="18"/>
              </w:rPr>
              <w:t>Software as a Service</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的缩写，是云计算模式下的应用软件服务</w:t>
            </w:r>
          </w:p>
        </w:tc>
      </w:tr>
      <w:tr>
        <w:trPr>
          <w:trHeight w:val="161" w:hRule="exact"/>
        </w:trPr>
        <w:tc>
          <w:tcPr>
            <w:tcW w:w="2564" w:type="dxa"/>
            <w:vMerge w:val="restart"/>
            <w:tcBorders>
              <w:top w:val="single" w:sz="4" w:space="0" w:color="000000"/>
              <w:left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DSP</w:t>
            </w:r>
          </w:p>
        </w:tc>
        <w:tc>
          <w:tcPr>
            <w:tcW w:w="5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462" w:type="dxa"/>
            <w:vMerge w:val="restart"/>
            <w:tcBorders>
              <w:top w:val="single" w:sz="4" w:space="0" w:color="000000"/>
              <w:left w:val="single" w:sz="9" w:space="0" w:color="D2D2D2"/>
              <w:right w:val="single" w:sz="4" w:space="0" w:color="000000"/>
            </w:tcBorders>
          </w:tcPr>
          <w:p>
            <w:pPr>
              <w:pStyle w:val="TableParagraph"/>
              <w:spacing w:line="300" w:lineRule="auto" w:before="51"/>
              <w:ind w:left="27" w:right="41"/>
              <w:jc w:val="left"/>
              <w:rPr>
                <w:rFonts w:ascii="宋体" w:hAnsi="宋体" w:cs="宋体" w:eastAsia="宋体" w:hint="default"/>
                <w:sz w:val="18"/>
                <w:szCs w:val="18"/>
              </w:rPr>
            </w:pPr>
            <w:r>
              <w:rPr>
                <w:rFonts w:ascii="宋体" w:hAnsi="宋体" w:cs="宋体" w:eastAsia="宋体" w:hint="default"/>
                <w:sz w:val="18"/>
                <w:szCs w:val="18"/>
              </w:rPr>
              <w:t>需求方平台，</w:t>
            </w:r>
            <w:r>
              <w:rPr>
                <w:rFonts w:ascii="Times New Roman" w:hAnsi="Times New Roman" w:cs="Times New Roman" w:eastAsia="Times New Roman" w:hint="default"/>
                <w:sz w:val="18"/>
                <w:szCs w:val="18"/>
              </w:rPr>
              <w:t>Demand Side Platform</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的缩写，是为客户提供跨媒介、跨平台、跨终 端的广告程序化购买平台</w:t>
            </w:r>
          </w:p>
        </w:tc>
      </w:tr>
      <w:tr>
        <w:trPr>
          <w:trHeight w:val="392" w:hRule="exact"/>
        </w:trPr>
        <w:tc>
          <w:tcPr>
            <w:tcW w:w="2564" w:type="dxa"/>
            <w:vMerge/>
            <w:tcBorders>
              <w:left w:val="single" w:sz="4" w:space="0" w:color="000000"/>
              <w:right w:val="single" w:sz="9" w:space="0" w:color="D2D2D2"/>
            </w:tcBorders>
          </w:tcPr>
          <w:p>
            <w:pPr/>
          </w:p>
        </w:tc>
        <w:tc>
          <w:tcPr>
            <w:tcW w:w="5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76"/>
              <w:jc w:val="right"/>
              <w:rPr>
                <w:rFonts w:ascii="宋体" w:hAnsi="宋体" w:cs="宋体" w:eastAsia="宋体" w:hint="default"/>
                <w:sz w:val="18"/>
                <w:szCs w:val="18"/>
              </w:rPr>
            </w:pPr>
            <w:r>
              <w:rPr>
                <w:rFonts w:ascii="宋体" w:hAnsi="宋体" w:cs="宋体" w:eastAsia="宋体" w:hint="default"/>
                <w:sz w:val="18"/>
                <w:szCs w:val="18"/>
              </w:rPr>
              <w:t>指</w:t>
            </w:r>
          </w:p>
        </w:tc>
        <w:tc>
          <w:tcPr>
            <w:tcW w:w="6462" w:type="dxa"/>
            <w:vMerge/>
            <w:tcBorders>
              <w:left w:val="single" w:sz="9" w:space="0" w:color="D2D2D2"/>
              <w:right w:val="single" w:sz="4" w:space="0" w:color="000000"/>
            </w:tcBorders>
          </w:tcPr>
          <w:p>
            <w:pPr/>
          </w:p>
        </w:tc>
      </w:tr>
      <w:tr>
        <w:trPr>
          <w:trHeight w:val="161" w:hRule="exact"/>
        </w:trPr>
        <w:tc>
          <w:tcPr>
            <w:tcW w:w="2564" w:type="dxa"/>
            <w:vMerge/>
            <w:tcBorders>
              <w:left w:val="single" w:sz="4" w:space="0" w:color="000000"/>
              <w:bottom w:val="single" w:sz="4" w:space="0" w:color="000000"/>
              <w:right w:val="single" w:sz="9" w:space="0" w:color="D2D2D2"/>
            </w:tcBorders>
          </w:tcPr>
          <w:p>
            <w:pPr/>
          </w:p>
        </w:tc>
        <w:tc>
          <w:tcPr>
            <w:tcW w:w="5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462" w:type="dxa"/>
            <w:vMerge/>
            <w:tcBorders>
              <w:left w:val="single" w:sz="9" w:space="0" w:color="D2D2D2"/>
              <w:bottom w:val="single" w:sz="4" w:space="0" w:color="000000"/>
              <w:right w:val="single" w:sz="4" w:space="0" w:color="000000"/>
            </w:tcBorders>
          </w:tcPr>
          <w:p>
            <w:pPr/>
          </w:p>
        </w:tc>
      </w:tr>
      <w:tr>
        <w:trPr>
          <w:trHeight w:val="161" w:hRule="exact"/>
        </w:trPr>
        <w:tc>
          <w:tcPr>
            <w:tcW w:w="2564" w:type="dxa"/>
            <w:vMerge w:val="restart"/>
            <w:tcBorders>
              <w:top w:val="single" w:sz="4" w:space="0" w:color="000000"/>
              <w:left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DMP</w:t>
            </w:r>
          </w:p>
        </w:tc>
        <w:tc>
          <w:tcPr>
            <w:tcW w:w="5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462" w:type="dxa"/>
            <w:vMerge w:val="restart"/>
            <w:tcBorders>
              <w:top w:val="single" w:sz="4" w:space="0" w:color="000000"/>
              <w:left w:val="single" w:sz="9" w:space="0" w:color="D2D2D2"/>
              <w:right w:val="single" w:sz="4" w:space="0" w:color="000000"/>
            </w:tcBorders>
          </w:tcPr>
          <w:p>
            <w:pPr>
              <w:pStyle w:val="TableParagraph"/>
              <w:spacing w:line="300" w:lineRule="auto" w:before="51"/>
              <w:ind w:left="27" w:right="36"/>
              <w:jc w:val="left"/>
              <w:rPr>
                <w:rFonts w:ascii="宋体" w:hAnsi="宋体" w:cs="宋体" w:eastAsia="宋体" w:hint="default"/>
                <w:sz w:val="18"/>
                <w:szCs w:val="18"/>
              </w:rPr>
            </w:pPr>
            <w:r>
              <w:rPr>
                <w:rFonts w:ascii="宋体" w:hAnsi="宋体" w:cs="宋体" w:eastAsia="宋体" w:hint="default"/>
                <w:sz w:val="18"/>
                <w:szCs w:val="18"/>
              </w:rPr>
              <w:t>数据管理平台，</w:t>
            </w:r>
            <w:r>
              <w:rPr>
                <w:rFonts w:ascii="Times New Roman" w:hAnsi="Times New Roman" w:cs="Times New Roman" w:eastAsia="Times New Roman" w:hint="default"/>
                <w:sz w:val="18"/>
                <w:szCs w:val="18"/>
              </w:rPr>
              <w:t>Data-Management Platform</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的缩写，是帮助各个数据拥有者或数据 交易方进行内部数据管理、提供对外数据接口和服务的系统</w:t>
            </w:r>
          </w:p>
        </w:tc>
      </w:tr>
      <w:tr>
        <w:trPr>
          <w:trHeight w:val="392" w:hRule="exact"/>
        </w:trPr>
        <w:tc>
          <w:tcPr>
            <w:tcW w:w="2564" w:type="dxa"/>
            <w:vMerge/>
            <w:tcBorders>
              <w:left w:val="single" w:sz="4" w:space="0" w:color="000000"/>
              <w:right w:val="single" w:sz="9" w:space="0" w:color="D2D2D2"/>
            </w:tcBorders>
          </w:tcPr>
          <w:p>
            <w:pPr/>
          </w:p>
        </w:tc>
        <w:tc>
          <w:tcPr>
            <w:tcW w:w="5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76"/>
              <w:jc w:val="right"/>
              <w:rPr>
                <w:rFonts w:ascii="宋体" w:hAnsi="宋体" w:cs="宋体" w:eastAsia="宋体" w:hint="default"/>
                <w:sz w:val="18"/>
                <w:szCs w:val="18"/>
              </w:rPr>
            </w:pPr>
            <w:r>
              <w:rPr>
                <w:rFonts w:ascii="宋体" w:hAnsi="宋体" w:cs="宋体" w:eastAsia="宋体" w:hint="default"/>
                <w:sz w:val="18"/>
                <w:szCs w:val="18"/>
              </w:rPr>
              <w:t>指</w:t>
            </w:r>
          </w:p>
        </w:tc>
        <w:tc>
          <w:tcPr>
            <w:tcW w:w="6462" w:type="dxa"/>
            <w:vMerge/>
            <w:tcBorders>
              <w:left w:val="single" w:sz="9" w:space="0" w:color="D2D2D2"/>
              <w:right w:val="single" w:sz="4" w:space="0" w:color="000000"/>
            </w:tcBorders>
          </w:tcPr>
          <w:p>
            <w:pPr/>
          </w:p>
        </w:tc>
      </w:tr>
      <w:tr>
        <w:trPr>
          <w:trHeight w:val="161" w:hRule="exact"/>
        </w:trPr>
        <w:tc>
          <w:tcPr>
            <w:tcW w:w="2564" w:type="dxa"/>
            <w:vMerge/>
            <w:tcBorders>
              <w:left w:val="single" w:sz="4" w:space="0" w:color="000000"/>
              <w:bottom w:val="single" w:sz="4" w:space="0" w:color="000000"/>
              <w:right w:val="single" w:sz="9" w:space="0" w:color="D2D2D2"/>
            </w:tcBorders>
          </w:tcPr>
          <w:p>
            <w:pPr/>
          </w:p>
        </w:tc>
        <w:tc>
          <w:tcPr>
            <w:tcW w:w="5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462" w:type="dxa"/>
            <w:vMerge/>
            <w:tcBorders>
              <w:left w:val="single" w:sz="9" w:space="0" w:color="D2D2D2"/>
              <w:bottom w:val="single" w:sz="4" w:space="0" w:color="000000"/>
              <w:right w:val="single" w:sz="4" w:space="0" w:color="000000"/>
            </w:tcBorders>
          </w:tcPr>
          <w:p>
            <w:pPr/>
          </w:p>
        </w:tc>
      </w:tr>
      <w:tr>
        <w:trPr>
          <w:trHeight w:val="161" w:hRule="exact"/>
        </w:trPr>
        <w:tc>
          <w:tcPr>
            <w:tcW w:w="2564" w:type="dxa"/>
            <w:vMerge w:val="restart"/>
            <w:tcBorders>
              <w:top w:val="single" w:sz="4" w:space="0" w:color="000000"/>
              <w:left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pacing w:val="-4"/>
                <w:sz w:val="18"/>
              </w:rPr>
              <w:t>RTB</w:t>
            </w:r>
          </w:p>
        </w:tc>
        <w:tc>
          <w:tcPr>
            <w:tcW w:w="5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462" w:type="dxa"/>
            <w:vMerge w:val="restart"/>
            <w:tcBorders>
              <w:top w:val="single" w:sz="4" w:space="0" w:color="000000"/>
              <w:left w:val="single" w:sz="9" w:space="0" w:color="D2D2D2"/>
              <w:right w:val="single" w:sz="4" w:space="0" w:color="000000"/>
            </w:tcBorders>
          </w:tcPr>
          <w:p>
            <w:pPr>
              <w:pStyle w:val="TableParagraph"/>
              <w:spacing w:line="300" w:lineRule="auto" w:before="51"/>
              <w:ind w:left="27" w:right="23"/>
              <w:jc w:val="left"/>
              <w:rPr>
                <w:rFonts w:ascii="宋体" w:hAnsi="宋体" w:cs="宋体" w:eastAsia="宋体" w:hint="default"/>
                <w:sz w:val="18"/>
                <w:szCs w:val="18"/>
              </w:rPr>
            </w:pPr>
            <w:r>
              <w:rPr>
                <w:rFonts w:ascii="宋体" w:hAnsi="宋体" w:cs="宋体" w:eastAsia="宋体" w:hint="default"/>
                <w:spacing w:val="-4"/>
                <w:sz w:val="18"/>
                <w:szCs w:val="18"/>
              </w:rPr>
              <w:t>实时竞价，</w:t>
            </w:r>
            <w:r>
              <w:rPr>
                <w:rFonts w:ascii="Times New Roman" w:hAnsi="Times New Roman" w:cs="Times New Roman" w:eastAsia="Times New Roman" w:hint="default"/>
                <w:spacing w:val="-4"/>
                <w:sz w:val="18"/>
                <w:szCs w:val="18"/>
              </w:rPr>
              <w:t>Real </w:t>
            </w:r>
            <w:r>
              <w:rPr>
                <w:rFonts w:ascii="Times New Roman" w:hAnsi="Times New Roman" w:cs="Times New Roman" w:eastAsia="Times New Roman" w:hint="default"/>
                <w:sz w:val="18"/>
                <w:szCs w:val="18"/>
              </w:rPr>
              <w:t>Time Bidding</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的缩写，一种利用第三方技术在数以百万计的网站或 移动应用上针对每一位用户展示行为进行评估以及出价的竞价技术</w:t>
            </w:r>
          </w:p>
        </w:tc>
      </w:tr>
      <w:tr>
        <w:trPr>
          <w:trHeight w:val="392" w:hRule="exact"/>
        </w:trPr>
        <w:tc>
          <w:tcPr>
            <w:tcW w:w="2564" w:type="dxa"/>
            <w:vMerge/>
            <w:tcBorders>
              <w:left w:val="single" w:sz="4" w:space="0" w:color="000000"/>
              <w:right w:val="single" w:sz="9" w:space="0" w:color="D2D2D2"/>
            </w:tcBorders>
          </w:tcPr>
          <w:p>
            <w:pPr/>
          </w:p>
        </w:tc>
        <w:tc>
          <w:tcPr>
            <w:tcW w:w="5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76"/>
              <w:jc w:val="right"/>
              <w:rPr>
                <w:rFonts w:ascii="宋体" w:hAnsi="宋体" w:cs="宋体" w:eastAsia="宋体" w:hint="default"/>
                <w:sz w:val="18"/>
                <w:szCs w:val="18"/>
              </w:rPr>
            </w:pPr>
            <w:r>
              <w:rPr>
                <w:rFonts w:ascii="宋体" w:hAnsi="宋体" w:cs="宋体" w:eastAsia="宋体" w:hint="default"/>
                <w:sz w:val="18"/>
                <w:szCs w:val="18"/>
              </w:rPr>
              <w:t>指</w:t>
            </w:r>
          </w:p>
        </w:tc>
        <w:tc>
          <w:tcPr>
            <w:tcW w:w="6462" w:type="dxa"/>
            <w:vMerge/>
            <w:tcBorders>
              <w:left w:val="single" w:sz="9" w:space="0" w:color="D2D2D2"/>
              <w:right w:val="single" w:sz="4" w:space="0" w:color="000000"/>
            </w:tcBorders>
          </w:tcPr>
          <w:p>
            <w:pPr/>
          </w:p>
        </w:tc>
      </w:tr>
      <w:tr>
        <w:trPr>
          <w:trHeight w:val="161" w:hRule="exact"/>
        </w:trPr>
        <w:tc>
          <w:tcPr>
            <w:tcW w:w="2564" w:type="dxa"/>
            <w:vMerge/>
            <w:tcBorders>
              <w:left w:val="single" w:sz="4" w:space="0" w:color="000000"/>
              <w:bottom w:val="single" w:sz="4" w:space="0" w:color="000000"/>
              <w:right w:val="single" w:sz="9" w:space="0" w:color="D2D2D2"/>
            </w:tcBorders>
          </w:tcPr>
          <w:p>
            <w:pPr/>
          </w:p>
        </w:tc>
        <w:tc>
          <w:tcPr>
            <w:tcW w:w="5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462" w:type="dxa"/>
            <w:vMerge/>
            <w:tcBorders>
              <w:left w:val="single" w:sz="9" w:space="0" w:color="D2D2D2"/>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r>
        <w:rPr/>
        <w:pict>
          <v:group style="position:absolute;margin-left:172.339996pt;margin-top:272.779968pt;width:361.5pt;height:19.6pt;mso-position-horizontal-relative:page;mso-position-vertical-relative:page;z-index:-882976" coordorigin="3447,5456" coordsize="7230,392">
            <v:shape style="position:absolute;left:3447;top:5456;width:7230;height:392" coordorigin="3447,5456" coordsize="7230,392" path="m3447,5847l10676,5847,10676,5456,3447,5456,3447,5847xe" filled="true" fillcolor="#ffffff" stroked="false">
              <v:path arrowok="t"/>
              <v:fill type="solid"/>
            </v:shape>
            <w10:wrap type="none"/>
          </v:group>
        </w:pict>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644" w:right="0"/>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76"/>
        <w:gridCol w:w="2133"/>
        <w:gridCol w:w="2188"/>
      </w:tblGrid>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久其软件</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002279</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北京久其软件股份有限公司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久其软件</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Beijing Join-Cheer Software Co.,</w:t>
            </w:r>
            <w:r>
              <w:rPr>
                <w:rFonts w:ascii="Times New Roman"/>
                <w:spacing w:val="-7"/>
                <w:sz w:val="18"/>
              </w:rPr>
              <w:t> </w:t>
            </w:r>
            <w:r>
              <w:rPr>
                <w:rFonts w:ascii="Times New Roman"/>
                <w:sz w:val="18"/>
              </w:rPr>
              <w:t>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Join-Cheer</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赵福君</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北京市海淀区大慧寺路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100081</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北京经济技术开发区西环中路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100176</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www.jiuqi.com.cn</w:t>
              </w:r>
            </w:hyperlink>
          </w:p>
        </w:tc>
      </w:tr>
      <w:tr>
        <w:trPr>
          <w:trHeight w:val="40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002279@jiuqi.com.cn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王海霞</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刘文佳</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北京经济技术开发区西环中路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北京经济技术开发区西环中路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010-58022988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010-88551199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010-58022897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010-58022897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whx@jiuqi.com.cn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liuwenjia@jiuqi.com.cn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《证券时报》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16"/>
                <w:sz w:val="18"/>
                <w:szCs w:val="18"/>
              </w:rPr>
              <w:t> </w:t>
            </w:r>
            <w:hyperlink r:id="rId13">
              <w:r>
                <w:rPr>
                  <w:rFonts w:ascii="Times New Roman" w:hAnsi="Times New Roman" w:cs="Times New Roman" w:eastAsia="Times New Roman" w:hint="default"/>
                  <w:sz w:val="18"/>
                  <w:szCs w:val="18"/>
                </w:rPr>
                <w:t>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董事会办公室</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bookmarkStart w:name="四、注册变更情况" w:id="8"/>
      <w:bookmarkEnd w:id="8"/>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835"/>
        <w:gridCol w:w="6733"/>
      </w:tblGrid>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911100007177242684</w:t>
            </w:r>
            <w:r>
              <w:rPr>
                <w:rFonts w:ascii="宋体" w:hAnsi="宋体" w:cs="宋体" w:eastAsia="宋体" w:hint="default"/>
                <w:sz w:val="18"/>
                <w:szCs w:val="18"/>
              </w:rPr>
              <w:t>（统一社会信用代码）</w:t>
            </w:r>
          </w:p>
        </w:tc>
      </w:tr>
      <w:tr>
        <w:trPr>
          <w:trHeight w:val="1026"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673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公司通过战略转型，除在传统的电子政务、集团管控两大业务板块继续发力外，通过 </w:t>
            </w:r>
            <w:r>
              <w:rPr>
                <w:rFonts w:ascii="宋体" w:hAnsi="宋体" w:cs="宋体" w:eastAsia="宋体" w:hint="default"/>
                <w:spacing w:val="-5"/>
                <w:sz w:val="18"/>
                <w:szCs w:val="18"/>
              </w:rPr>
              <w:t>外延式发展，扩展了大数据及移动互联两大新业务板块。具体业务情况详见</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第三节</w:t>
            </w:r>
            <w:r>
              <w:rPr>
                <w:rFonts w:ascii="宋体" w:hAnsi="宋体" w:cs="宋体" w:eastAsia="宋体" w:hint="default"/>
                <w:spacing w:val="26"/>
                <w:sz w:val="18"/>
                <w:szCs w:val="18"/>
              </w:rPr>
              <w:t> </w:t>
            </w:r>
            <w:r>
              <w:rPr>
                <w:rFonts w:ascii="宋体" w:hAnsi="宋体" w:cs="宋体" w:eastAsia="宋体" w:hint="default"/>
                <w:sz w:val="18"/>
                <w:szCs w:val="18"/>
              </w:rPr>
              <w:t>公</w:t>
            </w:r>
            <w:r>
              <w:rPr>
                <w:rFonts w:ascii="宋体" w:hAnsi="宋体" w:cs="宋体" w:eastAsia="宋体" w:hint="default"/>
                <w:spacing w:val="-87"/>
                <w:sz w:val="18"/>
                <w:szCs w:val="18"/>
              </w:rPr>
              <w:t> </w:t>
            </w:r>
            <w:r>
              <w:rPr>
                <w:rFonts w:ascii="宋体" w:hAnsi="宋体" w:cs="宋体" w:eastAsia="宋体" w:hint="default"/>
                <w:sz w:val="18"/>
                <w:szCs w:val="18"/>
              </w:rPr>
              <w:t>司业务概要</w:t>
            </w:r>
            <w:r>
              <w:rPr>
                <w:rFonts w:ascii="Times New Roman" w:hAnsi="Times New Roman" w:cs="Times New Roman" w:eastAsia="Times New Roman" w:hint="default"/>
                <w:sz w:val="18"/>
                <w:szCs w:val="18"/>
              </w:rPr>
              <w:t>”</w:t>
            </w:r>
            <w:r>
              <w:rPr>
                <w:rFonts w:ascii="宋体" w:hAnsi="宋体" w:cs="宋体" w:eastAsia="宋体" w:hint="default"/>
                <w:sz w:val="18"/>
                <w:szCs w:val="18"/>
              </w:rPr>
              <w:t>中</w:t>
            </w:r>
            <w:r>
              <w:rPr>
                <w:rFonts w:ascii="Times New Roman" w:hAnsi="Times New Roman" w:cs="Times New Roman" w:eastAsia="Times New Roman" w:hint="default"/>
                <w:sz w:val="18"/>
                <w:szCs w:val="18"/>
              </w:rPr>
              <w:t>“</w:t>
            </w:r>
            <w:r>
              <w:rPr>
                <w:rFonts w:ascii="宋体" w:hAnsi="宋体" w:cs="宋体" w:eastAsia="宋体" w:hint="default"/>
                <w:sz w:val="18"/>
                <w:szCs w:val="18"/>
              </w:rPr>
              <w:t>一、报告期内公司从事的主要业务</w:t>
            </w:r>
            <w:r>
              <w:rPr>
                <w:rFonts w:ascii="Times New Roman" w:hAnsi="Times New Roman" w:cs="Times New Roman" w:eastAsia="Times New Roman" w:hint="default"/>
                <w:sz w:val="18"/>
                <w:szCs w:val="18"/>
              </w:rPr>
              <w:t>”</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五、其他有关资料" w:id="9"/>
      <w:bookmarkEnd w:id="9"/>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北京市西城区北三环中路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号院茅台大厦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陈勇波、梁谦海</w:t>
            </w:r>
          </w:p>
        </w:tc>
      </w:tr>
    </w:tbl>
    <w:p>
      <w:pPr>
        <w:pStyle w:val="BodyText"/>
        <w:spacing w:line="240" w:lineRule="auto" w:before="51"/>
        <w:ind w:left="154" w:right="0"/>
        <w:jc w:val="left"/>
      </w:pPr>
      <w:r>
        <w:rPr/>
        <w:t>公司聘请的报告期内履行持续督导职责的保荐机构</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公司聘请的报告期内履行持续督导职责的财务顾问</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华泰联合证券有限责任公司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08"/>
              <w:jc w:val="left"/>
              <w:rPr>
                <w:rFonts w:ascii="宋体" w:hAnsi="宋体" w:cs="宋体" w:eastAsia="宋体" w:hint="default"/>
                <w:sz w:val="18"/>
                <w:szCs w:val="18"/>
              </w:rPr>
            </w:pPr>
            <w:r>
              <w:rPr>
                <w:rFonts w:ascii="宋体" w:hAnsi="宋体" w:cs="宋体" w:eastAsia="宋体" w:hint="default"/>
                <w:sz w:val="18"/>
                <w:szCs w:val="18"/>
              </w:rPr>
              <w:t>北京市西城区丰盛胡同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丰铭国际大厦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座六层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倪佳伟、刘景媛、赵岩</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截止到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right="-19"/>
        <w:jc w:val="left"/>
      </w:pPr>
      <w:r>
        <w:rPr/>
        <w:t>公司是否因会计政策变更及会计差错更正等追溯调整或重述以前年度会计数据</w:t>
      </w:r>
    </w:p>
    <w:p>
      <w:pPr>
        <w:pStyle w:val="BodyText"/>
        <w:spacing w:line="240" w:lineRule="auto" w:before="117"/>
        <w:ind w:right="-1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6275" w:space="2645"/>
            <w:col w:w="201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716,679,345.55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326,678,547.40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119.38%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289,545,451.00</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134,979,385.42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72,679,211.46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85.72%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59,433,902.96</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122,260,399.87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50,101,907.29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144.02%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53,195,549.02</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173,522,161.37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83,342,997.19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108.20%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72,100,949.70</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0.6827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0.4134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65.14%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0.3381</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0.6827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0.4134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65.14%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0.3381</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10.19%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0.15%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8.66%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445" w:right="0"/>
              <w:jc w:val="left"/>
              <w:rPr>
                <w:rFonts w:ascii="Times New Roman" w:hAnsi="Times New Roman" w:cs="Times New Roman" w:eastAsia="Times New Roman" w:hint="default"/>
                <w:sz w:val="18"/>
                <w:szCs w:val="18"/>
              </w:rPr>
            </w:pPr>
            <w:r>
              <w:rPr>
                <w:rFonts w:ascii="Times New Roman"/>
                <w:sz w:val="18"/>
              </w:rPr>
              <w:t>2,497,285,739.62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824,654,371.78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202.83%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762,322,892.11</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8"/>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5" w:right="0"/>
              <w:jc w:val="left"/>
              <w:rPr>
                <w:rFonts w:ascii="Times New Roman" w:hAnsi="Times New Roman" w:cs="Times New Roman" w:eastAsia="Times New Roman" w:hint="default"/>
                <w:sz w:val="18"/>
                <w:szCs w:val="18"/>
              </w:rPr>
            </w:pPr>
            <w:r>
              <w:rPr>
                <w:rFonts w:ascii="Times New Roman"/>
                <w:sz w:val="18"/>
              </w:rPr>
              <w:t>1,965,596,669.68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749,786,309.55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162.15%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708,750,252.99</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21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12"/>
        <w:rPr>
          <w:rFonts w:ascii="宋体" w:hAnsi="宋体" w:cs="宋体" w:eastAsia="宋体" w:hint="default"/>
          <w:sz w:val="20"/>
          <w:szCs w:val="20"/>
        </w:rPr>
      </w:pPr>
    </w:p>
    <w:p>
      <w:pPr>
        <w:pStyle w:val="Heading3"/>
        <w:spacing w:line="240" w:lineRule="auto"/>
        <w:ind w:left="153"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2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49,290,961.26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109,313,843.04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158,316,077.22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399,758,464.03</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-14,224,596.73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21,489,908.56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32,770,104.77</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94,943,968.82</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-19,567,243.31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17,796,385.90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30,259,896.24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93,771,361.04</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-57,785,857.62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-1,781,688.67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-5,472,013.53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238,561,721.19</w:t>
            </w:r>
          </w:p>
        </w:tc>
      </w:tr>
    </w:tbl>
    <w:p>
      <w:pPr>
        <w:pStyle w:val="BodyText"/>
        <w:spacing w:line="240" w:lineRule="auto" w:before="51"/>
        <w:ind w:left="154" w:right="0"/>
        <w:jc w:val="left"/>
      </w:pPr>
      <w:r>
        <w:rPr/>
        <w:t>上述财务指标或其加总数是否与公司已披露季度报告、半年度报告相关财务指标存在重大差异</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85"/>
        <w:gridCol w:w="1520"/>
        <w:gridCol w:w="1520"/>
        <w:gridCol w:w="1522"/>
        <w:gridCol w:w="1710"/>
      </w:tblGrid>
      <w:tr>
        <w:trPr>
          <w:trHeight w:val="402"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3"/>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05" w:right="0"/>
              <w:jc w:val="left"/>
              <w:rPr>
                <w:rFonts w:ascii="Times New Roman" w:hAnsi="Times New Roman" w:cs="Times New Roman" w:eastAsia="Times New Roman" w:hint="default"/>
                <w:sz w:val="18"/>
                <w:szCs w:val="18"/>
              </w:rPr>
            </w:pPr>
            <w:r>
              <w:rPr>
                <w:rFonts w:ascii="Times New Roman"/>
                <w:sz w:val="18"/>
              </w:rPr>
              <w:t>-325,926.50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18" w:right="0"/>
              <w:jc w:val="left"/>
              <w:rPr>
                <w:rFonts w:ascii="Times New Roman" w:hAnsi="Times New Roman" w:cs="Times New Roman" w:eastAsia="Times New Roman" w:hint="default"/>
                <w:sz w:val="18"/>
                <w:szCs w:val="18"/>
              </w:rPr>
            </w:pPr>
            <w:r>
              <w:rPr>
                <w:rFonts w:ascii="Times New Roman"/>
                <w:sz w:val="18"/>
              </w:rPr>
              <w:t>-674,089.13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19" w:right="0"/>
              <w:jc w:val="left"/>
              <w:rPr>
                <w:rFonts w:ascii="Times New Roman" w:hAnsi="Times New Roman" w:cs="Times New Roman" w:eastAsia="Times New Roman" w:hint="default"/>
                <w:sz w:val="18"/>
                <w:szCs w:val="18"/>
              </w:rPr>
            </w:pPr>
            <w:r>
              <w:rPr>
                <w:rFonts w:ascii="Times New Roman"/>
                <w:sz w:val="18"/>
              </w:rPr>
              <w:t>-842,430.01</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298" w:hRule="exact"/>
        </w:trPr>
        <w:tc>
          <w:tcPr>
            <w:tcW w:w="32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0"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535" w:right="0"/>
              <w:jc w:val="left"/>
              <w:rPr>
                <w:rFonts w:ascii="Times New Roman" w:hAnsi="Times New Roman" w:cs="Times New Roman" w:eastAsia="Times New Roman" w:hint="default"/>
                <w:sz w:val="18"/>
                <w:szCs w:val="18"/>
              </w:rPr>
            </w:pPr>
            <w:r>
              <w:rPr>
                <w:rFonts w:ascii="Times New Roman"/>
                <w:sz w:val="18"/>
              </w:rPr>
              <w:t>3,445,243.49</w:t>
            </w:r>
          </w:p>
        </w:tc>
        <w:tc>
          <w:tcPr>
            <w:tcW w:w="15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543" w:right="0"/>
              <w:jc w:val="left"/>
              <w:rPr>
                <w:rFonts w:ascii="Times New Roman" w:hAnsi="Times New Roman" w:cs="Times New Roman" w:eastAsia="Times New Roman" w:hint="default"/>
                <w:sz w:val="18"/>
                <w:szCs w:val="18"/>
              </w:rPr>
            </w:pPr>
            <w:r>
              <w:rPr>
                <w:rFonts w:ascii="Times New Roman"/>
                <w:sz w:val="18"/>
              </w:rPr>
              <w:t>8,206,377.72</w:t>
            </w: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544" w:right="0"/>
              <w:jc w:val="left"/>
              <w:rPr>
                <w:rFonts w:ascii="Times New Roman" w:hAnsi="Times New Roman" w:cs="Times New Roman" w:eastAsia="Times New Roman" w:hint="default"/>
                <w:sz w:val="18"/>
                <w:szCs w:val="18"/>
              </w:rPr>
            </w:pPr>
            <w:r>
              <w:rPr>
                <w:rFonts w:ascii="Times New Roman"/>
                <w:sz w:val="18"/>
              </w:rPr>
              <w:t>2,303,946.16</w:t>
            </w:r>
          </w:p>
        </w:tc>
        <w:tc>
          <w:tcPr>
            <w:tcW w:w="1710" w:type="dxa"/>
            <w:vMerge w:val="restart"/>
            <w:tcBorders>
              <w:top w:val="single" w:sz="4" w:space="0" w:color="000000"/>
              <w:left w:val="single" w:sz="4" w:space="0" w:color="000000"/>
              <w:right w:val="single" w:sz="4" w:space="0" w:color="000000"/>
            </w:tcBorders>
          </w:tcPr>
          <w:p>
            <w:pPr>
              <w:pStyle w:val="TableParagraph"/>
              <w:spacing w:line="316" w:lineRule="auto" w:before="53"/>
              <w:ind w:left="23" w:right="20"/>
              <w:jc w:val="both"/>
              <w:rPr>
                <w:rFonts w:ascii="宋体" w:hAnsi="宋体" w:cs="宋体" w:eastAsia="宋体" w:hint="default"/>
                <w:sz w:val="18"/>
                <w:szCs w:val="18"/>
              </w:rPr>
            </w:pPr>
            <w:r>
              <w:rPr>
                <w:rFonts w:ascii="宋体" w:hAnsi="宋体" w:cs="宋体" w:eastAsia="宋体" w:hint="default"/>
                <w:sz w:val="18"/>
                <w:szCs w:val="18"/>
              </w:rPr>
              <w:t>公司报告期内获得政 府补助明细请参看本 </w:t>
            </w:r>
            <w:r>
              <w:rPr>
                <w:rFonts w:ascii="宋体" w:hAnsi="宋体" w:cs="宋体" w:eastAsia="宋体" w:hint="default"/>
                <w:spacing w:val="-10"/>
                <w:sz w:val="18"/>
                <w:szCs w:val="18"/>
              </w:rPr>
              <w:t>报告“第十节</w:t>
            </w:r>
            <w:r>
              <w:rPr>
                <w:rFonts w:ascii="宋体" w:hAnsi="宋体" w:cs="宋体" w:eastAsia="宋体" w:hint="default"/>
                <w:spacing w:val="1"/>
                <w:sz w:val="18"/>
                <w:szCs w:val="18"/>
              </w:rPr>
              <w:t> </w:t>
            </w:r>
            <w:r>
              <w:rPr>
                <w:rFonts w:ascii="宋体" w:hAnsi="宋体" w:cs="宋体" w:eastAsia="宋体" w:hint="default"/>
                <w:sz w:val="18"/>
                <w:szCs w:val="18"/>
              </w:rPr>
              <w:t>财务报</w:t>
            </w:r>
            <w:r>
              <w:rPr>
                <w:rFonts w:ascii="宋体" w:hAnsi="宋体" w:cs="宋体" w:eastAsia="宋体" w:hint="default"/>
                <w:sz w:val="18"/>
                <w:szCs w:val="18"/>
              </w:rPr>
              <w:t> 告 </w:t>
            </w:r>
            <w:r>
              <w:rPr>
                <w:rFonts w:ascii="宋体" w:hAnsi="宋体" w:cs="宋体" w:eastAsia="宋体" w:hint="default"/>
                <w:spacing w:val="-12"/>
                <w:sz w:val="18"/>
                <w:szCs w:val="18"/>
              </w:rPr>
              <w:t>”“七、合并财务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报表项目注释”中的</w:t>
            </w:r>
          </w:p>
        </w:tc>
      </w:tr>
      <w:tr>
        <w:trPr>
          <w:trHeight w:val="1016" w:hRule="exact"/>
        </w:trPr>
        <w:tc>
          <w:tcPr>
            <w:tcW w:w="32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22"/>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20" w:type="dxa"/>
            <w:vMerge/>
            <w:tcBorders>
              <w:left w:val="single" w:sz="10" w:space="0" w:color="D2D2D2"/>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vMerge/>
            <w:tcBorders>
              <w:left w:val="single" w:sz="4" w:space="0" w:color="000000"/>
              <w:right w:val="single" w:sz="4" w:space="0" w:color="000000"/>
            </w:tcBorders>
          </w:tcPr>
          <w:p>
            <w:pPr/>
          </w:p>
        </w:tc>
      </w:tr>
      <w:tr>
        <w:trPr>
          <w:trHeight w:val="296" w:hRule="exact"/>
        </w:trPr>
        <w:tc>
          <w:tcPr>
            <w:tcW w:w="32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0" w:type="dxa"/>
            <w:vMerge/>
            <w:tcBorders>
              <w:left w:val="single" w:sz="10" w:space="0" w:color="D2D2D2"/>
              <w:bottom w:val="single" w:sz="4" w:space="0" w:color="000000"/>
              <w:right w:val="single" w:sz="4" w:space="0" w:color="000000"/>
            </w:tcBorders>
          </w:tcPr>
          <w:p>
            <w:pPr/>
          </w:p>
        </w:tc>
        <w:tc>
          <w:tcPr>
            <w:tcW w:w="1520"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10"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36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39</w:t>
            </w:r>
            <w:r>
              <w:rPr>
                <w:rFonts w:ascii="宋体" w:hAnsi="宋体" w:cs="宋体" w:eastAsia="宋体" w:hint="default"/>
                <w:sz w:val="18"/>
                <w:szCs w:val="18"/>
              </w:rPr>
              <w:t>、营业外收入”</w:t>
            </w: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5,980,840.14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6,841,036.68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3,024,949.20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4"/>
              <w:jc w:val="left"/>
              <w:rPr>
                <w:rFonts w:ascii="宋体" w:hAnsi="宋体" w:cs="宋体" w:eastAsia="宋体" w:hint="default"/>
                <w:sz w:val="18"/>
                <w:szCs w:val="18"/>
              </w:rPr>
            </w:pPr>
            <w:r>
              <w:rPr>
                <w:rFonts w:ascii="宋体" w:hAnsi="宋体" w:cs="宋体" w:eastAsia="宋体" w:hint="default"/>
                <w:sz w:val="18"/>
                <w:szCs w:val="18"/>
              </w:rPr>
              <w:t>公司报告期内购买的 信托产品的投资收益</w:t>
            </w:r>
          </w:p>
        </w:tc>
      </w:tr>
      <w:tr>
        <w:trPr>
          <w:trHeight w:val="1650"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3,066,688.55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3,821,057.10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3,345,119.03</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54"/>
              <w:jc w:val="both"/>
              <w:rPr>
                <w:rFonts w:ascii="宋体" w:hAnsi="宋体" w:cs="宋体" w:eastAsia="宋体" w:hint="default"/>
                <w:sz w:val="18"/>
                <w:szCs w:val="18"/>
              </w:rPr>
            </w:pPr>
            <w:r>
              <w:rPr>
                <w:rFonts w:ascii="宋体" w:hAnsi="宋体" w:cs="宋体" w:eastAsia="宋体" w:hint="default"/>
                <w:sz w:val="18"/>
                <w:szCs w:val="18"/>
              </w:rPr>
              <w:t>公司报告期内购买的 银行理财产品、资管 产品的投资收益</w:t>
            </w: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-532,381.60</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-120,553.92</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-702,174.68</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3,204,866.35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6,699,645.98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4"/>
              <w:jc w:val="left"/>
              <w:rPr>
                <w:rFonts w:ascii="宋体" w:hAnsi="宋体" w:cs="宋体" w:eastAsia="宋体" w:hint="default"/>
                <w:sz w:val="18"/>
                <w:szCs w:val="18"/>
              </w:rPr>
            </w:pPr>
            <w:r>
              <w:rPr>
                <w:rFonts w:ascii="宋体" w:hAnsi="宋体" w:cs="宋体" w:eastAsia="宋体" w:hint="default"/>
                <w:sz w:val="18"/>
                <w:szCs w:val="18"/>
              </w:rPr>
              <w:t>公司报告期内处置北 邮中望的投资收益</w:t>
            </w: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1,999,886.33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2,204,751.55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873,431.80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120,458.55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-8,581.29</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17,623.96</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12,718,985.55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22,577,304.17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6,238,353.94</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left="15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116"/>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47" w:right="0"/>
        <w:jc w:val="left"/>
        <w:rPr>
          <w:b w:val="0"/>
          <w:bCs w:val="0"/>
        </w:rPr>
      </w:pPr>
      <w:bookmarkStart w:name="第三节 公司业务概要" w:id="16"/>
      <w:bookmarkEnd w:id="16"/>
      <w:r>
        <w:rPr>
          <w:b w:val="0"/>
          <w:bCs w:val="0"/>
        </w:rPr>
      </w:r>
      <w:bookmarkStart w:name="_bookmark2" w:id="17"/>
      <w:bookmarkEnd w:id="17"/>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6"/>
        <w:rPr>
          <w:rFonts w:ascii="宋体" w:hAnsi="宋体" w:cs="宋体" w:eastAsia="宋体" w:hint="default"/>
          <w:b/>
          <w:bCs/>
          <w:sz w:val="26"/>
          <w:szCs w:val="26"/>
        </w:rPr>
      </w:pPr>
    </w:p>
    <w:p>
      <w:pPr>
        <w:pStyle w:val="BodyText"/>
        <w:spacing w:line="314" w:lineRule="auto"/>
        <w:ind w:right="0"/>
        <w:jc w:val="left"/>
      </w:pPr>
      <w:r>
        <w:rPr>
          <w:spacing w:val="-2"/>
        </w:rPr>
        <w:t>公司是国内领先的管理软件提供商，致力于为政府部门和企业集团提供信息化产品、解决方案及管理咨询服务。近年来，公</w:t>
      </w:r>
      <w:r>
        <w:rPr>
          <w:spacing w:val="-66"/>
        </w:rPr>
        <w:t> </w:t>
      </w:r>
      <w:r>
        <w:rPr>
          <w:spacing w:val="-66"/>
        </w:rPr>
      </w:r>
      <w:r>
        <w:rPr>
          <w:spacing w:val="-4"/>
        </w:rPr>
        <w:t>司围绕战略转型升级的目标，凭借自身在电子政务和集团管控领域多年的技术积累、业务经验及客户资源，充分利用大数据、</w:t>
      </w:r>
      <w:r>
        <w:rPr>
          <w:spacing w:val="-44"/>
        </w:rPr>
        <w:t> </w:t>
      </w:r>
      <w:r>
        <w:rPr>
          <w:spacing w:val="-44"/>
        </w:rPr>
      </w:r>
      <w:r>
        <w:rPr>
          <w:spacing w:val="-2"/>
        </w:rPr>
        <w:t>云计算、移动互联等新技术，创新商业模式与业务形态，深挖商业价值。同时，确立了内生增长和外延发展并重的策略，以</w:t>
      </w:r>
      <w:r>
        <w:rPr>
          <w:spacing w:val="-68"/>
        </w:rPr>
        <w:t> </w:t>
      </w:r>
      <w:r>
        <w:rPr>
          <w:spacing w:val="-68"/>
        </w:rPr>
      </w:r>
      <w:r>
        <w:rPr/>
        <w:t>精心布局电子政务、集团管控、大数据及移动互联四大业务板块为基础，借助资本的平台，进一步构建</w:t>
      </w:r>
      <w:r>
        <w:rPr>
          <w:rFonts w:ascii="Times New Roman" w:hAnsi="Times New Roman" w:cs="Times New Roman" w:eastAsia="Times New Roman" w:hint="default"/>
        </w:rPr>
        <w:t>“</w:t>
      </w:r>
      <w:r>
        <w:rPr/>
        <w:t>久其</w:t>
      </w:r>
      <w:r>
        <w:rPr>
          <w:rFonts w:ascii="Times New Roman" w:hAnsi="Times New Roman" w:cs="Times New Roman" w:eastAsia="Times New Roman" w:hint="default"/>
        </w:rPr>
        <w:t>+”</w:t>
      </w:r>
      <w:r>
        <w:rPr/>
        <w:t>信息化生态</w:t>
      </w:r>
      <w:r>
        <w:rPr>
          <w:spacing w:val="-76"/>
        </w:rPr>
        <w:t> </w:t>
      </w:r>
      <w:r>
        <w:rPr>
          <w:spacing w:val="-76"/>
        </w:rPr>
      </w:r>
      <w:r>
        <w:rPr/>
        <w:t>体系，充分发挥整合的资源优势，为新老客户创造价值。</w:t>
      </w:r>
    </w:p>
    <w:p>
      <w:pPr>
        <w:spacing w:line="240" w:lineRule="auto" w:before="6"/>
        <w:rPr>
          <w:rFonts w:ascii="宋体" w:hAnsi="宋体" w:cs="宋体" w:eastAsia="宋体" w:hint="default"/>
          <w:sz w:val="25"/>
          <w:szCs w:val="25"/>
        </w:rPr>
      </w:pPr>
    </w:p>
    <w:p>
      <w:pPr>
        <w:pStyle w:val="BodyText"/>
        <w:spacing w:line="316" w:lineRule="auto"/>
        <w:ind w:left="154" w:right="0"/>
        <w:jc w:val="left"/>
      </w:pPr>
      <w:r>
        <w:rPr>
          <w:spacing w:val="-2"/>
        </w:rPr>
        <w:t>电子政务和集团管控是公司的传统优势业务，亦是公司立足之本。近年来，公司通过深入挖掘用户需求，积极开拓区域市场</w:t>
      </w:r>
      <w:r>
        <w:rPr>
          <w:spacing w:val="-65"/>
        </w:rPr>
        <w:t> </w:t>
      </w:r>
      <w:r>
        <w:rPr>
          <w:spacing w:val="-65"/>
        </w:rPr>
      </w:r>
      <w:r>
        <w:rPr>
          <w:spacing w:val="-2"/>
        </w:rPr>
        <w:t>等举措，持续深耕中央及地方政府市场，围绕行政事业单位资产管理、政府统计、政府监管服务、登记审批、政府大数据等</w:t>
      </w:r>
      <w:r>
        <w:rPr>
          <w:spacing w:val="-68"/>
        </w:rPr>
        <w:t> </w:t>
      </w:r>
      <w:r>
        <w:rPr>
          <w:spacing w:val="-68"/>
        </w:rPr>
      </w:r>
      <w:r>
        <w:rPr>
          <w:spacing w:val="-2"/>
        </w:rPr>
        <w:t>产品与解决方案，进一步帮助政府客户提升公共服务和行政管理能力。在报告期</w:t>
      </w:r>
      <w:r>
        <w:rPr>
          <w:rFonts w:ascii="宋体" w:hAnsi="宋体" w:cs="宋体" w:eastAsia="宋体" w:hint="default"/>
          <w:spacing w:val="-2"/>
        </w:rPr>
        <w:t>11</w:t>
      </w:r>
      <w:r>
        <w:rPr>
          <w:spacing w:val="-2"/>
        </w:rPr>
        <w:t>月末纳入公司合并范围的华夏电通，是公</w:t>
      </w:r>
      <w:r>
        <w:rPr>
          <w:spacing w:val="-64"/>
        </w:rPr>
        <w:t> </w:t>
      </w:r>
      <w:r>
        <w:rPr>
          <w:spacing w:val="-64"/>
        </w:rPr>
      </w:r>
      <w:r>
        <w:rPr>
          <w:spacing w:val="-4"/>
        </w:rPr>
        <w:t>司外延式并购在法院细分行业领域的一次精心布局，通过双方的优势互补与资源整合，提升公司在法院领域的解决方案能力。</w:t>
      </w:r>
      <w:r>
        <w:rPr>
          <w:spacing w:val="-44"/>
        </w:rPr>
        <w:t> </w:t>
      </w:r>
      <w:r>
        <w:rPr>
          <w:spacing w:val="-44"/>
        </w:rPr>
      </w:r>
      <w:r>
        <w:rPr>
          <w:spacing w:val="-2"/>
        </w:rPr>
        <w:t>此外，以集团型企业管控痛点难点为切入点，公司集团管控产品体系与核心技术不断优化，推出了全面预算管理、财务共享</w:t>
      </w:r>
      <w:r>
        <w:rPr>
          <w:spacing w:val="-66"/>
        </w:rPr>
        <w:t> </w:t>
      </w:r>
      <w:r>
        <w:rPr>
          <w:spacing w:val="-66"/>
        </w:rPr>
      </w:r>
      <w:r>
        <w:rPr>
          <w:spacing w:val="-2"/>
        </w:rPr>
        <w:t>服务中心、集团财务、财务业务一体化、业财数据中心、全面风险管理、全面绩效管理以及集团合并等业内领先的综合性产</w:t>
      </w:r>
      <w:r>
        <w:rPr>
          <w:spacing w:val="-66"/>
        </w:rPr>
        <w:t> </w:t>
      </w:r>
      <w:r>
        <w:rPr>
          <w:spacing w:val="-66"/>
        </w:rPr>
      </w:r>
      <w:r>
        <w:rPr/>
        <w:t>品与系列解决方案，并已在众多超大型集团企业客户中得到了应用。</w:t>
      </w:r>
    </w:p>
    <w:p>
      <w:pPr>
        <w:spacing w:line="240" w:lineRule="auto" w:before="4"/>
        <w:rPr>
          <w:rFonts w:ascii="宋体" w:hAnsi="宋体" w:cs="宋体" w:eastAsia="宋体" w:hint="default"/>
          <w:sz w:val="25"/>
          <w:szCs w:val="25"/>
        </w:rPr>
      </w:pPr>
    </w:p>
    <w:p>
      <w:pPr>
        <w:pStyle w:val="BodyText"/>
        <w:spacing w:line="319" w:lineRule="auto"/>
        <w:ind w:left="154" w:right="0"/>
        <w:jc w:val="left"/>
      </w:pPr>
      <w:r>
        <w:rPr>
          <w:spacing w:val="-2"/>
        </w:rPr>
        <w:t>为强化公司在传统业务领域的核心竞争力，创新、优化并再造商业模式和盈利能力，加速公司战略转型，公司以产业革新为</w:t>
      </w:r>
      <w:r>
        <w:rPr>
          <w:spacing w:val="-66"/>
        </w:rPr>
        <w:t> </w:t>
      </w:r>
      <w:r>
        <w:rPr>
          <w:spacing w:val="-66"/>
        </w:rPr>
      </w:r>
      <w:r>
        <w:rPr>
          <w:spacing w:val="-4"/>
        </w:rPr>
        <w:t>发展契机，积极践行外延式发展战略，借助资本平台，采取自主孵化、战略合作及并购重组等多种方式，布局了大数据应用、</w:t>
      </w:r>
      <w:r>
        <w:rPr>
          <w:spacing w:val="-44"/>
        </w:rPr>
        <w:t> </w:t>
      </w:r>
      <w:r>
        <w:rPr>
          <w:spacing w:val="-44"/>
        </w:rPr>
      </w:r>
      <w:r>
        <w:rPr>
          <w:spacing w:val="-2"/>
        </w:rPr>
        <w:t>云计算、移动互联领域。其中，在大数据方向上进行重点战略布局，公司分别与智通胜创、龙信数据合资设立控股子公司久</w:t>
      </w:r>
      <w:r>
        <w:rPr>
          <w:spacing w:val="-66"/>
        </w:rPr>
        <w:t> </w:t>
      </w:r>
      <w:r>
        <w:rPr>
          <w:spacing w:val="-66"/>
        </w:rPr>
      </w:r>
      <w:r>
        <w:rPr>
          <w:spacing w:val="-2"/>
        </w:rPr>
        <w:t>其智通、久其龙信，并与公司自主品牌久其唯数进行深度技术融合，使公司在大数据技术和业务方面自成体系，同时也为公</w:t>
      </w:r>
      <w:r>
        <w:rPr>
          <w:spacing w:val="-66"/>
        </w:rPr>
        <w:t> </w:t>
      </w:r>
      <w:r>
        <w:rPr>
          <w:spacing w:val="-66"/>
        </w:rPr>
      </w:r>
      <w:r>
        <w:rPr/>
        <w:t>司致力成为基于大数据的综合信息服务提供商奠定了重要基础。</w:t>
      </w:r>
    </w:p>
    <w:p>
      <w:pPr>
        <w:spacing w:line="240" w:lineRule="auto" w:before="2"/>
        <w:rPr>
          <w:rFonts w:ascii="宋体" w:hAnsi="宋体" w:cs="宋体" w:eastAsia="宋体" w:hint="default"/>
          <w:sz w:val="25"/>
          <w:szCs w:val="25"/>
        </w:rPr>
      </w:pPr>
    </w:p>
    <w:p>
      <w:pPr>
        <w:pStyle w:val="BodyText"/>
        <w:spacing w:line="300" w:lineRule="auto"/>
        <w:ind w:right="1130"/>
        <w:jc w:val="both"/>
      </w:pPr>
      <w:r>
        <w:rPr/>
        <w:t>顺应</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发展趋势，公司充分借助并利用多年来积累的技术、业务、客户等优势，不断寻求互联网与公司传统业务领</w:t>
      </w:r>
      <w:r>
        <w:rPr>
          <w:spacing w:val="-79"/>
        </w:rPr>
        <w:t> </w:t>
      </w:r>
      <w:r>
        <w:rPr>
          <w:spacing w:val="-79"/>
        </w:rPr>
      </w:r>
      <w:r>
        <w:rPr/>
        <w:t>域的深入融合和创新发展之路，经过一段时间的摸索与实践，已在数字营销、互联网金融、互联网</w:t>
      </w:r>
      <w:r>
        <w:rPr>
          <w:rFonts w:ascii="Times New Roman" w:hAnsi="Times New Roman" w:cs="Times New Roman" w:eastAsia="Times New Roman" w:hint="default"/>
        </w:rPr>
        <w:t>+</w:t>
      </w:r>
      <w:r>
        <w:rPr/>
        <w:t>物流、互联网</w:t>
      </w:r>
      <w:r>
        <w:rPr>
          <w:rFonts w:ascii="Times New Roman" w:hAnsi="Times New Roman" w:cs="Times New Roman" w:eastAsia="Times New Roman" w:hint="default"/>
        </w:rPr>
        <w:t>+</w:t>
      </w:r>
      <w:r>
        <w:rPr/>
        <w:t>养老等</w:t>
      </w:r>
      <w:r>
        <w:rPr>
          <w:spacing w:val="-24"/>
        </w:rPr>
        <w:t> </w:t>
      </w:r>
      <w:r>
        <w:rPr>
          <w:spacing w:val="-24"/>
        </w:rPr>
      </w:r>
      <w:r>
        <w:rPr/>
        <w:t>领域取得成效。云计算方面，基于久其核心</w:t>
      </w:r>
      <w:r>
        <w:rPr>
          <w:rFonts w:ascii="Times New Roman" w:hAnsi="Times New Roman" w:cs="Times New Roman" w:eastAsia="Times New Roman" w:hint="default"/>
        </w:rPr>
        <w:t>DNA</w:t>
      </w:r>
      <w:r>
        <w:rPr/>
        <w:t>研发与业务生成平台，公司加大了投入力度，逐步转向构建面向外部应用</w:t>
      </w:r>
      <w:r>
        <w:rPr>
          <w:spacing w:val="-29"/>
        </w:rPr>
        <w:t> </w:t>
      </w:r>
      <w:r>
        <w:rPr>
          <w:spacing w:val="-29"/>
        </w:rPr>
      </w:r>
      <w:r>
        <w:rPr/>
        <w:t>开发者的</w:t>
      </w:r>
      <w:r>
        <w:rPr>
          <w:rFonts w:ascii="Times New Roman" w:hAnsi="Times New Roman" w:cs="Times New Roman" w:eastAsia="Times New Roman" w:hint="default"/>
        </w:rPr>
        <w:t>PaaS</w:t>
      </w:r>
      <w:r>
        <w:rPr/>
        <w:t>云平台，同时，面向中小企业用户积极布局移动办公</w:t>
      </w:r>
      <w:r>
        <w:rPr>
          <w:rFonts w:ascii="Times New Roman" w:hAnsi="Times New Roman" w:cs="Times New Roman" w:eastAsia="Times New Roman" w:hint="default"/>
        </w:rPr>
        <w:t>SaaS</w:t>
      </w:r>
      <w:r>
        <w:rPr/>
        <w:t>云平台，进一步完善公司云计算业务体系。</w:t>
      </w:r>
    </w:p>
    <w:p>
      <w:pPr>
        <w:spacing w:line="240" w:lineRule="auto" w:before="11"/>
        <w:rPr>
          <w:rFonts w:ascii="宋体" w:hAnsi="宋体" w:cs="宋体" w:eastAsia="宋体" w:hint="default"/>
          <w:sz w:val="24"/>
          <w:szCs w:val="24"/>
        </w:rPr>
      </w:pPr>
    </w:p>
    <w:p>
      <w:pPr>
        <w:pStyle w:val="BodyText"/>
        <w:spacing w:line="240" w:lineRule="auto"/>
        <w:ind w:right="0"/>
        <w:jc w:val="left"/>
      </w:pPr>
      <w:r>
        <w:rPr/>
        <w:t>公司上述各项业务的具体发展情况详见</w:t>
      </w:r>
      <w:r>
        <w:rPr>
          <w:rFonts w:ascii="Times New Roman" w:hAnsi="Times New Roman" w:cs="Times New Roman" w:eastAsia="Times New Roman" w:hint="default"/>
        </w:rPr>
        <w:t>“</w:t>
      </w:r>
      <w:r>
        <w:rPr/>
        <w:t>第四节</w:t>
      </w:r>
      <w:r>
        <w:rPr>
          <w:spacing w:val="-20"/>
        </w:rPr>
        <w:t> </w:t>
      </w:r>
      <w:r>
        <w:rPr/>
        <w:t>管理层讨论与分析</w:t>
      </w:r>
      <w:r>
        <w:rPr>
          <w:rFonts w:ascii="Times New Roman" w:hAnsi="Times New Roman" w:cs="Times New Roman" w:eastAsia="Times New Roman" w:hint="default"/>
        </w:rPr>
        <w:t>”</w:t>
      </w:r>
      <w:r>
        <w:rPr/>
        <w:t>中</w:t>
      </w:r>
      <w:r>
        <w:rPr>
          <w:rFonts w:ascii="Times New Roman" w:hAnsi="Times New Roman" w:cs="Times New Roman" w:eastAsia="Times New Roman" w:hint="default"/>
        </w:rPr>
        <w:t>“</w:t>
      </w:r>
      <w:r>
        <w:rPr/>
        <w:t>一、概述</w:t>
      </w:r>
      <w:r>
        <w:rPr>
          <w:rFonts w:ascii="Times New Roman" w:hAnsi="Times New Roman" w:cs="Times New Roman" w:eastAsia="Times New Roman" w:hint="default"/>
        </w:rPr>
        <w:t>”</w:t>
      </w:r>
      <w:r>
        <w:rPr/>
        <w:t>。</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052"/>
        <w:gridCol w:w="6517"/>
      </w:tblGrid>
      <w:tr>
        <w:trPr>
          <w:trHeight w:val="187"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302" w:lineRule="auto" w:before="51"/>
              <w:ind w:left="16" w:right="78"/>
              <w:jc w:val="left"/>
              <w:rPr>
                <w:rFonts w:ascii="宋体" w:hAnsi="宋体" w:cs="宋体" w:eastAsia="宋体" w:hint="default"/>
                <w:sz w:val="18"/>
                <w:szCs w:val="18"/>
              </w:rPr>
            </w:pPr>
            <w:r>
              <w:rPr>
                <w:rFonts w:ascii="宋体" w:hAnsi="宋体" w:cs="宋体" w:eastAsia="宋体" w:hint="default"/>
                <w:sz w:val="18"/>
                <w:szCs w:val="18"/>
              </w:rPr>
              <w:t>固定资产期末余额为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22,317.65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万元，同比增加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56%</w:t>
            </w:r>
            <w:r>
              <w:rPr>
                <w:rFonts w:ascii="宋体" w:hAnsi="宋体" w:cs="宋体" w:eastAsia="宋体" w:hint="default"/>
                <w:sz w:val="18"/>
                <w:szCs w:val="18"/>
              </w:rPr>
              <w:t>，主要系报告期内公司合并华 夏电通所致</w:t>
            </w:r>
          </w:p>
        </w:tc>
      </w:tr>
      <w:tr>
        <w:trPr>
          <w:trHeight w:val="393"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vMerge/>
            <w:tcBorders>
              <w:left w:val="single" w:sz="9" w:space="0" w:color="D2D2D2"/>
              <w:right w:val="single" w:sz="4" w:space="0" w:color="000000"/>
            </w:tcBorders>
          </w:tcPr>
          <w:p>
            <w:pPr/>
          </w:p>
        </w:tc>
      </w:tr>
      <w:tr>
        <w:trPr>
          <w:trHeight w:val="161"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161"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302" w:lineRule="auto" w:before="51"/>
              <w:ind w:left="16" w:right="38"/>
              <w:jc w:val="left"/>
              <w:rPr>
                <w:rFonts w:ascii="宋体" w:hAnsi="宋体" w:cs="宋体" w:eastAsia="宋体" w:hint="default"/>
                <w:sz w:val="18"/>
                <w:szCs w:val="18"/>
              </w:rPr>
            </w:pPr>
            <w:r>
              <w:rPr>
                <w:rFonts w:ascii="宋体" w:hAnsi="宋体" w:cs="宋体" w:eastAsia="宋体" w:hint="default"/>
                <w:sz w:val="18"/>
                <w:szCs w:val="18"/>
              </w:rPr>
              <w:t>无形资产期末余额为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11,191.52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万元，同比增加</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48.27%</w:t>
            </w:r>
            <w:r>
              <w:rPr>
                <w:rFonts w:ascii="宋体" w:hAnsi="宋体" w:cs="宋体" w:eastAsia="宋体" w:hint="default"/>
                <w:sz w:val="18"/>
                <w:szCs w:val="18"/>
              </w:rPr>
              <w:t>，主要系报告期内公司研发 支出资本化以及合并华夏电通所致</w:t>
            </w: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vMerge/>
            <w:tcBorders>
              <w:left w:val="single" w:sz="9" w:space="0" w:color="D2D2D2"/>
              <w:right w:val="single" w:sz="4" w:space="0" w:color="000000"/>
            </w:tcBorders>
          </w:tcPr>
          <w:p>
            <w:pPr/>
          </w:p>
        </w:tc>
      </w:tr>
      <w:tr>
        <w:trPr>
          <w:trHeight w:val="161"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051"/>
        <w:gridCol w:w="6517"/>
      </w:tblGrid>
      <w:tr>
        <w:trPr>
          <w:trHeight w:val="1026" w:hRule="exact"/>
        </w:trPr>
        <w:tc>
          <w:tcPr>
            <w:tcW w:w="30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0"/>
              <w:jc w:val="both"/>
              <w:rPr>
                <w:rFonts w:ascii="宋体" w:hAnsi="宋体" w:cs="宋体" w:eastAsia="宋体" w:hint="default"/>
                <w:sz w:val="18"/>
                <w:szCs w:val="18"/>
              </w:rPr>
            </w:pPr>
            <w:r>
              <w:rPr>
                <w:rFonts w:ascii="宋体" w:hAnsi="宋体" w:cs="宋体" w:eastAsia="宋体" w:hint="default"/>
                <w:sz w:val="18"/>
                <w:szCs w:val="18"/>
              </w:rPr>
              <w:t>货币资金期末余额为</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84,976.63</w:t>
            </w:r>
            <w:r>
              <w:rPr>
                <w:rFonts w:ascii="Times New Roman" w:hAnsi="Times New Roman" w:cs="Times New Roman" w:eastAsia="Times New Roman" w:hint="default"/>
                <w:spacing w:val="4"/>
                <w:sz w:val="18"/>
                <w:szCs w:val="18"/>
              </w:rPr>
              <w:t> </w:t>
            </w:r>
            <w:r>
              <w:rPr>
                <w:rFonts w:ascii="宋体" w:hAnsi="宋体" w:cs="宋体" w:eastAsia="宋体" w:hint="default"/>
                <w:spacing w:val="-6"/>
                <w:sz w:val="18"/>
                <w:szCs w:val="18"/>
              </w:rPr>
              <w:t>万元，同比增长</w:t>
            </w:r>
            <w:r>
              <w:rPr>
                <w:rFonts w:ascii="宋体" w:hAnsi="宋体" w:cs="宋体" w:eastAsia="宋体" w:hint="default"/>
                <w:spacing w:val="-41"/>
                <w:sz w:val="18"/>
                <w:szCs w:val="18"/>
              </w:rPr>
              <w:t> </w:t>
            </w:r>
            <w:r>
              <w:rPr>
                <w:rFonts w:ascii="Times New Roman" w:hAnsi="Times New Roman" w:cs="Times New Roman" w:eastAsia="Times New Roman" w:hint="default"/>
                <w:spacing w:val="-3"/>
                <w:sz w:val="18"/>
                <w:szCs w:val="18"/>
              </w:rPr>
              <w:t>195.89%</w:t>
            </w:r>
            <w:r>
              <w:rPr>
                <w:rFonts w:ascii="宋体" w:hAnsi="宋体" w:cs="宋体" w:eastAsia="宋体" w:hint="default"/>
                <w:spacing w:val="-3"/>
                <w:sz w:val="18"/>
                <w:szCs w:val="18"/>
              </w:rPr>
              <w:t>，主要系报告期内公司委托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理财产品到期收回，合并亿起联科技和华夏电通，以及收到收购华夏电通股权的配</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套募集资金所致</w:t>
            </w:r>
          </w:p>
        </w:tc>
      </w:tr>
      <w:tr>
        <w:trPr>
          <w:trHeight w:val="714" w:hRule="exact"/>
        </w:trPr>
        <w:tc>
          <w:tcPr>
            <w:tcW w:w="30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应收账款期末余额为</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18,683.05</w:t>
            </w:r>
            <w:r>
              <w:rPr>
                <w:rFonts w:ascii="Times New Roman" w:hAnsi="Times New Roman" w:cs="Times New Roman" w:eastAsia="Times New Roman" w:hint="default"/>
                <w:spacing w:val="4"/>
                <w:sz w:val="18"/>
                <w:szCs w:val="18"/>
              </w:rPr>
              <w:t> </w:t>
            </w:r>
            <w:r>
              <w:rPr>
                <w:rFonts w:ascii="宋体" w:hAnsi="宋体" w:cs="宋体" w:eastAsia="宋体" w:hint="default"/>
                <w:spacing w:val="-6"/>
                <w:sz w:val="18"/>
                <w:szCs w:val="18"/>
              </w:rPr>
              <w:t>万元，同比增长</w:t>
            </w:r>
            <w:r>
              <w:rPr>
                <w:rFonts w:ascii="宋体" w:hAnsi="宋体" w:cs="宋体" w:eastAsia="宋体" w:hint="default"/>
                <w:spacing w:val="-41"/>
                <w:sz w:val="18"/>
                <w:szCs w:val="18"/>
              </w:rPr>
              <w:t> </w:t>
            </w:r>
            <w:r>
              <w:rPr>
                <w:rFonts w:ascii="Times New Roman" w:hAnsi="Times New Roman" w:cs="Times New Roman" w:eastAsia="Times New Roman" w:hint="default"/>
                <w:spacing w:val="-3"/>
                <w:sz w:val="18"/>
                <w:szCs w:val="18"/>
              </w:rPr>
              <w:t>186.43%</w:t>
            </w:r>
            <w:r>
              <w:rPr>
                <w:rFonts w:ascii="宋体" w:hAnsi="宋体" w:cs="宋体" w:eastAsia="宋体" w:hint="default"/>
                <w:spacing w:val="-3"/>
                <w:sz w:val="18"/>
                <w:szCs w:val="18"/>
              </w:rPr>
              <w:t>，主要系报告期内公司合并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亿起联科技、华夏电通所致</w:t>
            </w:r>
          </w:p>
        </w:tc>
      </w:tr>
      <w:tr>
        <w:trPr>
          <w:trHeight w:val="714" w:hRule="exact"/>
        </w:trPr>
        <w:tc>
          <w:tcPr>
            <w:tcW w:w="30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32"/>
              <w:jc w:val="left"/>
              <w:rPr>
                <w:rFonts w:ascii="宋体" w:hAnsi="宋体" w:cs="宋体" w:eastAsia="宋体" w:hint="default"/>
                <w:sz w:val="18"/>
                <w:szCs w:val="18"/>
              </w:rPr>
            </w:pPr>
            <w:r>
              <w:rPr>
                <w:rFonts w:ascii="宋体" w:hAnsi="宋体" w:cs="宋体" w:eastAsia="宋体" w:hint="default"/>
                <w:sz w:val="18"/>
                <w:szCs w:val="18"/>
              </w:rPr>
              <w:t>预付账款期末余额为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2,681.04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万元，同比增长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275.42%</w:t>
            </w:r>
            <w:r>
              <w:rPr>
                <w:rFonts w:ascii="宋体" w:hAnsi="宋体" w:cs="宋体" w:eastAsia="宋体" w:hint="default"/>
                <w:sz w:val="18"/>
                <w:szCs w:val="18"/>
              </w:rPr>
              <w:t>，主要系报告期内公司合并 亿起联科技、华夏电通所致</w:t>
            </w:r>
          </w:p>
        </w:tc>
      </w:tr>
      <w:tr>
        <w:trPr>
          <w:trHeight w:val="714" w:hRule="exact"/>
        </w:trPr>
        <w:tc>
          <w:tcPr>
            <w:tcW w:w="30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41"/>
              <w:jc w:val="left"/>
              <w:rPr>
                <w:rFonts w:ascii="宋体" w:hAnsi="宋体" w:cs="宋体" w:eastAsia="宋体" w:hint="default"/>
                <w:sz w:val="18"/>
                <w:szCs w:val="18"/>
              </w:rPr>
            </w:pPr>
            <w:r>
              <w:rPr>
                <w:rFonts w:ascii="宋体" w:hAnsi="宋体" w:cs="宋体" w:eastAsia="宋体" w:hint="default"/>
                <w:sz w:val="18"/>
                <w:szCs w:val="18"/>
              </w:rPr>
              <w:t>其他应收款期末余额为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4,252.50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万元，同比增长</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116.70%</w:t>
            </w:r>
            <w:r>
              <w:rPr>
                <w:rFonts w:ascii="宋体" w:hAnsi="宋体" w:cs="宋体" w:eastAsia="宋体" w:hint="default"/>
                <w:sz w:val="18"/>
                <w:szCs w:val="18"/>
              </w:rPr>
              <w:t>，主要系报告期内公司合 并亿起联科技、华夏电通所致</w:t>
            </w:r>
          </w:p>
        </w:tc>
      </w:tr>
      <w:tr>
        <w:trPr>
          <w:trHeight w:val="714" w:hRule="exact"/>
        </w:trPr>
        <w:tc>
          <w:tcPr>
            <w:tcW w:w="30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77"/>
              <w:jc w:val="left"/>
              <w:rPr>
                <w:rFonts w:ascii="宋体" w:hAnsi="宋体" w:cs="宋体" w:eastAsia="宋体" w:hint="default"/>
                <w:sz w:val="18"/>
                <w:szCs w:val="18"/>
              </w:rPr>
            </w:pPr>
            <w:r>
              <w:rPr>
                <w:rFonts w:ascii="宋体" w:hAnsi="宋体" w:cs="宋体" w:eastAsia="宋体" w:hint="default"/>
                <w:sz w:val="18"/>
                <w:szCs w:val="18"/>
              </w:rPr>
              <w:t>存货期末余额为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8,737.13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万元，同比增长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121,814.70%</w:t>
            </w:r>
            <w:r>
              <w:rPr>
                <w:rFonts w:ascii="宋体" w:hAnsi="宋体" w:cs="宋体" w:eastAsia="宋体" w:hint="default"/>
                <w:sz w:val="18"/>
                <w:szCs w:val="18"/>
              </w:rPr>
              <w:t>，主要系报告期内公司合并 华夏电通所致</w:t>
            </w:r>
          </w:p>
        </w:tc>
      </w:tr>
      <w:tr>
        <w:trPr>
          <w:trHeight w:val="714" w:hRule="exact"/>
        </w:trPr>
        <w:tc>
          <w:tcPr>
            <w:tcW w:w="30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77"/>
              <w:jc w:val="left"/>
              <w:rPr>
                <w:rFonts w:ascii="宋体" w:hAnsi="宋体" w:cs="宋体" w:eastAsia="宋体" w:hint="default"/>
                <w:sz w:val="18"/>
                <w:szCs w:val="18"/>
              </w:rPr>
            </w:pPr>
            <w:r>
              <w:rPr>
                <w:rFonts w:ascii="宋体" w:hAnsi="宋体" w:cs="宋体" w:eastAsia="宋体" w:hint="default"/>
                <w:sz w:val="18"/>
                <w:szCs w:val="18"/>
              </w:rPr>
              <w:t>商誉期末余额为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85,610.99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万元，同比增长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35,556.39%</w:t>
            </w:r>
            <w:r>
              <w:rPr>
                <w:rFonts w:ascii="宋体" w:hAnsi="宋体" w:cs="宋体" w:eastAsia="宋体" w:hint="default"/>
                <w:sz w:val="18"/>
                <w:szCs w:val="18"/>
              </w:rPr>
              <w:t>，主要系报告期内公司合并 亿起联科技、华夏电通所致</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核心竞争力分析" w:id="22"/>
      <w:bookmarkEnd w:id="22"/>
      <w:r>
        <w:rPr>
          <w:b w:val="0"/>
          <w:bCs w:val="0"/>
        </w:rPr>
      </w:r>
      <w:r>
        <w:rPr/>
        <w:t>三、核心竞争力分析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1033"/>
        <w:jc w:val="left"/>
      </w:pPr>
      <w:r>
        <w:rPr>
          <w:spacing w:val="-2"/>
        </w:rPr>
        <w:t>坚持内生增长与外延发展相结合的战略规划，公司立足于近二十年管理软件领域积累的市场资源、业务经验及客户口碑，不</w:t>
      </w:r>
      <w:r>
        <w:rPr>
          <w:spacing w:val="-66"/>
        </w:rPr>
        <w:t> </w:t>
      </w:r>
      <w:r>
        <w:rPr>
          <w:spacing w:val="-66"/>
        </w:rPr>
      </w:r>
      <w:r>
        <w:rPr/>
        <w:t>断深挖市场潜力，并积极与大数据、云计算、物联网以及移动互联等新兴技术领域的业务理念与商业模式进行融合与创新， </w:t>
      </w:r>
      <w:r>
        <w:rPr>
          <w:spacing w:val="-4"/>
        </w:rPr>
        <w:t>拓展业务板块，提升客户价值，实现企业自身的发展与突破，巩固公司核心竞争力。报告期内，公司未发生因核心管理团队、</w:t>
      </w:r>
      <w:r>
        <w:rPr>
          <w:spacing w:val="-44"/>
        </w:rPr>
        <w:t> </w:t>
      </w:r>
      <w:r>
        <w:rPr>
          <w:spacing w:val="-44"/>
        </w:rPr>
      </w:r>
      <w:r>
        <w:rPr>
          <w:spacing w:val="-2"/>
        </w:rPr>
        <w:t>关键技术人员、设备、专利及非专利技术升级换代、盈利模式变化、特许经营权丧失等导致公司核心竞争能力受到严重影响</w:t>
      </w:r>
      <w:r>
        <w:rPr>
          <w:spacing w:val="-66"/>
        </w:rPr>
        <w:t> </w:t>
      </w:r>
      <w:r>
        <w:rPr>
          <w:spacing w:val="-66"/>
        </w:rPr>
      </w:r>
      <w:r>
        <w:rPr/>
        <w:t>的情况。</w:t>
      </w:r>
    </w:p>
    <w:p>
      <w:pPr>
        <w:spacing w:line="240" w:lineRule="auto" w:before="2"/>
        <w:rPr>
          <w:rFonts w:ascii="宋体" w:hAnsi="宋体" w:cs="宋体" w:eastAsia="宋体" w:hint="default"/>
          <w:sz w:val="25"/>
          <w:szCs w:val="25"/>
        </w:rPr>
      </w:pPr>
    </w:p>
    <w:p>
      <w:pPr>
        <w:pStyle w:val="BodyText"/>
        <w:spacing w:line="304" w:lineRule="auto"/>
        <w:ind w:right="1033"/>
        <w:jc w:val="left"/>
      </w:pPr>
      <w:r>
        <w:rPr>
          <w:spacing w:val="-3"/>
          <w:w w:val="99"/>
        </w:rPr>
        <w:t>报告期内，公司获得工业和信息化部颁发的</w:t>
      </w:r>
      <w:r>
        <w:rPr>
          <w:rFonts w:ascii="Times New Roman" w:hAnsi="Times New Roman" w:cs="Times New Roman" w:eastAsia="Times New Roman" w:hint="default"/>
          <w:spacing w:val="-3"/>
          <w:w w:val="99"/>
        </w:rPr>
        <w:t>IDC</w:t>
      </w:r>
      <w:r>
        <w:rPr>
          <w:spacing w:val="-3"/>
          <w:w w:val="99"/>
        </w:rPr>
        <w:t>增值电信业务经营许可证，中国软件行业协会颁发的</w:t>
      </w:r>
      <w:r>
        <w:rPr>
          <w:rFonts w:ascii="Times New Roman" w:hAnsi="Times New Roman" w:cs="Times New Roman" w:eastAsia="Times New Roman" w:hint="default"/>
          <w:spacing w:val="-3"/>
          <w:w w:val="99"/>
        </w:rPr>
        <w:t>AAA</w:t>
      </w:r>
      <w:r>
        <w:rPr>
          <w:spacing w:val="-3"/>
          <w:w w:val="99"/>
        </w:rPr>
        <w:t>企业信用等级认证，</w:t>
      </w:r>
      <w:r>
        <w:rPr>
          <w:spacing w:val="-72"/>
          <w:w w:val="99"/>
        </w:rPr>
        <w:t> </w:t>
      </w:r>
      <w:r>
        <w:rPr/>
        <w:t>并通过了</w:t>
      </w:r>
      <w:r>
        <w:rPr>
          <w:rFonts w:ascii="Times New Roman" w:hAnsi="Times New Roman" w:cs="Times New Roman" w:eastAsia="Times New Roman" w:hint="default"/>
        </w:rPr>
        <w:t>ISO 14001</w:t>
      </w:r>
      <w:r>
        <w:rPr/>
        <w:t>环境管理体系认证和</w:t>
      </w:r>
      <w:r>
        <w:rPr>
          <w:rFonts w:ascii="Times New Roman" w:hAnsi="Times New Roman" w:cs="Times New Roman" w:eastAsia="Times New Roman" w:hint="default"/>
        </w:rPr>
        <w:t>OHSAS</w:t>
      </w:r>
      <w:r>
        <w:rPr>
          <w:rFonts w:ascii="Times New Roman" w:hAnsi="Times New Roman" w:cs="Times New Roman" w:eastAsia="Times New Roman" w:hint="default"/>
          <w:spacing w:val="26"/>
        </w:rPr>
        <w:t> </w:t>
      </w:r>
      <w:r>
        <w:rPr>
          <w:rFonts w:ascii="Times New Roman" w:hAnsi="Times New Roman" w:cs="Times New Roman" w:eastAsia="Times New Roman" w:hint="default"/>
        </w:rPr>
        <w:t>18001</w:t>
      </w:r>
      <w:r>
        <w:rPr/>
        <w:t>职业健康管理体系认证。控股子公司久其政务获得了中国电子信息行 业联合会颁发的计算机信息系统集成企业叁级资质，通过了</w:t>
      </w:r>
      <w:r>
        <w:rPr>
          <w:rFonts w:ascii="Times New Roman" w:hAnsi="Times New Roman" w:cs="Times New Roman" w:eastAsia="Times New Roman" w:hint="default"/>
        </w:rPr>
        <w:t>ISO 14001</w:t>
      </w:r>
      <w:r>
        <w:rPr/>
        <w:t>环境管理体系认证和</w:t>
      </w:r>
      <w:r>
        <w:rPr>
          <w:rFonts w:ascii="Times New Roman" w:hAnsi="Times New Roman" w:cs="Times New Roman" w:eastAsia="Times New Roman" w:hint="default"/>
        </w:rPr>
        <w:t>OHSAS</w:t>
      </w:r>
      <w:r>
        <w:rPr>
          <w:rFonts w:ascii="Times New Roman" w:hAnsi="Times New Roman" w:cs="Times New Roman" w:eastAsia="Times New Roman" w:hint="default"/>
          <w:spacing w:val="26"/>
        </w:rPr>
        <w:t> </w:t>
      </w:r>
      <w:r>
        <w:rPr>
          <w:rFonts w:ascii="Times New Roman" w:hAnsi="Times New Roman" w:cs="Times New Roman" w:eastAsia="Times New Roman" w:hint="default"/>
        </w:rPr>
        <w:t>18001</w:t>
      </w:r>
      <w:r>
        <w:rPr/>
        <w:t>职业健康管理体系 </w:t>
      </w:r>
      <w:r>
        <w:rPr>
          <w:spacing w:val="-2"/>
        </w:rPr>
        <w:t>认证。全资子公司亿起联科技取得了北京市文化局颁发的网络文化经营许可证，控股子公司久金所取得北京市通信管理局颁</w:t>
      </w:r>
      <w:r>
        <w:rPr>
          <w:spacing w:val="-64"/>
        </w:rPr>
        <w:t> </w:t>
      </w:r>
      <w:r>
        <w:rPr>
          <w:spacing w:val="-64"/>
        </w:rPr>
      </w:r>
      <w:r>
        <w:rPr/>
        <w:t>发的</w:t>
      </w:r>
      <w:r>
        <w:rPr>
          <w:rFonts w:ascii="Times New Roman" w:hAnsi="Times New Roman" w:cs="Times New Roman" w:eastAsia="Times New Roman" w:hint="default"/>
        </w:rPr>
        <w:t>ICP</w:t>
      </w:r>
      <w:r>
        <w:rPr/>
        <w:t>电信与信息服务业务经营许可证。</w:t>
      </w:r>
    </w:p>
    <w:p>
      <w:pPr>
        <w:spacing w:line="240" w:lineRule="auto" w:before="7"/>
        <w:rPr>
          <w:rFonts w:ascii="宋体" w:hAnsi="宋体" w:cs="宋体" w:eastAsia="宋体" w:hint="default"/>
          <w:sz w:val="24"/>
          <w:szCs w:val="24"/>
        </w:rPr>
      </w:pPr>
    </w:p>
    <w:p>
      <w:pPr>
        <w:pStyle w:val="BodyText"/>
        <w:spacing w:line="300" w:lineRule="auto"/>
        <w:ind w:right="1049"/>
        <w:jc w:val="both"/>
      </w:pPr>
      <w:r>
        <w:rPr/>
        <w:t>报告期内，公司被海淀区投资促进与税源建设领导小组评为海淀区</w:t>
      </w:r>
      <w:r>
        <w:rPr>
          <w:rFonts w:ascii="Times New Roman" w:hAnsi="Times New Roman" w:cs="Times New Roman" w:eastAsia="Times New Roman" w:hint="default"/>
        </w:rPr>
        <w:t>2014-2015</w:t>
      </w:r>
      <w:r>
        <w:rPr/>
        <w:t>年度重点企业。全资子公司亿起联科技获得上</w:t>
      </w:r>
      <w:r>
        <w:rPr>
          <w:spacing w:val="-55"/>
        </w:rPr>
        <w:t> </w:t>
      </w:r>
      <w:r>
        <w:rPr>
          <w:spacing w:val="-55"/>
        </w:rPr>
      </w:r>
      <w:r>
        <w:rPr>
          <w:spacing w:val="-2"/>
        </w:rPr>
        <w:t>方网评选的第十届移动游戏金苹果奖</w:t>
      </w:r>
      <w:r>
        <w:rPr>
          <w:rFonts w:ascii="Times New Roman" w:hAnsi="Times New Roman" w:cs="Times New Roman" w:eastAsia="Times New Roman" w:hint="default"/>
          <w:spacing w:val="-2"/>
        </w:rPr>
        <w:t>——</w:t>
      </w:r>
      <w:r>
        <w:rPr>
          <w:spacing w:val="-2"/>
        </w:rPr>
        <w:t>最佳移动广告平台奖，获得中国商务广告协会颁发的第六届金鼠标数字营销大赛年</w:t>
      </w:r>
      <w:r>
        <w:rPr>
          <w:spacing w:val="-64"/>
        </w:rPr>
        <w:t> </w:t>
      </w:r>
      <w:r>
        <w:rPr>
          <w:spacing w:val="-64"/>
        </w:rPr>
      </w:r>
      <w:r>
        <w:rPr>
          <w:spacing w:val="-5"/>
        </w:rPr>
        <w:t>度最佳数字营销平台、程序化购买类金奖、年度数字营销金牌团队三项大奖，并获得中国电子信息产业发展研究院颁发的</w:t>
      </w:r>
      <w:r>
        <w:rPr>
          <w:rFonts w:ascii="Times New Roman" w:hAnsi="Times New Roman" w:cs="Times New Roman" w:eastAsia="Times New Roman" w:hint="default"/>
          <w:spacing w:val="-5"/>
        </w:rPr>
        <w:t>2015</w:t>
      </w:r>
      <w:r>
        <w:rPr>
          <w:rFonts w:ascii="Times New Roman" w:hAnsi="Times New Roman" w:cs="Times New Roman" w:eastAsia="Times New Roman" w:hint="default"/>
          <w:spacing w:val="-24"/>
        </w:rPr>
        <w:t> </w:t>
      </w:r>
      <w:r>
        <w:rPr>
          <w:spacing w:val="-2"/>
        </w:rPr>
        <w:t>年度中国互联网企业竞争力成就奖、</w:t>
      </w:r>
      <w:r>
        <w:rPr>
          <w:rFonts w:ascii="Times New Roman" w:hAnsi="Times New Roman" w:cs="Times New Roman" w:eastAsia="Times New Roman" w:hint="default"/>
          <w:spacing w:val="-2"/>
        </w:rPr>
        <w:t>2015</w:t>
      </w:r>
      <w:r>
        <w:rPr>
          <w:spacing w:val="-2"/>
        </w:rPr>
        <w:t>年度中国互联网企业最具国际竞争力奖。全资子公司华夏电通被北京安全防范行业</w:t>
      </w:r>
      <w:r>
        <w:rPr>
          <w:spacing w:val="-60"/>
        </w:rPr>
        <w:t> </w:t>
      </w:r>
      <w:r>
        <w:rPr>
          <w:spacing w:val="-60"/>
        </w:rPr>
      </w:r>
      <w:r>
        <w:rPr/>
        <w:t>协会、中国市场学会信用工作委员会评为</w:t>
      </w:r>
      <w:r>
        <w:rPr>
          <w:rFonts w:ascii="Times New Roman" w:hAnsi="Times New Roman" w:cs="Times New Roman" w:eastAsia="Times New Roman" w:hint="default"/>
        </w:rPr>
        <w:t>AAA</w:t>
      </w:r>
      <w:r>
        <w:rPr/>
        <w:t>诚信优秀企业，被北京市科委、北京市发改委、北京市财政局、北京市经信</w:t>
      </w:r>
      <w:r>
        <w:rPr>
          <w:spacing w:val="-32"/>
        </w:rPr>
        <w:t> </w:t>
      </w:r>
      <w:r>
        <w:rPr>
          <w:spacing w:val="-32"/>
        </w:rPr>
      </w:r>
      <w:r>
        <w:rPr/>
        <w:t>委及中关村科技园管委会共同评为北京市高新技术成果转化示范企业。</w:t>
      </w:r>
    </w:p>
    <w:p>
      <w:pPr>
        <w:spacing w:line="240" w:lineRule="auto" w:before="4"/>
        <w:rPr>
          <w:rFonts w:ascii="宋体" w:hAnsi="宋体" w:cs="宋体" w:eastAsia="宋体" w:hint="default"/>
          <w:sz w:val="26"/>
          <w:szCs w:val="26"/>
        </w:rPr>
      </w:pPr>
    </w:p>
    <w:p>
      <w:pPr>
        <w:pStyle w:val="BodyText"/>
        <w:spacing w:line="300" w:lineRule="auto"/>
        <w:ind w:right="1033"/>
        <w:jc w:val="left"/>
      </w:pPr>
      <w:r>
        <w:rPr/>
        <w:t>作为以技术为驱动的软件企业，公司始终坚持自主研发及产品创新。报告期内，公司及下属子公司共获得软件著作权</w:t>
      </w:r>
      <w:r>
        <w:rPr>
          <w:rFonts w:ascii="Times New Roman" w:hAnsi="Times New Roman" w:cs="Times New Roman" w:eastAsia="Times New Roman" w:hint="default"/>
        </w:rPr>
        <w:t>69</w:t>
      </w:r>
      <w:r>
        <w:rPr/>
        <w:t>项， </w:t>
      </w:r>
      <w:r>
        <w:rPr>
          <w:spacing w:val="-5"/>
        </w:rPr>
        <w:t>申请并获受理发明专利</w:t>
      </w:r>
      <w:r>
        <w:rPr>
          <w:rFonts w:ascii="Times New Roman" w:hAnsi="Times New Roman" w:cs="Times New Roman" w:eastAsia="Times New Roman" w:hint="default"/>
          <w:spacing w:val="-5"/>
        </w:rPr>
        <w:t>15</w:t>
      </w:r>
      <w:r>
        <w:rPr>
          <w:spacing w:val="-5"/>
        </w:rPr>
        <w:t>项，取得专利发明授权</w:t>
      </w:r>
      <w:r>
        <w:rPr>
          <w:rFonts w:ascii="Times New Roman" w:hAnsi="Times New Roman" w:cs="Times New Roman" w:eastAsia="Times New Roman" w:hint="default"/>
          <w:spacing w:val="-5"/>
        </w:rPr>
        <w:t>9</w:t>
      </w:r>
      <w:r>
        <w:rPr>
          <w:spacing w:val="-5"/>
        </w:rPr>
        <w:t>项。此外，报告期内，公司自主研发的</w:t>
      </w:r>
      <w:r>
        <w:rPr>
          <w:rFonts w:ascii="Times New Roman" w:hAnsi="Times New Roman" w:cs="Times New Roman" w:eastAsia="Times New Roman" w:hint="default"/>
          <w:spacing w:val="-5"/>
        </w:rPr>
        <w:t>“</w:t>
      </w:r>
      <w:r>
        <w:rPr>
          <w:spacing w:val="-5"/>
        </w:rPr>
        <w:t>政府公共财务业务一体化平台</w:t>
      </w:r>
      <w:r>
        <w:rPr>
          <w:rFonts w:ascii="Times New Roman" w:hAnsi="Times New Roman" w:cs="Times New Roman" w:eastAsia="Times New Roman" w:hint="default"/>
          <w:spacing w:val="-5"/>
        </w:rPr>
        <w:t>”</w:t>
      </w:r>
      <w:r>
        <w:rPr>
          <w:spacing w:val="-5"/>
        </w:rPr>
        <w:t>、</w:t>
      </w:r>
      <w:r>
        <w:rPr>
          <w:rFonts w:ascii="Times New Roman" w:hAnsi="Times New Roman" w:cs="Times New Roman" w:eastAsia="Times New Roman" w:hint="default"/>
          <w:spacing w:val="-5"/>
        </w:rPr>
        <w:t>“</w:t>
      </w:r>
      <w:r>
        <w:rPr>
          <w:spacing w:val="-5"/>
        </w:rPr>
        <w:t>久</w:t>
      </w:r>
      <w:r>
        <w:rPr>
          <w:spacing w:val="-36"/>
        </w:rPr>
        <w:t> </w:t>
      </w:r>
      <w:r>
        <w:rPr/>
        <w:t>其政府统计信息管理系统</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交通行业统计分析监测和投资计划管理系统</w:t>
      </w:r>
      <w:r>
        <w:rPr>
          <w:rFonts w:ascii="Times New Roman" w:hAnsi="Times New Roman" w:cs="Times New Roman" w:eastAsia="Times New Roman" w:hint="default"/>
        </w:rPr>
        <w:t>”</w:t>
      </w:r>
      <w:r>
        <w:rPr/>
        <w:t>三款产品以及公司全资子公司华夏电通的两款产</w:t>
      </w:r>
      <w:r>
        <w:rPr>
          <w:spacing w:val="-55"/>
        </w:rPr>
        <w:t> </w:t>
      </w:r>
      <w:r>
        <w:rPr>
          <w:spacing w:val="-55"/>
        </w:rPr>
      </w:r>
      <w:r>
        <w:rPr>
          <w:spacing w:val="-2"/>
        </w:rPr>
        <w:t>品</w:t>
      </w:r>
      <w:r>
        <w:rPr>
          <w:rFonts w:ascii="Times New Roman" w:hAnsi="Times New Roman" w:cs="Times New Roman" w:eastAsia="Times New Roman" w:hint="default"/>
          <w:spacing w:val="-2"/>
        </w:rPr>
        <w:t>“</w:t>
      </w:r>
      <w:r>
        <w:rPr>
          <w:spacing w:val="-2"/>
        </w:rPr>
        <w:t>华夏电通数字法庭</w:t>
      </w:r>
      <w:r>
        <w:rPr>
          <w:rFonts w:ascii="Times New Roman" w:hAnsi="Times New Roman" w:cs="Times New Roman" w:eastAsia="Times New Roman" w:hint="default"/>
          <w:spacing w:val="-2"/>
        </w:rPr>
        <w:t>6.0</w:t>
      </w:r>
      <w:r>
        <w:rPr>
          <w:spacing w:val="-2"/>
        </w:rPr>
        <w:t>管理系统</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华夏电通高清数字媒体综合控制系统</w:t>
      </w:r>
      <w:r>
        <w:rPr>
          <w:rFonts w:ascii="Times New Roman" w:hAnsi="Times New Roman" w:cs="Times New Roman" w:eastAsia="Times New Roman" w:hint="default"/>
          <w:spacing w:val="-2"/>
        </w:rPr>
        <w:t>”</w:t>
      </w:r>
      <w:r>
        <w:rPr>
          <w:spacing w:val="-2"/>
        </w:rPr>
        <w:t>均被北京市科委、市发改委、市住建委、市经信</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7" w:lineRule="auto" w:before="44"/>
        <w:ind w:right="1130"/>
        <w:jc w:val="both"/>
      </w:pPr>
      <w:r>
        <w:rPr>
          <w:spacing w:val="-2"/>
        </w:rPr>
        <w:t>委及中关村管委会共同评为北京市新技术新产品（服务），公司开发的</w:t>
      </w:r>
      <w:r>
        <w:rPr>
          <w:rFonts w:ascii="Times New Roman" w:hAnsi="Times New Roman" w:cs="Times New Roman" w:eastAsia="Times New Roman" w:hint="default"/>
          <w:spacing w:val="-2"/>
        </w:rPr>
        <w:t>“</w:t>
      </w:r>
      <w:r>
        <w:rPr>
          <w:spacing w:val="-2"/>
        </w:rPr>
        <w:t>久其企业财务数据整合引擎产品</w:t>
      </w:r>
      <w:r>
        <w:rPr>
          <w:rFonts w:ascii="Times New Roman" w:hAnsi="Times New Roman" w:cs="Times New Roman" w:eastAsia="Times New Roman" w:hint="default"/>
          <w:spacing w:val="-2"/>
        </w:rPr>
        <w:t>”</w:t>
      </w:r>
      <w:r>
        <w:rPr>
          <w:spacing w:val="-2"/>
        </w:rPr>
        <w:t>荣获北京市产品评</w:t>
      </w:r>
      <w:r>
        <w:rPr>
          <w:spacing w:val="-44"/>
        </w:rPr>
        <w:t> </w:t>
      </w:r>
      <w:r>
        <w:rPr>
          <w:spacing w:val="-1"/>
        </w:rPr>
        <w:t>价中心颁发的北京市产品评价中心产品质量奖，</w:t>
      </w:r>
      <w:r>
        <w:rPr>
          <w:rFonts w:ascii="Times New Roman" w:hAnsi="Times New Roman" w:cs="Times New Roman" w:eastAsia="Times New Roman" w:hint="default"/>
          <w:spacing w:val="-1"/>
        </w:rPr>
        <w:t>“</w:t>
      </w:r>
      <w:r>
        <w:rPr>
          <w:spacing w:val="-1"/>
        </w:rPr>
        <w:t>财务共享服务产品</w:t>
      </w:r>
      <w:r>
        <w:rPr>
          <w:rFonts w:ascii="Times New Roman" w:hAnsi="Times New Roman" w:cs="Times New Roman" w:eastAsia="Times New Roman" w:hint="default"/>
          <w:spacing w:val="-1"/>
        </w:rPr>
        <w:t>”</w:t>
      </w:r>
      <w:r>
        <w:rPr>
          <w:spacing w:val="-1"/>
        </w:rPr>
        <w:t>获评计世资讯和中国质量协会用户委员会</w:t>
      </w:r>
      <w:r>
        <w:rPr>
          <w:rFonts w:ascii="Times New Roman" w:hAnsi="Times New Roman" w:cs="Times New Roman" w:eastAsia="Times New Roman" w:hint="default"/>
          <w:spacing w:val="-1"/>
        </w:rPr>
        <w:t>2015</w:t>
      </w:r>
      <w:r>
        <w:rPr>
          <w:spacing w:val="-1"/>
        </w:rPr>
        <w:t>中国</w:t>
      </w:r>
      <w:r>
        <w:rPr>
          <w:rFonts w:ascii="Times New Roman" w:hAnsi="Times New Roman" w:cs="Times New Roman" w:eastAsia="Times New Roman" w:hint="default"/>
          <w:spacing w:val="-1"/>
        </w:rPr>
        <w:t>IT</w:t>
      </w:r>
      <w:r>
        <w:rPr>
          <w:spacing w:val="-1"/>
        </w:rPr>
        <w:t>用</w:t>
      </w:r>
      <w:r>
        <w:rPr>
          <w:spacing w:val="-85"/>
        </w:rPr>
        <w:t> </w:t>
      </w:r>
      <w:r>
        <w:rPr>
          <w:spacing w:val="-2"/>
        </w:rPr>
        <w:t>户产品满意度第一的荣誉，久其格格云报表产品凭借在线表格创新实力荣获中国互联网领袖峰会暨中国互联网企业竞争力高</w:t>
      </w:r>
      <w:r>
        <w:rPr>
          <w:spacing w:val="-64"/>
        </w:rPr>
        <w:t> </w:t>
      </w:r>
      <w:r>
        <w:rPr>
          <w:spacing w:val="-64"/>
        </w:rPr>
      </w:r>
      <w:r>
        <w:rPr/>
        <w:t>峰论坛颁发的</w:t>
      </w:r>
      <w:r>
        <w:rPr>
          <w:rFonts w:ascii="Times New Roman" w:hAnsi="Times New Roman" w:cs="Times New Roman" w:eastAsia="Times New Roman" w:hint="default"/>
        </w:rPr>
        <w:t>2015</w:t>
      </w:r>
      <w:r>
        <w:rPr/>
        <w:t>年度中国互联网行业创新产品奖。</w:t>
      </w:r>
    </w:p>
    <w:p>
      <w:pPr>
        <w:spacing w:after="0" w:line="307"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126" w:right="0"/>
        <w:jc w:val="left"/>
        <w:rPr>
          <w:b w:val="0"/>
          <w:bCs w:val="0"/>
        </w:rPr>
      </w:pPr>
      <w:bookmarkStart w:name="第四节 管理层讨论与分析" w:id="23"/>
      <w:bookmarkEnd w:id="23"/>
      <w:r>
        <w:rPr>
          <w:b w:val="0"/>
          <w:bCs w:val="0"/>
        </w:rPr>
      </w:r>
      <w:bookmarkStart w:name="_bookmark3" w:id="24"/>
      <w:bookmarkEnd w:id="24"/>
      <w:r>
        <w:rPr>
          <w:b w:val="0"/>
          <w:bCs w:val="0"/>
        </w:rPr>
      </w:r>
      <w:r>
        <w:rPr/>
        <w:t>第四节</w:t>
      </w:r>
      <w:r>
        <w:rPr>
          <w:spacing w:val="-9"/>
        </w:rPr>
        <w:t> </w:t>
      </w:r>
      <w:r>
        <w:rPr/>
        <w:t>管理层讨论与分析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概述" w:id="25"/>
      <w:bookmarkEnd w:id="25"/>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18"/>
        <w:jc w:val="left"/>
      </w:pPr>
      <w:r>
        <w:rPr/>
        <w:t>（一）总体情况 </w:t>
      </w:r>
      <w:r>
        <w:rPr>
          <w:spacing w:val="-2"/>
        </w:rPr>
        <w:t>报告期内，公司围绕发展战略规划，积极落实年度经营计划目标，以深度聚焦行业为竞争策略，深挖行业潜力，发掘客户内</w:t>
      </w:r>
      <w:r>
        <w:rPr>
          <w:spacing w:val="-66"/>
        </w:rPr>
        <w:t> </w:t>
      </w:r>
      <w:r>
        <w:rPr>
          <w:spacing w:val="-66"/>
        </w:rPr>
      </w:r>
      <w:r>
        <w:rPr>
          <w:spacing w:val="-2"/>
        </w:rPr>
        <w:t>在需求，在开拓新领域、新市场方面取得一定突破。并继续强化内部管控，调整、优化业务结构，促进项目交付质量与效率</w:t>
      </w:r>
      <w:r>
        <w:rPr>
          <w:spacing w:val="-67"/>
        </w:rPr>
        <w:t> </w:t>
      </w:r>
      <w:r>
        <w:rPr>
          <w:spacing w:val="-67"/>
        </w:rPr>
      </w:r>
      <w:r>
        <w:rPr/>
        <w:t>的提升。</w:t>
      </w:r>
    </w:p>
    <w:p>
      <w:pPr>
        <w:spacing w:line="240" w:lineRule="auto" w:before="4"/>
        <w:rPr>
          <w:rFonts w:ascii="宋体" w:hAnsi="宋体" w:cs="宋体" w:eastAsia="宋体" w:hint="default"/>
          <w:sz w:val="25"/>
          <w:szCs w:val="25"/>
        </w:rPr>
      </w:pPr>
    </w:p>
    <w:p>
      <w:pPr>
        <w:pStyle w:val="BodyText"/>
        <w:spacing w:line="300" w:lineRule="auto"/>
        <w:ind w:right="0"/>
        <w:jc w:val="left"/>
      </w:pPr>
      <w:r>
        <w:rPr/>
        <w:t>本着产业与资本融合、构建</w:t>
      </w:r>
      <w:r>
        <w:rPr>
          <w:rFonts w:ascii="Times New Roman" w:hAnsi="Times New Roman" w:cs="Times New Roman" w:eastAsia="Times New Roman" w:hint="default"/>
        </w:rPr>
        <w:t>“</w:t>
      </w:r>
      <w:r>
        <w:rPr/>
        <w:t>久其</w:t>
      </w:r>
      <w:r>
        <w:rPr>
          <w:rFonts w:ascii="Times New Roman" w:hAnsi="Times New Roman" w:cs="Times New Roman" w:eastAsia="Times New Roman" w:hint="default"/>
        </w:rPr>
        <w:t>+”</w:t>
      </w:r>
      <w:r>
        <w:rPr/>
        <w:t>信息化生态体系的产业发展愿景，公司在报告期内进一步落地外延式发展战略，采取自</w:t>
      </w:r>
      <w:r>
        <w:rPr>
          <w:spacing w:val="-78"/>
        </w:rPr>
        <w:t> </w:t>
      </w:r>
      <w:r>
        <w:rPr>
          <w:spacing w:val="-78"/>
        </w:rPr>
      </w:r>
      <w:r>
        <w:rPr>
          <w:spacing w:val="-2"/>
        </w:rPr>
        <w:t>主孵化、战略合作及并购重组等方式，公司总资产规模由报告期初的</w:t>
      </w:r>
      <w:r>
        <w:rPr>
          <w:rFonts w:ascii="Times New Roman" w:hAnsi="Times New Roman" w:cs="Times New Roman" w:eastAsia="Times New Roman" w:hint="default"/>
          <w:spacing w:val="-2"/>
        </w:rPr>
        <w:t>8.25</w:t>
      </w:r>
      <w:r>
        <w:rPr>
          <w:spacing w:val="-2"/>
        </w:rPr>
        <w:t>亿元增长至</w:t>
      </w:r>
      <w:r>
        <w:rPr>
          <w:rFonts w:ascii="Times New Roman" w:hAnsi="Times New Roman" w:cs="Times New Roman" w:eastAsia="Times New Roman" w:hint="default"/>
          <w:spacing w:val="-2"/>
        </w:rPr>
        <w:t>24.97</w:t>
      </w:r>
      <w:r>
        <w:rPr>
          <w:spacing w:val="-2"/>
        </w:rPr>
        <w:t>亿元，并已通过布局大数据应用服</w:t>
      </w:r>
      <w:r>
        <w:rPr>
          <w:spacing w:val="-58"/>
        </w:rPr>
        <w:t> </w:t>
      </w:r>
      <w:r>
        <w:rPr>
          <w:spacing w:val="-58"/>
        </w:rPr>
      </w:r>
      <w:r>
        <w:rPr>
          <w:spacing w:val="-2"/>
        </w:rPr>
        <w:t>务、数字营销、</w:t>
      </w:r>
      <w:r>
        <w:rPr>
          <w:rFonts w:ascii="Times New Roman" w:hAnsi="Times New Roman" w:cs="Times New Roman" w:eastAsia="Times New Roman" w:hint="default"/>
          <w:spacing w:val="-2"/>
        </w:rPr>
        <w:t>PaaS</w:t>
      </w:r>
      <w:r>
        <w:rPr>
          <w:spacing w:val="-2"/>
        </w:rPr>
        <w:t>及</w:t>
      </w:r>
      <w:r>
        <w:rPr>
          <w:rFonts w:ascii="Times New Roman" w:hAnsi="Times New Roman" w:cs="Times New Roman" w:eastAsia="Times New Roman" w:hint="default"/>
          <w:spacing w:val="-2"/>
        </w:rPr>
        <w:t>SaaS</w:t>
      </w:r>
      <w:r>
        <w:rPr>
          <w:spacing w:val="-2"/>
        </w:rPr>
        <w:t>云服务、互联网金融、互联网</w:t>
      </w:r>
      <w:r>
        <w:rPr>
          <w:rFonts w:ascii="Times New Roman" w:hAnsi="Times New Roman" w:cs="Times New Roman" w:eastAsia="Times New Roman" w:hint="default"/>
          <w:spacing w:val="-2"/>
        </w:rPr>
        <w:t>+</w:t>
      </w:r>
      <w:r>
        <w:rPr>
          <w:spacing w:val="-2"/>
        </w:rPr>
        <w:t>物流、互联网</w:t>
      </w:r>
      <w:r>
        <w:rPr>
          <w:rFonts w:ascii="Times New Roman" w:hAnsi="Times New Roman" w:cs="Times New Roman" w:eastAsia="Times New Roman" w:hint="default"/>
          <w:spacing w:val="-2"/>
        </w:rPr>
        <w:t>+</w:t>
      </w:r>
      <w:r>
        <w:rPr>
          <w:spacing w:val="-2"/>
        </w:rPr>
        <w:t>养老领域，构建了基本的</w:t>
      </w:r>
      <w:r>
        <w:rPr>
          <w:rFonts w:ascii="Times New Roman" w:hAnsi="Times New Roman" w:cs="Times New Roman" w:eastAsia="Times New Roman" w:hint="default"/>
          <w:spacing w:val="-2"/>
        </w:rPr>
        <w:t>“</w:t>
      </w:r>
      <w:r>
        <w:rPr>
          <w:spacing w:val="-2"/>
        </w:rPr>
        <w:t>久其</w:t>
      </w:r>
      <w:r>
        <w:rPr>
          <w:rFonts w:ascii="Times New Roman" w:hAnsi="Times New Roman" w:cs="Times New Roman" w:eastAsia="Times New Roman" w:hint="default"/>
          <w:spacing w:val="-2"/>
        </w:rPr>
        <w:t>+”</w:t>
      </w:r>
      <w:r>
        <w:rPr>
          <w:spacing w:val="-2"/>
        </w:rPr>
        <w:t>信息化生态体系，</w:t>
      </w:r>
      <w:r>
        <w:rPr>
          <w:spacing w:val="-69"/>
        </w:rPr>
        <w:t> </w:t>
      </w:r>
      <w:r>
        <w:rPr>
          <w:spacing w:val="-69"/>
        </w:rPr>
      </w:r>
      <w:r>
        <w:rPr/>
        <w:t>为公司向基于大数据的综合信息服务供应商迈出了坚定的一步。</w:t>
      </w:r>
    </w:p>
    <w:p>
      <w:pPr>
        <w:spacing w:line="240" w:lineRule="auto" w:before="3"/>
        <w:rPr>
          <w:rFonts w:ascii="宋体" w:hAnsi="宋体" w:cs="宋体" w:eastAsia="宋体" w:hint="default"/>
          <w:sz w:val="26"/>
          <w:szCs w:val="26"/>
        </w:rPr>
      </w:pPr>
    </w:p>
    <w:p>
      <w:pPr>
        <w:pStyle w:val="BodyText"/>
        <w:spacing w:line="300" w:lineRule="auto"/>
        <w:ind w:right="0"/>
        <w:jc w:val="left"/>
      </w:pPr>
      <w:r>
        <w:rPr>
          <w:spacing w:val="-1"/>
        </w:rPr>
        <w:t>报告期内，公司共实现营业收入</w:t>
      </w:r>
      <w:r>
        <w:rPr>
          <w:rFonts w:ascii="Times New Roman" w:hAnsi="Times New Roman" w:cs="Times New Roman" w:eastAsia="Times New Roman" w:hint="default"/>
          <w:spacing w:val="-1"/>
        </w:rPr>
        <w:t>71,667.93</w:t>
      </w:r>
      <w:r>
        <w:rPr>
          <w:spacing w:val="-1"/>
        </w:rPr>
        <w:t>万元，同比增长</w:t>
      </w:r>
      <w:r>
        <w:rPr>
          <w:rFonts w:ascii="Times New Roman" w:hAnsi="Times New Roman" w:cs="Times New Roman" w:eastAsia="Times New Roman" w:hint="default"/>
          <w:spacing w:val="-1"/>
        </w:rPr>
        <w:t>119.38%</w:t>
      </w:r>
      <w:r>
        <w:rPr>
          <w:spacing w:val="-1"/>
        </w:rPr>
        <w:t>；实现利润总额</w:t>
      </w:r>
      <w:r>
        <w:rPr>
          <w:rFonts w:ascii="Times New Roman" w:hAnsi="Times New Roman" w:cs="Times New Roman" w:eastAsia="Times New Roman" w:hint="default"/>
          <w:spacing w:val="-1"/>
        </w:rPr>
        <w:t>15,130.72</w:t>
      </w:r>
      <w:r>
        <w:rPr>
          <w:spacing w:val="-1"/>
        </w:rPr>
        <w:t>万元，同比增长</w:t>
      </w:r>
      <w:r>
        <w:rPr>
          <w:rFonts w:ascii="Times New Roman" w:hAnsi="Times New Roman" w:cs="Times New Roman" w:eastAsia="Times New Roman" w:hint="default"/>
          <w:spacing w:val="-1"/>
        </w:rPr>
        <w:t>99.57%</w:t>
      </w:r>
      <w:r>
        <w:rPr>
          <w:spacing w:val="-1"/>
        </w:rPr>
        <w:t>；实现归</w:t>
      </w:r>
      <w:r>
        <w:rPr>
          <w:spacing w:val="-48"/>
        </w:rPr>
        <w:t> </w:t>
      </w:r>
      <w:r>
        <w:rPr>
          <w:spacing w:val="-48"/>
        </w:rPr>
      </w:r>
      <w:r>
        <w:rPr/>
        <w:t>属于上市公司股东的净利润为</w:t>
      </w:r>
      <w:r>
        <w:rPr>
          <w:rFonts w:ascii="Times New Roman" w:hAnsi="Times New Roman" w:cs="Times New Roman" w:eastAsia="Times New Roman" w:hint="default"/>
        </w:rPr>
        <w:t>13,497.94</w:t>
      </w:r>
      <w:r>
        <w:rPr/>
        <w:t>万元，同比增长</w:t>
      </w:r>
      <w:r>
        <w:rPr>
          <w:rFonts w:ascii="Times New Roman" w:hAnsi="Times New Roman" w:cs="Times New Roman" w:eastAsia="Times New Roman" w:hint="default"/>
        </w:rPr>
        <w:t>85.72%</w:t>
      </w:r>
      <w:r>
        <w:rPr/>
        <w:t>。</w:t>
      </w:r>
    </w:p>
    <w:p>
      <w:pPr>
        <w:spacing w:line="240" w:lineRule="auto" w:before="11"/>
        <w:rPr>
          <w:rFonts w:ascii="宋体" w:hAnsi="宋体" w:cs="宋体" w:eastAsia="宋体" w:hint="default"/>
          <w:sz w:val="24"/>
          <w:szCs w:val="24"/>
        </w:rPr>
      </w:pPr>
    </w:p>
    <w:p>
      <w:pPr>
        <w:pStyle w:val="BodyText"/>
        <w:spacing w:line="240" w:lineRule="auto"/>
        <w:ind w:right="0"/>
        <w:jc w:val="left"/>
      </w:pPr>
      <w:r>
        <w:rPr/>
        <w:t>（二）主要业务情况</w:t>
      </w:r>
    </w:p>
    <w:p>
      <w:pPr>
        <w:pStyle w:val="BodyText"/>
        <w:spacing w:line="312" w:lineRule="auto" w:before="76"/>
        <w:ind w:right="1118"/>
        <w:jc w:val="left"/>
      </w:pPr>
      <w:r>
        <w:rPr>
          <w:rFonts w:ascii="Times New Roman" w:hAnsi="Times New Roman" w:cs="Times New Roman" w:eastAsia="Times New Roman" w:hint="default"/>
        </w:rPr>
        <w:t>1</w:t>
      </w:r>
      <w:r>
        <w:rPr/>
        <w:t>、聚焦行业细分领域，推进政府资源管理与共享服务 </w:t>
      </w:r>
      <w:r>
        <w:rPr>
          <w:spacing w:val="-2"/>
        </w:rPr>
        <w:t>当前我国政府仍处于由管理型政府向服务型政府转型的阶段，政府信息化建设对提升政府服务和监管能力起着至关重要的作</w:t>
      </w:r>
      <w:r>
        <w:rPr>
          <w:spacing w:val="-64"/>
        </w:rPr>
        <w:t> </w:t>
      </w:r>
      <w:r>
        <w:rPr>
          <w:spacing w:val="-64"/>
        </w:rPr>
      </w:r>
      <w:r>
        <w:rPr>
          <w:spacing w:val="-2"/>
        </w:rPr>
        <w:t>用，同时随着云计算、大数据、互联网等新兴技术的发展，新常态下的政府角色转型对政府信息化管理工作提出了更高的要</w:t>
      </w:r>
      <w:r>
        <w:rPr>
          <w:spacing w:val="-66"/>
        </w:rPr>
        <w:t> </w:t>
      </w:r>
      <w:r>
        <w:rPr>
          <w:spacing w:val="-66"/>
        </w:rPr>
      </w:r>
      <w:r>
        <w:rPr>
          <w:spacing w:val="-2"/>
        </w:rPr>
        <w:t>求，尤其是在利用大数据等新兴技术帮助政府客户提升服务和监管能力方面的需求比较迫切。报告期内，公司继续围绕财政</w:t>
      </w:r>
      <w:r>
        <w:rPr>
          <w:spacing w:val="-65"/>
        </w:rPr>
        <w:t> </w:t>
      </w:r>
      <w:r>
        <w:rPr>
          <w:spacing w:val="-65"/>
        </w:rPr>
      </w:r>
      <w:r>
        <w:rPr>
          <w:spacing w:val="-2"/>
        </w:rPr>
        <w:t>决算、国资监管、政府统计、资产管理等重点业务为政府部门提供信息化服务，并积极推动大数据等新技术在电子政务领域</w:t>
      </w:r>
      <w:r>
        <w:rPr>
          <w:spacing w:val="-66"/>
        </w:rPr>
        <w:t> </w:t>
      </w:r>
      <w:r>
        <w:rPr>
          <w:spacing w:val="-66"/>
        </w:rPr>
      </w:r>
      <w:r>
        <w:rPr>
          <w:spacing w:val="-2"/>
        </w:rPr>
        <w:t>的应用，与证监会、国务院扶贫办、国家粮食局、司法部、保监会等新客户建立合作，并在财政、交通、卫生、教育、海关</w:t>
      </w:r>
      <w:r>
        <w:rPr>
          <w:spacing w:val="-70"/>
        </w:rPr>
        <w:t> </w:t>
      </w:r>
      <w:r>
        <w:rPr>
          <w:spacing w:val="-70"/>
        </w:rPr>
      </w:r>
      <w:r>
        <w:rPr>
          <w:spacing w:val="-2"/>
        </w:rPr>
        <w:t>等领域的行业布局取得显著成效，促进公司电子政务业务稳步增长。报告期电子政务业务实现收入</w:t>
      </w:r>
      <w:r>
        <w:rPr>
          <w:rFonts w:ascii="Times New Roman" w:hAnsi="Times New Roman" w:cs="Times New Roman" w:eastAsia="Times New Roman" w:hint="default"/>
          <w:spacing w:val="-2"/>
        </w:rPr>
        <w:t>26,839.61</w:t>
      </w:r>
      <w:r>
        <w:rPr>
          <w:spacing w:val="-2"/>
        </w:rPr>
        <w:t>万元，同比增长</w:t>
      </w:r>
      <w:r>
        <w:rPr>
          <w:spacing w:val="-58"/>
        </w:rPr>
        <w:t> </w:t>
      </w:r>
      <w:r>
        <w:rPr>
          <w:spacing w:val="-58"/>
        </w:rPr>
      </w:r>
      <w:r>
        <w:rPr>
          <w:rFonts w:ascii="Times New Roman" w:hAnsi="Times New Roman" w:cs="Times New Roman" w:eastAsia="Times New Roman" w:hint="default"/>
        </w:rPr>
        <w:t>45.52%</w:t>
      </w:r>
      <w:r>
        <w:rPr/>
        <w:t>。</w:t>
      </w:r>
    </w:p>
    <w:p>
      <w:pPr>
        <w:spacing w:line="240" w:lineRule="auto" w:before="1"/>
        <w:rPr>
          <w:rFonts w:ascii="宋体" w:hAnsi="宋体" w:cs="宋体" w:eastAsia="宋体" w:hint="default"/>
          <w:sz w:val="24"/>
          <w:szCs w:val="24"/>
        </w:rPr>
      </w:pPr>
    </w:p>
    <w:p>
      <w:pPr>
        <w:pStyle w:val="BodyText"/>
        <w:spacing w:line="316" w:lineRule="auto"/>
        <w:ind w:right="0"/>
        <w:jc w:val="left"/>
      </w:pPr>
      <w:r>
        <w:rPr>
          <w:spacing w:val="-2"/>
        </w:rPr>
        <w:t>推进政务数据资源共享是促进政府职能转变，提升政府公共服务能力和社会治理能力的重要举措，也是落地政府大数据应用</w:t>
      </w:r>
      <w:r>
        <w:rPr>
          <w:spacing w:val="-64"/>
        </w:rPr>
        <w:t> </w:t>
      </w:r>
      <w:r>
        <w:rPr>
          <w:spacing w:val="-64"/>
        </w:rPr>
      </w:r>
      <w:r>
        <w:rPr>
          <w:spacing w:val="-4"/>
        </w:rPr>
        <w:t>之基础。报告期，公司在政府数据管理及共享服务领域取得一定进展，承建的中国证监会中央监管信息平台报表采集子系统，</w:t>
      </w:r>
      <w:r>
        <w:rPr>
          <w:spacing w:val="-44"/>
        </w:rPr>
        <w:t> </w:t>
      </w:r>
      <w:r>
        <w:rPr>
          <w:spacing w:val="-44"/>
        </w:rPr>
      </w:r>
      <w:r>
        <w:rPr>
          <w:spacing w:val="-2"/>
        </w:rPr>
        <w:t>是公司首次涉足证券监管行业，将为所有监管机构、全流程数据信息的统一监管提供支撑。随着简政放权政策的推行，行业</w:t>
      </w:r>
      <w:r>
        <w:rPr>
          <w:spacing w:val="-68"/>
        </w:rPr>
        <w:t> </w:t>
      </w:r>
      <w:r>
        <w:rPr>
          <w:spacing w:val="-68"/>
        </w:rPr>
      </w:r>
      <w:r>
        <w:rPr>
          <w:spacing w:val="-2"/>
        </w:rPr>
        <w:t>协会作用日益突显。报告期，公司成功开拓行业协会市场，签约建材、机械、中国石油和化学工业联合会等行业协会大数据</w:t>
      </w:r>
      <w:r>
        <w:rPr>
          <w:spacing w:val="-65"/>
        </w:rPr>
        <w:t> </w:t>
      </w:r>
      <w:r>
        <w:rPr>
          <w:spacing w:val="-65"/>
        </w:rPr>
      </w:r>
      <w:r>
        <w:rPr>
          <w:spacing w:val="-2"/>
        </w:rPr>
        <w:t>应用项目。在国家提出精准扶贫的政策背景下，公司在报告期承建国务院扶贫办全国扶贫决策支撑业务系统开发工作，成为</w:t>
      </w:r>
      <w:r>
        <w:rPr>
          <w:spacing w:val="-66"/>
        </w:rPr>
        <w:t> </w:t>
      </w:r>
      <w:r>
        <w:rPr>
          <w:spacing w:val="-66"/>
        </w:rPr>
      </w:r>
      <w:r>
        <w:rPr/>
        <w:t>大数据服务于政府决策的又一典型应用。</w:t>
      </w:r>
    </w:p>
    <w:p>
      <w:pPr>
        <w:spacing w:line="240" w:lineRule="auto" w:before="3"/>
        <w:rPr>
          <w:rFonts w:ascii="宋体" w:hAnsi="宋体" w:cs="宋体" w:eastAsia="宋体" w:hint="default"/>
          <w:sz w:val="25"/>
          <w:szCs w:val="25"/>
        </w:rPr>
      </w:pPr>
    </w:p>
    <w:p>
      <w:pPr>
        <w:pStyle w:val="BodyText"/>
        <w:spacing w:line="314" w:lineRule="auto"/>
        <w:ind w:right="1132"/>
        <w:jc w:val="both"/>
      </w:pPr>
      <w:r>
        <w:rPr>
          <w:spacing w:val="-2"/>
        </w:rPr>
        <w:t>财政信息化领域历来是公司的优势所在，财政部部门决算升级版的市场推广工作稳步推进，并通过承建甘肃省、江苏省行政</w:t>
      </w:r>
      <w:r>
        <w:rPr>
          <w:spacing w:val="-68"/>
        </w:rPr>
        <w:t> </w:t>
      </w:r>
      <w:r>
        <w:rPr>
          <w:spacing w:val="-68"/>
        </w:rPr>
      </w:r>
      <w:r>
        <w:rPr>
          <w:spacing w:val="-2"/>
        </w:rPr>
        <w:t>事业单位财务核算管理项目，取得财政核算业务新进展。行政事业单位资产管理业务方面，随着财政部</w:t>
      </w:r>
      <w:r>
        <w:rPr>
          <w:rFonts w:ascii="Times New Roman" w:hAnsi="Times New Roman" w:cs="Times New Roman" w:eastAsia="Times New Roman" w:hint="default"/>
          <w:spacing w:val="-2"/>
        </w:rPr>
        <w:t>2015</w:t>
      </w:r>
      <w:r>
        <w:rPr>
          <w:spacing w:val="-2"/>
        </w:rPr>
        <w:t>年启动全国行政</w:t>
      </w:r>
      <w:r>
        <w:rPr>
          <w:spacing w:val="-63"/>
        </w:rPr>
        <w:t> </w:t>
      </w:r>
      <w:r>
        <w:rPr>
          <w:spacing w:val="-2"/>
        </w:rPr>
        <w:t>事业单位国有资产清查工作，带来一轮新的资产管理系统升级服务需求，将进一步巩固公司在行政事业单位资产管理领域的</w:t>
      </w:r>
      <w:r>
        <w:rPr>
          <w:spacing w:val="-64"/>
        </w:rPr>
        <w:t> </w:t>
      </w:r>
      <w:r>
        <w:rPr>
          <w:spacing w:val="-64"/>
        </w:rPr>
      </w:r>
      <w:r>
        <w:rPr>
          <w:spacing w:val="-2"/>
        </w:rPr>
        <w:t>行业龙头地位。同时，报告期，公司推出的面向医院、卫生事业单位的资产管理信息系统推广方案，在卫生行业领域取得重</w:t>
      </w:r>
      <w:r>
        <w:rPr>
          <w:spacing w:val="-66"/>
        </w:rPr>
        <w:t> </w:t>
      </w:r>
      <w:r>
        <w:rPr>
          <w:spacing w:val="-66"/>
        </w:rPr>
      </w:r>
      <w:r>
        <w:rPr/>
        <w:t>要进展，全面覆盖卫计委直属</w:t>
      </w:r>
      <w:r>
        <w:rPr>
          <w:rFonts w:ascii="Times New Roman" w:hAnsi="Times New Roman" w:cs="Times New Roman" w:eastAsia="Times New Roman" w:hint="default"/>
        </w:rPr>
        <w:t>99</w:t>
      </w:r>
      <w:r>
        <w:rPr/>
        <w:t>家预算单位。</w:t>
      </w:r>
    </w:p>
    <w:p>
      <w:pPr>
        <w:spacing w:line="240" w:lineRule="auto" w:before="12"/>
        <w:rPr>
          <w:rFonts w:ascii="宋体" w:hAnsi="宋体" w:cs="宋体" w:eastAsia="宋体" w:hint="default"/>
          <w:sz w:val="23"/>
          <w:szCs w:val="23"/>
        </w:rPr>
      </w:pPr>
    </w:p>
    <w:p>
      <w:pPr>
        <w:pStyle w:val="BodyText"/>
        <w:spacing w:line="300" w:lineRule="auto"/>
        <w:ind w:right="1129"/>
        <w:jc w:val="left"/>
      </w:pPr>
      <w:r>
        <w:rPr>
          <w:spacing w:val="-1"/>
        </w:rPr>
        <w:t>公司在报告期初设立了交通事业部，重点布局交通领域。以</w:t>
      </w:r>
      <w:r>
        <w:rPr>
          <w:rFonts w:ascii="Times New Roman" w:hAnsi="Times New Roman" w:cs="Times New Roman" w:eastAsia="Times New Roman" w:hint="default"/>
          <w:spacing w:val="-1"/>
        </w:rPr>
        <w:t>“</w:t>
      </w:r>
      <w:r>
        <w:rPr>
          <w:spacing w:val="-1"/>
        </w:rPr>
        <w:t>大交通</w:t>
      </w:r>
      <w:r>
        <w:rPr>
          <w:rFonts w:ascii="Times New Roman" w:hAnsi="Times New Roman" w:cs="Times New Roman" w:eastAsia="Times New Roman" w:hint="default"/>
          <w:spacing w:val="-1"/>
        </w:rPr>
        <w:t>”</w:t>
      </w:r>
      <w:r>
        <w:rPr>
          <w:spacing w:val="-1"/>
        </w:rPr>
        <w:t>为立足点，全面深入交通运输部</w:t>
      </w:r>
      <w:r>
        <w:rPr>
          <w:rFonts w:ascii="Times New Roman" w:hAnsi="Times New Roman" w:cs="Times New Roman" w:eastAsia="Times New Roman" w:hint="default"/>
          <w:spacing w:val="-1"/>
        </w:rPr>
        <w:t>“</w:t>
      </w:r>
      <w:r>
        <w:rPr>
          <w:spacing w:val="-1"/>
        </w:rPr>
        <w:t>十二五</w:t>
      </w:r>
      <w:r>
        <w:rPr>
          <w:rFonts w:ascii="Times New Roman" w:hAnsi="Times New Roman" w:cs="Times New Roman" w:eastAsia="Times New Roman" w:hint="default"/>
          <w:spacing w:val="-1"/>
        </w:rPr>
        <w:t>”</w:t>
      </w:r>
      <w:r>
        <w:rPr>
          <w:spacing w:val="-1"/>
        </w:rPr>
        <w:t>信息化四个重</w:t>
      </w:r>
      <w:r>
        <w:rPr>
          <w:spacing w:val="-80"/>
        </w:rPr>
        <w:t> </w:t>
      </w:r>
      <w:r>
        <w:rPr>
          <w:spacing w:val="-2"/>
        </w:rPr>
        <w:t>大工程，公路、水路、铁路、民航等领域齐头并进。其中，公司承建的交通运输统计系统在报告期成功拓展贵州、安徽、宁</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0"/>
        <w:jc w:val="both"/>
      </w:pPr>
      <w:r>
        <w:rPr>
          <w:spacing w:val="-2"/>
        </w:rPr>
        <w:t>夏、新疆兵团、山东、福建、浙江等区域市场，实现全国近二十个省市的应用落地，市场份额显著加大。除了推进交通统计</w:t>
      </w:r>
      <w:r>
        <w:rPr>
          <w:spacing w:val="-71"/>
        </w:rPr>
        <w:t> </w:t>
      </w:r>
      <w:r>
        <w:rPr>
          <w:spacing w:val="-71"/>
        </w:rPr>
      </w:r>
      <w:r>
        <w:rPr>
          <w:spacing w:val="-2"/>
        </w:rPr>
        <w:t>和投资计划、民航财务、铁路资产等业务外，公司报告期在交通领域市场信用体系建设、路网运情监测及应急指挥等新业务</w:t>
      </w:r>
      <w:r>
        <w:rPr>
          <w:spacing w:val="-66"/>
        </w:rPr>
        <w:t> </w:t>
      </w:r>
      <w:r>
        <w:rPr>
          <w:spacing w:val="-66"/>
        </w:rPr>
      </w:r>
      <w:r>
        <w:rPr/>
        <w:t>方面取得较大进展，并开辟了公司首个城市公共交通项目</w:t>
      </w:r>
      <w:r>
        <w:rPr>
          <w:rFonts w:ascii="Times New Roman" w:hAnsi="Times New Roman" w:cs="Times New Roman" w:eastAsia="Times New Roman" w:hint="default"/>
        </w:rPr>
        <w:t>——</w:t>
      </w:r>
      <w:r>
        <w:rPr/>
        <w:t>青岛交通运输数据资源与服务平台，以及首个物流行业应用</w:t>
      </w:r>
    </w:p>
    <w:p>
      <w:pPr>
        <w:pStyle w:val="BodyText"/>
        <w:spacing w:line="300" w:lineRule="auto"/>
        <w:ind w:right="0"/>
        <w:jc w:val="left"/>
      </w:pPr>
      <w:r>
        <w:rPr>
          <w:rFonts w:ascii="Times New Roman" w:hAnsi="Times New Roman" w:cs="Times New Roman" w:eastAsia="Times New Roman" w:hint="default"/>
          <w:spacing w:val="-2"/>
        </w:rPr>
        <w:t>——</w:t>
      </w:r>
      <w:r>
        <w:rPr>
          <w:spacing w:val="-2"/>
        </w:rPr>
        <w:t>黑龙江省物流公共信息平台，并成功中标机场、铁路专业设备管理系统和民航专业工程招投标系统，实现了公司在大交</w:t>
      </w:r>
      <w:r>
        <w:rPr>
          <w:spacing w:val="-66"/>
        </w:rPr>
        <w:t> </w:t>
      </w:r>
      <w:r>
        <w:rPr>
          <w:spacing w:val="-66"/>
        </w:rPr>
      </w:r>
      <w:r>
        <w:rPr/>
        <w:t>通领域的新突破，为公司深入拓展交通领域业务树立了标杆，搭建了基础。</w:t>
      </w:r>
    </w:p>
    <w:p>
      <w:pPr>
        <w:spacing w:line="240" w:lineRule="auto" w:before="3"/>
        <w:rPr>
          <w:rFonts w:ascii="宋体" w:hAnsi="宋体" w:cs="宋体" w:eastAsia="宋体" w:hint="default"/>
          <w:sz w:val="26"/>
          <w:szCs w:val="26"/>
        </w:rPr>
      </w:pPr>
    </w:p>
    <w:p>
      <w:pPr>
        <w:pStyle w:val="BodyText"/>
        <w:spacing w:line="316" w:lineRule="auto"/>
        <w:ind w:right="1033"/>
        <w:jc w:val="left"/>
      </w:pPr>
      <w:r>
        <w:rPr>
          <w:spacing w:val="-2"/>
        </w:rPr>
        <w:t>公司以发行股份及支付现金方式作价</w:t>
      </w:r>
      <w:r>
        <w:rPr>
          <w:rFonts w:ascii="宋体" w:hAnsi="宋体" w:cs="宋体" w:eastAsia="宋体" w:hint="default"/>
          <w:spacing w:val="-2"/>
        </w:rPr>
        <w:t>60,000</w:t>
      </w:r>
      <w:r>
        <w:rPr>
          <w:spacing w:val="-2"/>
        </w:rPr>
        <w:t>万元并购的华夏电通于报告期</w:t>
      </w:r>
      <w:r>
        <w:rPr>
          <w:rFonts w:ascii="宋体" w:hAnsi="宋体" w:cs="宋体" w:eastAsia="宋体" w:hint="default"/>
          <w:spacing w:val="-2"/>
        </w:rPr>
        <w:t>11</w:t>
      </w:r>
      <w:r>
        <w:rPr>
          <w:spacing w:val="-2"/>
        </w:rPr>
        <w:t>月末正式纳入合并范围，华夏电通凭借其在数字</w:t>
      </w:r>
      <w:r>
        <w:rPr>
          <w:spacing w:val="-56"/>
        </w:rPr>
        <w:t> </w:t>
      </w:r>
      <w:r>
        <w:rPr>
          <w:spacing w:val="-56"/>
        </w:rPr>
      </w:r>
      <w:r>
        <w:rPr>
          <w:spacing w:val="-2"/>
        </w:rPr>
        <w:t>视讯领域的专业技术实力，以及其在数字法庭细分市场较高的占有率，成为公司深挖电子政务行业新的突破口与增长点。随</w:t>
      </w:r>
      <w:r>
        <w:rPr>
          <w:spacing w:val="-66"/>
        </w:rPr>
        <w:t> </w:t>
      </w:r>
      <w:r>
        <w:rPr>
          <w:spacing w:val="-66"/>
        </w:rPr>
      </w:r>
      <w:r>
        <w:rPr/>
        <w:t>着司法改革的不断演进及各项制度措施的落实推进，法院的信息化建设正朝着多元化方向发展，公司与华夏电通将在技术、 产品及业务等方面深度融合，共享市场客户资源，深化客户服务，提升用户粘性。</w:t>
      </w:r>
    </w:p>
    <w:p>
      <w:pPr>
        <w:spacing w:line="240" w:lineRule="auto" w:before="4"/>
        <w:rPr>
          <w:rFonts w:ascii="宋体" w:hAnsi="宋体" w:cs="宋体" w:eastAsia="宋体" w:hint="default"/>
          <w:sz w:val="25"/>
          <w:szCs w:val="25"/>
        </w:rPr>
      </w:pPr>
    </w:p>
    <w:p>
      <w:pPr>
        <w:pStyle w:val="BodyText"/>
        <w:spacing w:line="300" w:lineRule="auto"/>
        <w:ind w:right="1033"/>
        <w:jc w:val="left"/>
      </w:pPr>
      <w:r>
        <w:rPr/>
        <w:t>此外，为专注并深耕细分领域，报告期</w:t>
      </w:r>
      <w:r>
        <w:rPr>
          <w:rFonts w:ascii="Times New Roman" w:hAnsi="Times New Roman" w:cs="Times New Roman" w:eastAsia="Times New Roman" w:hint="default"/>
        </w:rPr>
        <w:t>12</w:t>
      </w:r>
      <w:r>
        <w:rPr/>
        <w:t>月公司与北京信诺软通信息技术有限公司签署投资协议，将通过参股合作的形式， 加大在考试服务及考试安全方面对政务考试细分领域的拓展力度。</w:t>
      </w:r>
    </w:p>
    <w:p>
      <w:pPr>
        <w:spacing w:line="240" w:lineRule="auto" w:before="3"/>
        <w:rPr>
          <w:rFonts w:ascii="宋体" w:hAnsi="宋体" w:cs="宋体" w:eastAsia="宋体" w:hint="default"/>
          <w:sz w:val="26"/>
          <w:szCs w:val="26"/>
        </w:rPr>
      </w:pPr>
    </w:p>
    <w:p>
      <w:pPr>
        <w:pStyle w:val="BodyText"/>
        <w:spacing w:line="309" w:lineRule="auto"/>
        <w:ind w:left="154" w:right="1032"/>
        <w:jc w:val="left"/>
      </w:pPr>
      <w:r>
        <w:rPr>
          <w:rFonts w:ascii="Times New Roman" w:hAnsi="Times New Roman" w:cs="Times New Roman" w:eastAsia="Times New Roman" w:hint="default"/>
        </w:rPr>
        <w:t>2</w:t>
      </w:r>
      <w:r>
        <w:rPr/>
        <w:t>、做精集团管控业务，扩大业务领先优势 报告期内，围绕企业报表、决策支持、财务共享服务、集团财务和全面预算业务，集团管控产品线不断完善，继续在建筑、 </w:t>
      </w:r>
      <w:r>
        <w:rPr>
          <w:spacing w:val="-5"/>
        </w:rPr>
        <w:t>金融、制造、能源、军工、商贸、通信等重点行业发力。集团管控业务报告期内实现营业收入</w:t>
      </w:r>
      <w:r>
        <w:rPr>
          <w:rFonts w:ascii="Times New Roman" w:hAnsi="Times New Roman" w:cs="Times New Roman" w:eastAsia="Times New Roman" w:hint="default"/>
          <w:spacing w:val="-5"/>
        </w:rPr>
        <w:t>13,698.62</w:t>
      </w:r>
      <w:r>
        <w:rPr>
          <w:spacing w:val="-5"/>
        </w:rPr>
        <w:t>万元，同比增长</w:t>
      </w:r>
      <w:r>
        <w:rPr>
          <w:rFonts w:ascii="Times New Roman" w:hAnsi="Times New Roman" w:cs="Times New Roman" w:eastAsia="Times New Roman" w:hint="default"/>
          <w:spacing w:val="-5"/>
        </w:rPr>
        <w:t>5.88%</w:t>
      </w:r>
      <w:r>
        <w:rPr>
          <w:spacing w:val="-5"/>
        </w:rPr>
        <w:t>。</w:t>
      </w:r>
    </w:p>
    <w:p>
      <w:pPr>
        <w:spacing w:line="240" w:lineRule="auto" w:before="3"/>
        <w:rPr>
          <w:rFonts w:ascii="宋体" w:hAnsi="宋体" w:cs="宋体" w:eastAsia="宋体" w:hint="default"/>
          <w:sz w:val="24"/>
          <w:szCs w:val="24"/>
        </w:rPr>
      </w:pPr>
    </w:p>
    <w:p>
      <w:pPr>
        <w:pStyle w:val="BodyText"/>
        <w:spacing w:line="307" w:lineRule="auto"/>
        <w:ind w:right="1033"/>
        <w:jc w:val="left"/>
      </w:pPr>
      <w:r>
        <w:rPr/>
        <w:t>（</w:t>
      </w:r>
      <w:r>
        <w:rPr>
          <w:rFonts w:ascii="Times New Roman" w:hAnsi="Times New Roman" w:cs="Times New Roman" w:eastAsia="Times New Roman" w:hint="default"/>
        </w:rPr>
        <w:t>1</w:t>
      </w:r>
      <w:r>
        <w:rPr/>
        <w:t>）在财务共享服务方面，逐步实现对集团企业财务管理域的全链条覆盖，公司在国内共享服务领域的核心优势得到进一</w:t>
      </w:r>
      <w:r>
        <w:rPr>
          <w:spacing w:val="-83"/>
        </w:rPr>
        <w:t> </w:t>
      </w:r>
      <w:r>
        <w:rPr>
          <w:spacing w:val="-83"/>
        </w:rPr>
      </w:r>
      <w:r>
        <w:rPr>
          <w:spacing w:val="-2"/>
        </w:rPr>
        <w:t>步巩固和增强。报告期，久其财务共享在中国冶金科工集团、国家开发投资公司、幸福人寿保险股份有限公司、新华保险全</w:t>
      </w:r>
      <w:r>
        <w:rPr>
          <w:spacing w:val="-67"/>
        </w:rPr>
        <w:t> </w:t>
      </w:r>
      <w:r>
        <w:rPr>
          <w:spacing w:val="-67"/>
        </w:rPr>
      </w:r>
      <w:r>
        <w:rPr>
          <w:spacing w:val="-2"/>
        </w:rPr>
        <w:t>资子公司新华世纪电子商务有限公司、信和财富投资管理有限公司等企业得到了应用，取得金融资产管理领域市场突破的同</w:t>
      </w:r>
      <w:r>
        <w:rPr>
          <w:spacing w:val="-64"/>
        </w:rPr>
        <w:t> </w:t>
      </w:r>
      <w:r>
        <w:rPr>
          <w:spacing w:val="-64"/>
        </w:rPr>
      </w:r>
      <w:r>
        <w:rPr/>
        <w:t>时，该业务还在中国铁建股份有限公司及其下属六个二级局集团单位成功落地，实现了该业务领域国内市场最大部署规模， 并且多项技术指标取得国内领先，中国铁建股份有限公司通过该项目应用荣获</w:t>
      </w:r>
      <w:r>
        <w:rPr>
          <w:rFonts w:ascii="Times New Roman" w:hAnsi="Times New Roman" w:cs="Times New Roman" w:eastAsia="Times New Roman" w:hint="default"/>
        </w:rPr>
        <w:t>2015</w:t>
      </w:r>
      <w:r>
        <w:rPr/>
        <w:t>年度</w:t>
      </w:r>
      <w:r>
        <w:rPr>
          <w:rFonts w:ascii="Times New Roman" w:hAnsi="Times New Roman" w:cs="Times New Roman" w:eastAsia="Times New Roman" w:hint="default"/>
        </w:rPr>
        <w:t>“</w:t>
      </w:r>
      <w:r>
        <w:rPr/>
        <w:t>最佳共享服务中心</w:t>
      </w:r>
      <w:r>
        <w:rPr>
          <w:rFonts w:ascii="Times New Roman" w:hAnsi="Times New Roman" w:cs="Times New Roman" w:eastAsia="Times New Roman" w:hint="default"/>
        </w:rPr>
        <w:t>”</w:t>
      </w:r>
      <w:r>
        <w:rPr/>
        <w:t>最高级别大奖， </w:t>
      </w:r>
      <w:r>
        <w:rPr>
          <w:spacing w:val="-2"/>
        </w:rPr>
        <w:t>彰显了公司在集团管控业务领域的综合实力。（</w:t>
      </w:r>
      <w:r>
        <w:rPr>
          <w:rFonts w:ascii="Times New Roman" w:hAnsi="Times New Roman" w:cs="Times New Roman" w:eastAsia="Times New Roman" w:hint="default"/>
          <w:spacing w:val="-2"/>
        </w:rPr>
        <w:t>2</w:t>
      </w:r>
      <w:r>
        <w:rPr>
          <w:spacing w:val="-2"/>
        </w:rPr>
        <w:t>）集团财务方面，围绕集团财务大共享战略，公司不断优化完善集中核算、</w:t>
      </w:r>
      <w:r>
        <w:rPr>
          <w:spacing w:val="-64"/>
        </w:rPr>
        <w:t> </w:t>
      </w:r>
      <w:r>
        <w:rPr>
          <w:spacing w:val="-64"/>
        </w:rPr>
      </w:r>
      <w:r>
        <w:rPr/>
        <w:t>资产管理等业务，报告期在中国电信关联交易、信达证券数据集市、万达集团财务结算项目中得到了良好应用。（</w:t>
      </w:r>
      <w:r>
        <w:rPr>
          <w:rFonts w:ascii="Times New Roman" w:hAnsi="Times New Roman" w:cs="Times New Roman" w:eastAsia="Times New Roman" w:hint="default"/>
        </w:rPr>
        <w:t>3</w:t>
      </w:r>
      <w:r>
        <w:rPr/>
        <w:t>）全面</w:t>
      </w:r>
      <w:r>
        <w:rPr>
          <w:spacing w:val="-83"/>
        </w:rPr>
        <w:t> </w:t>
      </w:r>
      <w:r>
        <w:rPr>
          <w:spacing w:val="-83"/>
        </w:rPr>
      </w:r>
      <w:r>
        <w:rPr/>
        <w:t>预算方面，复杂测算模型构建能力，成功支撑了哈电集团盈利预测项目和新华保险偿二代项目。</w:t>
      </w:r>
    </w:p>
    <w:p>
      <w:pPr>
        <w:spacing w:line="240" w:lineRule="auto" w:before="11"/>
        <w:rPr>
          <w:rFonts w:ascii="宋体" w:hAnsi="宋体" w:cs="宋体" w:eastAsia="宋体" w:hint="default"/>
          <w:sz w:val="25"/>
          <w:szCs w:val="25"/>
        </w:rPr>
      </w:pPr>
    </w:p>
    <w:p>
      <w:pPr>
        <w:pStyle w:val="BodyText"/>
        <w:spacing w:line="309" w:lineRule="auto"/>
        <w:ind w:right="1131"/>
        <w:jc w:val="both"/>
      </w:pPr>
      <w:r>
        <w:rPr>
          <w:spacing w:val="-2"/>
        </w:rPr>
        <w:t>财务共享服务中心已逐渐成为现代化集团企业解决其财务管控痛点难点的最优解决方案，报告期，公司与北京国家会计学院</w:t>
      </w:r>
      <w:r>
        <w:rPr>
          <w:spacing w:val="-64"/>
        </w:rPr>
        <w:t> </w:t>
      </w:r>
      <w:r>
        <w:rPr>
          <w:spacing w:val="-64"/>
        </w:rPr>
      </w:r>
      <w:r>
        <w:rPr/>
        <w:t>共建</w:t>
      </w:r>
      <w:r>
        <w:rPr>
          <w:rFonts w:ascii="Times New Roman" w:hAnsi="Times New Roman" w:cs="Times New Roman" w:eastAsia="Times New Roman" w:hint="default"/>
        </w:rPr>
        <w:t>FSSC</w:t>
      </w:r>
      <w:r>
        <w:rPr/>
        <w:t>（财务共享服务中心）实验室，为久其财务共享服务业务搭建集产学研于一体的品牌传播平台，与此同时，久其</w:t>
      </w:r>
      <w:r>
        <w:rPr>
          <w:spacing w:val="-59"/>
        </w:rPr>
        <w:t> </w:t>
      </w:r>
      <w:r>
        <w:rPr>
          <w:spacing w:val="-59"/>
        </w:rPr>
      </w:r>
      <w:r>
        <w:rPr>
          <w:spacing w:val="-3"/>
        </w:rPr>
        <w:t>软件在报告期与国家会计学院联合创办的六期</w:t>
      </w:r>
      <w:r>
        <w:rPr>
          <w:rFonts w:ascii="Times New Roman" w:hAnsi="Times New Roman" w:cs="Times New Roman" w:eastAsia="Times New Roman" w:hint="default"/>
          <w:spacing w:val="-3"/>
        </w:rPr>
        <w:t>“2015</w:t>
      </w:r>
      <w:r>
        <w:rPr>
          <w:spacing w:val="-3"/>
        </w:rPr>
        <w:t>年企业集团财务共享服务中心建设与运营实战技能提升高级研修班</w:t>
      </w:r>
      <w:r>
        <w:rPr>
          <w:rFonts w:ascii="Times New Roman" w:hAnsi="Times New Roman" w:cs="Times New Roman" w:eastAsia="Times New Roman" w:hint="default"/>
          <w:spacing w:val="-3"/>
        </w:rPr>
        <w:t>”</w:t>
      </w:r>
      <w:r>
        <w:rPr>
          <w:spacing w:val="-3"/>
        </w:rPr>
        <w:t>，从</w:t>
      </w:r>
      <w:r>
        <w:rPr>
          <w:spacing w:val="-43"/>
        </w:rPr>
        <w:t> </w:t>
      </w:r>
      <w:r>
        <w:rPr>
          <w:spacing w:val="-2"/>
        </w:rPr>
        <w:t>理论基础到实践应用向集团型企业财务工作者展示财务共享服务中心的先进性及未来发展趋势，该培训班累计吸引七百余名</w:t>
      </w:r>
      <w:r>
        <w:rPr>
          <w:spacing w:val="-64"/>
        </w:rPr>
        <w:t> </w:t>
      </w:r>
      <w:r>
        <w:rPr>
          <w:spacing w:val="-64"/>
        </w:rPr>
      </w:r>
      <w:r>
        <w:rPr/>
        <w:t>来自大型集团企业的财务管理人员参加，并受到了多家企业集团管理参会者的高度好评。</w:t>
      </w:r>
    </w:p>
    <w:p>
      <w:pPr>
        <w:spacing w:line="240" w:lineRule="auto" w:before="9"/>
        <w:rPr>
          <w:rFonts w:ascii="宋体" w:hAnsi="宋体" w:cs="宋体" w:eastAsia="宋体" w:hint="default"/>
          <w:sz w:val="25"/>
          <w:szCs w:val="25"/>
        </w:rPr>
      </w:pPr>
    </w:p>
    <w:p>
      <w:pPr>
        <w:pStyle w:val="BodyText"/>
        <w:spacing w:line="304" w:lineRule="auto"/>
        <w:ind w:right="0"/>
        <w:jc w:val="left"/>
      </w:pPr>
      <w:r>
        <w:rPr>
          <w:rFonts w:ascii="Times New Roman" w:hAnsi="Times New Roman" w:cs="Times New Roman" w:eastAsia="Times New Roman" w:hint="default"/>
        </w:rPr>
        <w:t>3</w:t>
      </w:r>
      <w:r>
        <w:rPr/>
        <w:t>、完善大数据生态体系，挖掘云服务价值 </w:t>
      </w:r>
      <w:r>
        <w:rPr>
          <w:spacing w:val="-2"/>
        </w:rPr>
        <w:t>全球正迎来大数据时代，大数据已经成为最具经济价值的战略资源。报告期内，公司在大数据领域的战略布局稳步落实，进</w:t>
      </w:r>
      <w:r>
        <w:rPr>
          <w:spacing w:val="-66"/>
        </w:rPr>
        <w:t> </w:t>
      </w:r>
      <w:r>
        <w:rPr>
          <w:spacing w:val="-66"/>
        </w:rPr>
      </w:r>
      <w:r>
        <w:rPr>
          <w:spacing w:val="-2"/>
        </w:rPr>
        <w:t>一步为构建基于大数据价值分析的</w:t>
      </w:r>
      <w:r>
        <w:rPr>
          <w:rFonts w:ascii="Times New Roman" w:hAnsi="Times New Roman" w:cs="Times New Roman" w:eastAsia="Times New Roman" w:hint="default"/>
          <w:spacing w:val="-2"/>
        </w:rPr>
        <w:t>B2B2C</w:t>
      </w:r>
      <w:r>
        <w:rPr>
          <w:spacing w:val="-2"/>
        </w:rPr>
        <w:t>数据服务、应用服务和管理咨询的业务体系奠定了基础。在大数据管理和分析的基</w:t>
      </w:r>
      <w:r>
        <w:rPr>
          <w:spacing w:val="-64"/>
        </w:rPr>
        <w:t> </w:t>
      </w:r>
      <w:r>
        <w:rPr>
          <w:spacing w:val="-64"/>
        </w:rPr>
      </w:r>
      <w:r>
        <w:rPr>
          <w:spacing w:val="-2"/>
        </w:rPr>
        <w:t>础技术领域，公司在</w:t>
      </w:r>
      <w:r>
        <w:rPr>
          <w:rFonts w:ascii="Times New Roman" w:hAnsi="Times New Roman" w:cs="Times New Roman" w:eastAsia="Times New Roman" w:hint="default"/>
          <w:spacing w:val="-2"/>
        </w:rPr>
        <w:t>2014</w:t>
      </w:r>
      <w:r>
        <w:rPr>
          <w:spacing w:val="-2"/>
        </w:rPr>
        <w:t>年投资设立久其智通；在政府大数据分析领域，公司在报告期初与龙信数据（北京）有限公司共同</w:t>
      </w:r>
      <w:r>
        <w:rPr>
          <w:spacing w:val="-62"/>
        </w:rPr>
        <w:t> </w:t>
      </w:r>
      <w:r>
        <w:rPr>
          <w:spacing w:val="-62"/>
        </w:rPr>
      </w:r>
      <w:r>
        <w:rPr/>
        <w:t>投资</w:t>
      </w:r>
      <w:r>
        <w:rPr>
          <w:rFonts w:ascii="Times New Roman" w:hAnsi="Times New Roman" w:cs="Times New Roman" w:eastAsia="Times New Roman" w:hint="default"/>
        </w:rPr>
        <w:t>1,000</w:t>
      </w:r>
      <w:r>
        <w:rPr/>
        <w:t>万元设立了久其龙信，借助龙信数据在政府经济领域数据价值分析发掘方面的优势，以及公司在政府信息化领域</w:t>
      </w:r>
      <w:r>
        <w:rPr>
          <w:spacing w:val="-47"/>
        </w:rPr>
        <w:t> </w:t>
      </w:r>
      <w:r>
        <w:rPr>
          <w:spacing w:val="-47"/>
        </w:rPr>
      </w:r>
      <w:r>
        <w:rPr/>
        <w:t>的业务经验与市场积累，着力深耕政府财税领域大数据业务，逐步形成以</w:t>
      </w:r>
      <w:r>
        <w:rPr>
          <w:rFonts w:ascii="Times New Roman" w:hAnsi="Times New Roman" w:cs="Times New Roman" w:eastAsia="Times New Roman" w:hint="default"/>
        </w:rPr>
        <w:t>“</w:t>
      </w:r>
      <w:r>
        <w:rPr/>
        <w:t>久其唯数</w:t>
      </w:r>
      <w:r>
        <w:rPr>
          <w:rFonts w:ascii="Times New Roman" w:hAnsi="Times New Roman" w:cs="Times New Roman" w:eastAsia="Times New Roman" w:hint="default"/>
        </w:rPr>
        <w:t>”</w:t>
      </w:r>
      <w:r>
        <w:rPr/>
        <w:t>自有大数据业务为基础，上下游协同发 </w:t>
      </w:r>
      <w:r>
        <w:rPr>
          <w:spacing w:val="-2"/>
        </w:rPr>
        <w:t>展的大数据价值链条。在大数据产品与技术方面，久其智通在报告期末正式发布</w:t>
      </w:r>
      <w:r>
        <w:rPr>
          <w:rFonts w:ascii="Times New Roman" w:hAnsi="Times New Roman" w:cs="Times New Roman" w:eastAsia="Times New Roman" w:hint="default"/>
          <w:spacing w:val="-2"/>
        </w:rPr>
        <w:t>Darwin</w:t>
      </w:r>
      <w:r>
        <w:rPr>
          <w:spacing w:val="-2"/>
        </w:rPr>
        <w:t>平台，使其成为国内最早定位于大数</w:t>
      </w:r>
      <w:r>
        <w:rPr>
          <w:spacing w:val="-61"/>
        </w:rPr>
        <w:t> </w:t>
      </w:r>
      <w:r>
        <w:rPr>
          <w:spacing w:val="-61"/>
        </w:rPr>
      </w:r>
      <w:r>
        <w:rPr>
          <w:spacing w:val="-2"/>
        </w:rPr>
        <w:t>据应用支撑平台的大数据厂商之一；公司原有的商业智能分析技术久其唯数与久其智通的大数据技术深度整合，并结合久其</w:t>
      </w:r>
      <w:r>
        <w:rPr>
          <w:spacing w:val="-64"/>
        </w:rPr>
        <w:t> </w:t>
      </w:r>
      <w:r>
        <w:rPr>
          <w:spacing w:val="-64"/>
        </w:rPr>
      </w:r>
      <w:r>
        <w:rPr/>
        <w:t>龙信的数据分析理念和行业经验，形成了涵盖</w:t>
      </w:r>
      <w:r>
        <w:rPr>
          <w:rFonts w:ascii="Times New Roman" w:hAnsi="Times New Roman" w:cs="Times New Roman" w:eastAsia="Times New Roman" w:hint="default"/>
        </w:rPr>
        <w:t>Hadoop</w:t>
      </w:r>
      <w:r>
        <w:rPr/>
        <w:t>大数据技术、商业智能分析和数据可视化技术、行业方案模板等的具</w:t>
      </w:r>
      <w:r>
        <w:rPr>
          <w:spacing w:val="-31"/>
        </w:rPr>
        <w:t> </w:t>
      </w:r>
      <w:r>
        <w:rPr>
          <w:spacing w:val="-31"/>
        </w:rPr>
      </w:r>
      <w:r>
        <w:rPr>
          <w:spacing w:val="-4"/>
        </w:rPr>
        <w:t>有强大二次开发能力的大数据技术和产品平台。在市场推广和项目实践中，公司继续加大在政府统计、资产管理、财政决算、</w:t>
      </w:r>
      <w:r>
        <w:rPr>
          <w:spacing w:val="-46"/>
        </w:rPr>
        <w:t> </w:t>
      </w:r>
      <w:r>
        <w:rPr>
          <w:spacing w:val="-46"/>
        </w:rPr>
      </w:r>
      <w:r>
        <w:rPr>
          <w:spacing w:val="-2"/>
        </w:rPr>
        <w:t>合并报表、综合统计分析等传统优势业务中的应用，同时，以融合创新的技术平台和解决方案在交通、金融保险、电信等数</w:t>
      </w:r>
    </w:p>
    <w:p>
      <w:pPr>
        <w:spacing w:after="0" w:line="304"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据密集型的特定领域市场发力，取得了新的市场突破。目前公司已构建起涵盖数据统计、数据治理、数据价值分析、数据可</w:t>
      </w:r>
      <w:r>
        <w:rPr>
          <w:spacing w:val="-65"/>
        </w:rPr>
        <w:t> </w:t>
      </w:r>
      <w:r>
        <w:rPr>
          <w:spacing w:val="-65"/>
        </w:rPr>
      </w:r>
      <w:r>
        <w:rPr>
          <w:spacing w:val="-4"/>
        </w:rPr>
        <w:t>视化等方面的较为完整的久其大数据业务体系，具备云计算服务、大数据技术平台、大数据应用服务方面的技术及资源储备，</w:t>
      </w:r>
      <w:r>
        <w:rPr>
          <w:spacing w:val="-44"/>
        </w:rPr>
        <w:t> </w:t>
      </w:r>
      <w:r>
        <w:rPr>
          <w:spacing w:val="-44"/>
        </w:rPr>
      </w:r>
      <w:r>
        <w:rPr/>
        <w:t>具备丰富的项目实践经验，能够为用户在大数据管理与分析服务中提供全面深入的产品与解决方案。</w:t>
      </w:r>
    </w:p>
    <w:p>
      <w:pPr>
        <w:spacing w:line="240" w:lineRule="auto" w:before="4"/>
        <w:rPr>
          <w:rFonts w:ascii="宋体" w:hAnsi="宋体" w:cs="宋体" w:eastAsia="宋体" w:hint="default"/>
          <w:sz w:val="25"/>
          <w:szCs w:val="25"/>
        </w:rPr>
      </w:pPr>
    </w:p>
    <w:p>
      <w:pPr>
        <w:pStyle w:val="BodyText"/>
        <w:spacing w:line="304" w:lineRule="auto"/>
        <w:ind w:right="0"/>
        <w:jc w:val="left"/>
      </w:pPr>
      <w:r>
        <w:rPr>
          <w:spacing w:val="-2"/>
        </w:rPr>
        <w:t>推进公司技术、产品与业务模式的云化转型，是价值再造和竞争力提升的重要途径。公司在报告期投资设立蜂语网络，其致</w:t>
      </w:r>
      <w:r>
        <w:rPr>
          <w:spacing w:val="-66"/>
        </w:rPr>
        <w:t> </w:t>
      </w:r>
      <w:r>
        <w:rPr>
          <w:spacing w:val="-66"/>
        </w:rPr>
      </w:r>
      <w:r>
        <w:rPr/>
        <w:t>力于建设面向应用开发领域的</w:t>
      </w:r>
      <w:r>
        <w:rPr>
          <w:rFonts w:ascii="Times New Roman" w:hAnsi="Times New Roman" w:cs="Times New Roman" w:eastAsia="Times New Roman" w:hint="default"/>
        </w:rPr>
        <w:t>PaaS</w:t>
      </w:r>
      <w:r>
        <w:rPr/>
        <w:t>平台，基于久其</w:t>
      </w:r>
      <w:r>
        <w:rPr>
          <w:rFonts w:ascii="Times New Roman" w:hAnsi="Times New Roman" w:cs="Times New Roman" w:eastAsia="Times New Roman" w:hint="default"/>
        </w:rPr>
        <w:t>DNA</w:t>
      </w:r>
      <w:r>
        <w:rPr/>
        <w:t>核心底层研发平台，向软件开发商和个人开发者提供快速定制个性</w:t>
      </w:r>
      <w:r>
        <w:rPr>
          <w:spacing w:val="-30"/>
        </w:rPr>
        <w:t> </w:t>
      </w:r>
      <w:r>
        <w:rPr>
          <w:spacing w:val="-30"/>
        </w:rPr>
      </w:r>
      <w:r>
        <w:rPr/>
        <w:t>化管理软件、</w:t>
      </w:r>
      <w:r>
        <w:rPr>
          <w:rFonts w:ascii="Times New Roman" w:hAnsi="Times New Roman" w:cs="Times New Roman" w:eastAsia="Times New Roman" w:hint="default"/>
        </w:rPr>
        <w:t>O2O</w:t>
      </w:r>
      <w:r>
        <w:rPr/>
        <w:t>应用、移动</w:t>
      </w:r>
      <w:r>
        <w:rPr>
          <w:rFonts w:ascii="Times New Roman" w:hAnsi="Times New Roman" w:cs="Times New Roman" w:eastAsia="Times New Roman" w:hint="default"/>
        </w:rPr>
        <w:t>APP</w:t>
      </w:r>
      <w:r>
        <w:rPr/>
        <w:t>相关云服务，并逐步建立基于互联网的应用生产和交付生态圈，为各类目标客户整合复杂 </w:t>
      </w:r>
      <w:r>
        <w:rPr>
          <w:spacing w:val="-4"/>
        </w:rPr>
        <w:t>的互联网技术和提供简单高效交付能力的云平台。报告期内，蜂语</w:t>
      </w:r>
      <w:r>
        <w:rPr>
          <w:rFonts w:ascii="Times New Roman" w:hAnsi="Times New Roman" w:cs="Times New Roman" w:eastAsia="Times New Roman" w:hint="default"/>
          <w:spacing w:val="-4"/>
        </w:rPr>
        <w:t>PaaS</w:t>
      </w:r>
      <w:r>
        <w:rPr>
          <w:spacing w:val="-4"/>
        </w:rPr>
        <w:t>云平台正处于研发阶段，同时结合具体行业应用场景，</w:t>
      </w:r>
      <w:r>
        <w:rPr>
          <w:spacing w:val="-37"/>
        </w:rPr>
        <w:t> </w:t>
      </w:r>
      <w:r>
        <w:rPr>
          <w:spacing w:val="-37"/>
        </w:rPr>
      </w:r>
      <w:r>
        <w:rPr/>
        <w:t>与合作伙伴展开合作。</w:t>
      </w:r>
    </w:p>
    <w:p>
      <w:pPr>
        <w:spacing w:line="240" w:lineRule="auto" w:before="13"/>
        <w:rPr>
          <w:rFonts w:ascii="宋体" w:hAnsi="宋体" w:cs="宋体" w:eastAsia="宋体" w:hint="default"/>
          <w:sz w:val="25"/>
          <w:szCs w:val="25"/>
        </w:rPr>
      </w:pPr>
    </w:p>
    <w:p>
      <w:pPr>
        <w:pStyle w:val="BodyText"/>
        <w:spacing w:line="304" w:lineRule="auto"/>
        <w:ind w:right="1033"/>
        <w:jc w:val="left"/>
      </w:pPr>
      <w:r>
        <w:rPr/>
        <w:t>海南久其推出的哒咔办公（</w:t>
      </w:r>
      <w:hyperlink r:id="rId14">
        <w:r>
          <w:rPr>
            <w:rFonts w:ascii="Times New Roman" w:hAnsi="Times New Roman" w:cs="Times New Roman" w:eastAsia="Times New Roman" w:hint="default"/>
          </w:rPr>
          <w:t>www.dakahr.com</w:t>
        </w:r>
      </w:hyperlink>
      <w:r>
        <w:rPr/>
        <w:t>）截至报告期末已累计服务</w:t>
      </w:r>
      <w:r>
        <w:rPr>
          <w:rFonts w:ascii="Times New Roman" w:hAnsi="Times New Roman" w:cs="Times New Roman" w:eastAsia="Times New Roman" w:hint="default"/>
        </w:rPr>
        <w:t>5,000</w:t>
      </w:r>
      <w:r>
        <w:rPr/>
        <w:t>余家企业用户，随着其产品功能的不断完善，</w:t>
      </w:r>
      <w:r>
        <w:rPr>
          <w:spacing w:val="-63"/>
        </w:rPr>
        <w:t> </w:t>
      </w:r>
      <w:r>
        <w:rPr>
          <w:spacing w:val="-63"/>
        </w:rPr>
      </w:r>
      <w:r>
        <w:rPr>
          <w:spacing w:val="-2"/>
        </w:rPr>
        <w:t>结合在企业管理信息化领域的技术积累与应用实践，公司在</w:t>
      </w:r>
      <w:r>
        <w:rPr>
          <w:rFonts w:ascii="Times New Roman" w:hAnsi="Times New Roman" w:cs="Times New Roman" w:eastAsia="Times New Roman" w:hint="default"/>
          <w:spacing w:val="-2"/>
        </w:rPr>
        <w:t>2016</w:t>
      </w:r>
      <w:r>
        <w:rPr>
          <w:spacing w:val="-2"/>
        </w:rPr>
        <w:t>年初正式进军企业级</w:t>
      </w:r>
      <w:r>
        <w:rPr>
          <w:rFonts w:ascii="Times New Roman" w:hAnsi="Times New Roman" w:cs="Times New Roman" w:eastAsia="Times New Roman" w:hint="default"/>
          <w:spacing w:val="-2"/>
        </w:rPr>
        <w:t>SaaS</w:t>
      </w:r>
      <w:r>
        <w:rPr>
          <w:spacing w:val="-2"/>
        </w:rPr>
        <w:t>应用服务领域，助力中小企业客户</w:t>
      </w:r>
      <w:r>
        <w:rPr>
          <w:spacing w:val="-57"/>
        </w:rPr>
        <w:t> </w:t>
      </w:r>
      <w:r>
        <w:rPr>
          <w:spacing w:val="-57"/>
        </w:rPr>
      </w:r>
      <w:r>
        <w:rPr>
          <w:spacing w:val="-2"/>
        </w:rPr>
        <w:t>数字化经营管理。报告期，公司推出的久其格格产品（</w:t>
      </w:r>
      <w:hyperlink r:id="rId15">
        <w:r>
          <w:rPr>
            <w:rFonts w:ascii="Times New Roman" w:hAnsi="Times New Roman" w:cs="Times New Roman" w:eastAsia="Times New Roman" w:hint="default"/>
            <w:spacing w:val="-2"/>
          </w:rPr>
          <w:t>www.97gg.net</w:t>
        </w:r>
      </w:hyperlink>
      <w:r>
        <w:rPr>
          <w:spacing w:val="-2"/>
        </w:rPr>
        <w:t>）也是由传统报表产品转型而来的一款具有独特竞争力</w:t>
      </w:r>
      <w:r>
        <w:rPr>
          <w:spacing w:val="-36"/>
        </w:rPr>
        <w:t> </w:t>
      </w:r>
      <w:r>
        <w:rPr>
          <w:spacing w:val="-36"/>
        </w:rPr>
      </w:r>
      <w:r>
        <w:rPr/>
        <w:t>的云应用产品，将公司在报表管理领域将近二十年的数据采集、分析经验，与互联网创新理念相结合，面向各级政府部门、</w:t>
      </w:r>
      <w:r>
        <w:rPr>
          <w:w w:val="99"/>
        </w:rPr>
        <w:t> </w:t>
      </w:r>
      <w:r>
        <w:rPr/>
        <w:t>直属机构和大型企业集团，以及中小企业、项目团队、连锁店面、社团提供零门槛操作、灵活定制的互联网数据管理产品。</w:t>
      </w:r>
    </w:p>
    <w:p>
      <w:pPr>
        <w:spacing w:line="240" w:lineRule="auto" w:before="13"/>
        <w:rPr>
          <w:rFonts w:ascii="宋体" w:hAnsi="宋体" w:cs="宋体" w:eastAsia="宋体" w:hint="default"/>
          <w:sz w:val="25"/>
          <w:szCs w:val="25"/>
        </w:rPr>
      </w:pPr>
    </w:p>
    <w:p>
      <w:pPr>
        <w:pStyle w:val="BodyText"/>
        <w:spacing w:line="240" w:lineRule="auto"/>
        <w:ind w:left="154" w:right="0"/>
        <w:jc w:val="left"/>
      </w:pPr>
      <w:r>
        <w:rPr>
          <w:rFonts w:ascii="Times New Roman" w:hAnsi="Times New Roman" w:cs="Times New Roman" w:eastAsia="Times New Roman" w:hint="default"/>
        </w:rPr>
        <w:t>4</w:t>
      </w:r>
      <w:r>
        <w:rPr/>
        <w:t>、顺应</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趋势，布局移动互联</w:t>
      </w:r>
    </w:p>
    <w:p>
      <w:pPr>
        <w:pStyle w:val="BodyText"/>
        <w:spacing w:line="309" w:lineRule="auto" w:before="63"/>
        <w:ind w:right="1130"/>
        <w:jc w:val="both"/>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7</w:t>
      </w:r>
      <w:r>
        <w:rPr>
          <w:spacing w:val="-2"/>
        </w:rPr>
        <w:t>月，国务院颁布《关于积极推进</w:t>
      </w:r>
      <w:r>
        <w:rPr>
          <w:rFonts w:ascii="Times New Roman" w:hAnsi="Times New Roman" w:cs="Times New Roman" w:eastAsia="Times New Roman" w:hint="default"/>
          <w:spacing w:val="-2"/>
        </w:rPr>
        <w:t>“</w:t>
      </w:r>
      <w:r>
        <w:rPr>
          <w:spacing w:val="-2"/>
        </w:rPr>
        <w:t>互联网</w:t>
      </w:r>
      <w:r>
        <w:rPr>
          <w:rFonts w:ascii="Times New Roman" w:hAnsi="Times New Roman" w:cs="Times New Roman" w:eastAsia="Times New Roman" w:hint="default"/>
          <w:spacing w:val="-2"/>
        </w:rPr>
        <w:t>+”</w:t>
      </w:r>
      <w:r>
        <w:rPr>
          <w:spacing w:val="-2"/>
        </w:rPr>
        <w:t>行动的指导意见》，提出坚持融合创新的指导思想，鼓励传统产业树立互</w:t>
      </w:r>
      <w:r>
        <w:rPr>
          <w:spacing w:val="-51"/>
        </w:rPr>
        <w:t> </w:t>
      </w:r>
      <w:r>
        <w:rPr>
          <w:spacing w:val="-51"/>
        </w:rPr>
      </w:r>
      <w:r>
        <w:rPr>
          <w:spacing w:val="-2"/>
        </w:rPr>
        <w:t>联网思维，积极与互联网创新模式进行融合。报告期，围绕公司发展战略规划，遵循构建大数据应用服务体系的具体实现路</w:t>
      </w:r>
      <w:r>
        <w:rPr>
          <w:spacing w:val="-66"/>
        </w:rPr>
        <w:t> </w:t>
      </w:r>
      <w:r>
        <w:rPr>
          <w:spacing w:val="-66"/>
        </w:rPr>
      </w:r>
      <w:r>
        <w:rPr>
          <w:spacing w:val="-2"/>
        </w:rPr>
        <w:t>径，公司以</w:t>
      </w:r>
      <w:r>
        <w:rPr>
          <w:rFonts w:ascii="Times New Roman" w:hAnsi="Times New Roman" w:cs="Times New Roman" w:eastAsia="Times New Roman" w:hint="default"/>
          <w:spacing w:val="-2"/>
        </w:rPr>
        <w:t>“</w:t>
      </w:r>
      <w:r>
        <w:rPr>
          <w:spacing w:val="-2"/>
        </w:rPr>
        <w:t>互联网</w:t>
      </w:r>
      <w:r>
        <w:rPr>
          <w:rFonts w:ascii="Times New Roman" w:hAnsi="Times New Roman" w:cs="Times New Roman" w:eastAsia="Times New Roman" w:hint="default"/>
          <w:spacing w:val="-2"/>
        </w:rPr>
        <w:t>+”</w:t>
      </w:r>
      <w:r>
        <w:rPr>
          <w:spacing w:val="-2"/>
        </w:rPr>
        <w:t>行动计划为指引，结合自身业务特点与优势，战略布局数字营销、互联网金融、互联网</w:t>
      </w:r>
      <w:r>
        <w:rPr>
          <w:rFonts w:ascii="Times New Roman" w:hAnsi="Times New Roman" w:cs="Times New Roman" w:eastAsia="Times New Roman" w:hint="default"/>
          <w:spacing w:val="-2"/>
        </w:rPr>
        <w:t>+</w:t>
      </w:r>
      <w:r>
        <w:rPr>
          <w:spacing w:val="-2"/>
        </w:rPr>
        <w:t>物流、互联网</w:t>
      </w:r>
    </w:p>
    <w:p>
      <w:pPr>
        <w:pStyle w:val="BodyText"/>
        <w:spacing w:line="240" w:lineRule="auto" w:before="5"/>
        <w:ind w:left="154" w:right="0"/>
        <w:jc w:val="left"/>
      </w:pPr>
      <w:r>
        <w:rPr>
          <w:rFonts w:ascii="Times New Roman" w:hAnsi="Times New Roman" w:cs="Times New Roman" w:eastAsia="Times New Roman" w:hint="default"/>
        </w:rPr>
        <w:t>+</w:t>
      </w:r>
      <w:r>
        <w:rPr/>
        <w:t>养老领域。</w:t>
      </w:r>
    </w:p>
    <w:p>
      <w:pPr>
        <w:spacing w:line="240" w:lineRule="auto" w:before="0"/>
        <w:rPr>
          <w:rFonts w:ascii="宋体" w:hAnsi="宋体" w:cs="宋体" w:eastAsia="宋体" w:hint="default"/>
          <w:sz w:val="18"/>
          <w:szCs w:val="18"/>
        </w:rPr>
      </w:pPr>
    </w:p>
    <w:p>
      <w:pPr>
        <w:pStyle w:val="BodyText"/>
        <w:spacing w:line="316" w:lineRule="auto" w:before="139"/>
        <w:ind w:right="0"/>
        <w:jc w:val="left"/>
      </w:pPr>
      <w:r>
        <w:rPr/>
        <w:t>（</w:t>
      </w:r>
      <w:r>
        <w:rPr>
          <w:rFonts w:ascii="Times New Roman" w:hAnsi="Times New Roman" w:cs="Times New Roman" w:eastAsia="Times New Roman" w:hint="default"/>
        </w:rPr>
        <w:t>1</w:t>
      </w:r>
      <w:r>
        <w:rPr/>
        <w:t>）数字营销 </w:t>
      </w:r>
      <w:r>
        <w:rPr>
          <w:spacing w:val="8"/>
        </w:rPr>
        <w:t>致力于数字营销服务的亿起联科技于报告期</w:t>
      </w:r>
      <w:r>
        <w:rPr>
          <w:rFonts w:ascii="宋体" w:hAnsi="宋体" w:cs="宋体" w:eastAsia="宋体" w:hint="default"/>
          <w:spacing w:val="8"/>
        </w:rPr>
        <w:t>1</w:t>
      </w:r>
      <w:r>
        <w:rPr>
          <w:spacing w:val="8"/>
        </w:rPr>
        <w:t>月末正式纳入公司合并范围，全年实现营业收入</w:t>
      </w:r>
      <w:r>
        <w:rPr>
          <w:rFonts w:ascii="宋体" w:hAnsi="宋体" w:cs="宋体" w:eastAsia="宋体" w:hint="default"/>
          <w:spacing w:val="8"/>
        </w:rPr>
        <w:t>29,482.97</w:t>
      </w:r>
      <w:r>
        <w:rPr>
          <w:spacing w:val="8"/>
        </w:rPr>
        <w:t>万元，净利润</w:t>
      </w:r>
      <w:r>
        <w:rPr>
          <w:spacing w:val="9"/>
        </w:rPr>
        <w:t> </w:t>
      </w:r>
      <w:r>
        <w:rPr>
          <w:rFonts w:ascii="宋体" w:hAnsi="宋体" w:cs="宋体" w:eastAsia="宋体" w:hint="default"/>
          <w:spacing w:val="-2"/>
        </w:rPr>
        <w:t>5,043.53</w:t>
      </w:r>
      <w:r>
        <w:rPr>
          <w:spacing w:val="-2"/>
        </w:rPr>
        <w:t>万元，为公司在本报告期业绩的持续增长做出了重要贡献。亿起联科技目前主营业务体系主要由四部分构成，即国</w:t>
      </w:r>
      <w:r>
        <w:rPr>
          <w:spacing w:val="-58"/>
        </w:rPr>
        <w:t> </w:t>
      </w:r>
      <w:r>
        <w:rPr>
          <w:spacing w:val="-58"/>
        </w:rPr>
      </w:r>
      <w:r>
        <w:rPr/>
        <w:t>内移动广告营销平台（点入移动）、全球移动广告营销平台（</w:t>
      </w:r>
      <w:r>
        <w:rPr>
          <w:rFonts w:ascii="宋体" w:hAnsi="宋体" w:cs="宋体" w:eastAsia="宋体" w:hint="default"/>
        </w:rPr>
        <w:t>PandaMobo</w:t>
      </w:r>
      <w:r>
        <w:rPr/>
        <w:t>）、泛娱乐自媒体运营平台以及全球移动游戏发行</w:t>
      </w:r>
      <w:r>
        <w:rPr>
          <w:spacing w:val="-83"/>
        </w:rPr>
        <w:t> </w:t>
      </w:r>
      <w:r>
        <w:rPr>
          <w:spacing w:val="-83"/>
        </w:rPr>
      </w:r>
      <w:r>
        <w:rPr>
          <w:spacing w:val="-2"/>
        </w:rPr>
        <w:t>平台（点入游戏）。其业务已呈现“全球化、多元化”布局，累计服务全球范围内</w:t>
      </w:r>
      <w:r>
        <w:rPr>
          <w:rFonts w:ascii="宋体" w:hAnsi="宋体" w:cs="宋体" w:eastAsia="宋体" w:hint="default"/>
          <w:spacing w:val="-2"/>
        </w:rPr>
        <w:t>5000+</w:t>
      </w:r>
      <w:r>
        <w:rPr>
          <w:spacing w:val="-2"/>
        </w:rPr>
        <w:t>品牌和互联网企业主，包含全球</w:t>
      </w:r>
      <w:r>
        <w:rPr>
          <w:rFonts w:ascii="宋体" w:hAnsi="宋体" w:cs="宋体" w:eastAsia="宋体" w:hint="default"/>
          <w:spacing w:val="-2"/>
        </w:rPr>
        <w:t>500</w:t>
      </w:r>
      <w:r>
        <w:rPr>
          <w:rFonts w:ascii="宋体" w:hAnsi="宋体" w:cs="宋体" w:eastAsia="宋体" w:hint="default"/>
          <w:spacing w:val="-59"/>
        </w:rPr>
        <w:t> </w:t>
      </w:r>
      <w:r>
        <w:rPr>
          <w:rFonts w:ascii="宋体" w:hAnsi="宋体" w:cs="宋体" w:eastAsia="宋体" w:hint="default"/>
          <w:spacing w:val="-59"/>
        </w:rPr>
      </w:r>
      <w:r>
        <w:rPr/>
        <w:t>强企业、跨境电商巨头、国际旅游品牌、明星手游、互联网新锐企业等，业务渗透</w:t>
      </w:r>
      <w:r>
        <w:rPr>
          <w:rFonts w:ascii="宋体" w:hAnsi="宋体" w:cs="宋体" w:eastAsia="宋体" w:hint="default"/>
        </w:rPr>
        <w:t>200</w:t>
      </w:r>
      <w:r>
        <w:rPr/>
        <w:t>余个国家和地区，覆盖移动终端数量</w:t>
      </w:r>
      <w:r>
        <w:rPr>
          <w:spacing w:val="-82"/>
        </w:rPr>
        <w:t> </w:t>
      </w:r>
      <w:r>
        <w:rPr>
          <w:spacing w:val="-82"/>
        </w:rPr>
      </w:r>
      <w:r>
        <w:rPr>
          <w:spacing w:val="-2"/>
        </w:rPr>
        <w:t>超过</w:t>
      </w:r>
      <w:r>
        <w:rPr>
          <w:rFonts w:ascii="宋体" w:hAnsi="宋体" w:cs="宋体" w:eastAsia="宋体" w:hint="default"/>
          <w:spacing w:val="-2"/>
        </w:rPr>
        <w:t>15</w:t>
      </w:r>
      <w:r>
        <w:rPr>
          <w:spacing w:val="-2"/>
        </w:rPr>
        <w:t>亿部，月均覆盖</w:t>
      </w:r>
      <w:r>
        <w:rPr>
          <w:rFonts w:ascii="宋体" w:hAnsi="宋体" w:cs="宋体" w:eastAsia="宋体" w:hint="default"/>
          <w:spacing w:val="-2"/>
        </w:rPr>
        <w:t>22</w:t>
      </w:r>
      <w:r>
        <w:rPr>
          <w:spacing w:val="-2"/>
        </w:rPr>
        <w:t>亿人次，业务增速、数据吞吐量、收益稳定性、行业口碑皆处于行业领先地位。亿起联科技通过广</w:t>
      </w:r>
      <w:r>
        <w:rPr>
          <w:spacing w:val="-65"/>
        </w:rPr>
        <w:t> </w:t>
      </w:r>
      <w:r>
        <w:rPr>
          <w:spacing w:val="-65"/>
        </w:rPr>
      </w:r>
      <w:r>
        <w:rPr/>
        <w:t>告创意优化、大数据采集分析、</w:t>
      </w:r>
      <w:r>
        <w:rPr>
          <w:rFonts w:ascii="宋体" w:hAnsi="宋体" w:cs="宋体" w:eastAsia="宋体" w:hint="default"/>
        </w:rPr>
        <w:t>RTB</w:t>
      </w:r>
      <w:r>
        <w:rPr/>
        <w:t>海量数据竞价请求处理、多矩阵媒体渠道开拓、优化效果广告网络等方式，以立体整合</w:t>
      </w:r>
      <w:r>
        <w:rPr>
          <w:spacing w:val="-83"/>
        </w:rPr>
        <w:t> </w:t>
      </w:r>
      <w:r>
        <w:rPr>
          <w:spacing w:val="-83"/>
        </w:rPr>
      </w:r>
      <w:r>
        <w:rPr>
          <w:spacing w:val="-2"/>
        </w:rPr>
        <w:t>运营模式，充分挖掘流量价值，满足广告主业务需求，真正形成移动营销的完整闭环。各业务线与各平台纵横融合、相互协</w:t>
      </w:r>
      <w:r>
        <w:rPr>
          <w:spacing w:val="-66"/>
        </w:rPr>
        <w:t> </w:t>
      </w:r>
      <w:r>
        <w:rPr>
          <w:spacing w:val="-66"/>
        </w:rPr>
      </w:r>
      <w:r>
        <w:rPr/>
        <w:t>同，在全球移动营销与大数据商业化利用领域具备领先优势。报告期，在国内移动广告业务方面，通过</w:t>
      </w:r>
      <w:r>
        <w:rPr>
          <w:rFonts w:ascii="宋体" w:hAnsi="宋体" w:cs="宋体" w:eastAsia="宋体" w:hint="default"/>
        </w:rPr>
        <w:t>DSP</w:t>
      </w:r>
      <w:r>
        <w:rPr/>
        <w:t>系统建设，全面</w:t>
      </w:r>
      <w:r>
        <w:rPr>
          <w:spacing w:val="-81"/>
        </w:rPr>
        <w:t> </w:t>
      </w:r>
      <w:r>
        <w:rPr>
          <w:spacing w:val="-81"/>
        </w:rPr>
      </w:r>
      <w:r>
        <w:rPr>
          <w:spacing w:val="-2"/>
        </w:rPr>
        <w:t>推进程序化交易模式，优化广告投放效果，实现了对电商、金融、游戏、工具、娱乐等客户领域的全覆盖，千万级广告投放</w:t>
      </w:r>
      <w:r>
        <w:rPr>
          <w:spacing w:val="-72"/>
        </w:rPr>
        <w:t> </w:t>
      </w:r>
      <w:r>
        <w:rPr>
          <w:spacing w:val="-72"/>
        </w:rPr>
      </w:r>
      <w:r>
        <w:rPr/>
        <w:t>客户包括网易、京东、搜房、链家、百度、阿里巴巴、易到用车等，处于行业领先地位，于报告期初推出</w:t>
      </w:r>
      <w:r>
        <w:rPr>
          <w:rFonts w:ascii="宋体" w:hAnsi="宋体" w:cs="宋体" w:eastAsia="宋体" w:hint="default"/>
        </w:rPr>
        <w:t>Andriod</w:t>
      </w:r>
      <w:r>
        <w:rPr/>
        <w:t>平台广告</w:t>
      </w:r>
      <w:r>
        <w:rPr>
          <w:spacing w:val="-82"/>
        </w:rPr>
        <w:t> </w:t>
      </w:r>
      <w:r>
        <w:rPr>
          <w:spacing w:val="-2"/>
        </w:rPr>
        <w:t>业务亦崭露头角；并且通过打造</w:t>
      </w:r>
      <w:r>
        <w:rPr>
          <w:rFonts w:ascii="宋体" w:hAnsi="宋体" w:cs="宋体" w:eastAsia="宋体" w:hint="default"/>
          <w:spacing w:val="-2"/>
        </w:rPr>
        <w:t>PandaMobo</w:t>
      </w:r>
      <w:r>
        <w:rPr>
          <w:spacing w:val="-2"/>
        </w:rPr>
        <w:t>海外广告平台，亿起联科技成为</w:t>
      </w:r>
      <w:r>
        <w:rPr>
          <w:rFonts w:ascii="宋体" w:hAnsi="宋体" w:cs="宋体" w:eastAsia="宋体" w:hint="default"/>
          <w:spacing w:val="-2"/>
        </w:rPr>
        <w:t>Twitter</w:t>
      </w:r>
      <w:r>
        <w:rPr>
          <w:spacing w:val="-2"/>
        </w:rPr>
        <w:t>、</w:t>
      </w:r>
      <w:r>
        <w:rPr>
          <w:rFonts w:ascii="宋体" w:hAnsi="宋体" w:cs="宋体" w:eastAsia="宋体" w:hint="default"/>
          <w:spacing w:val="-2"/>
        </w:rPr>
        <w:t>Google</w:t>
      </w:r>
      <w:r>
        <w:rPr>
          <w:spacing w:val="-2"/>
        </w:rPr>
        <w:t>、</w:t>
      </w:r>
      <w:r>
        <w:rPr>
          <w:rFonts w:ascii="宋体" w:hAnsi="宋体" w:cs="宋体" w:eastAsia="宋体" w:hint="default"/>
          <w:spacing w:val="-2"/>
        </w:rPr>
        <w:t>Facebook</w:t>
      </w:r>
      <w:r>
        <w:rPr>
          <w:spacing w:val="-2"/>
        </w:rPr>
        <w:t>等海外顶级媒体的中</w:t>
      </w:r>
      <w:r>
        <w:rPr>
          <w:spacing w:val="-36"/>
        </w:rPr>
        <w:t> </w:t>
      </w:r>
      <w:r>
        <w:rPr>
          <w:spacing w:val="-2"/>
        </w:rPr>
        <w:t>国区核心合作伙伴，已为国内几十家优质的互联网厂商提供“出海”一站式解决方案及全球化服务；为进一步完善上下游生</w:t>
      </w:r>
      <w:r>
        <w:rPr>
          <w:spacing w:val="-66"/>
        </w:rPr>
        <w:t> </w:t>
      </w:r>
      <w:r>
        <w:rPr>
          <w:spacing w:val="-66"/>
        </w:rPr>
      </w:r>
      <w:r>
        <w:rPr>
          <w:spacing w:val="-2"/>
        </w:rPr>
        <w:t>态链并促进新业务发展，报告期投资设立了全资子公司上海轻点科技有限公司，从事游戏发行业务，点入游戏在报告期已联</w:t>
      </w:r>
      <w:r>
        <w:rPr>
          <w:spacing w:val="-66"/>
        </w:rPr>
        <w:t> </w:t>
      </w:r>
      <w:r>
        <w:rPr>
          <w:spacing w:val="-66"/>
        </w:rPr>
      </w:r>
      <w:r>
        <w:rPr>
          <w:spacing w:val="-2"/>
        </w:rPr>
        <w:t>运发行酷酷网络《全民进化》、凤凰游戏《大圣捉妖记》、顽石互动《灵魂契约》、第一波科技《莽荒纪》四款游戏；同时</w:t>
      </w:r>
      <w:r>
        <w:rPr>
          <w:spacing w:val="-70"/>
        </w:rPr>
        <w:t> </w:t>
      </w:r>
      <w:r>
        <w:rPr>
          <w:spacing w:val="-70"/>
        </w:rPr>
      </w:r>
      <w:r>
        <w:rPr>
          <w:spacing w:val="-2"/>
        </w:rPr>
        <w:t>随着自媒体对互联网流量吸引作用的显现，亿起联科技敏锐布局泛娱乐自媒体领域，截至报告期末，自媒体渠道已积累用户</w:t>
      </w:r>
      <w:r>
        <w:rPr>
          <w:spacing w:val="-66"/>
        </w:rPr>
        <w:t> </w:t>
      </w:r>
      <w:r>
        <w:rPr>
          <w:spacing w:val="-66"/>
        </w:rPr>
      </w:r>
      <w:r>
        <w:rPr/>
        <w:t>约</w:t>
      </w:r>
      <w:r>
        <w:rPr>
          <w:rFonts w:ascii="宋体" w:hAnsi="宋体" w:cs="宋体" w:eastAsia="宋体" w:hint="default"/>
        </w:rPr>
        <w:t>200</w:t>
      </w:r>
      <w:r>
        <w:rPr/>
        <w:t>万、月活跃用户达</w:t>
      </w:r>
      <w:r>
        <w:rPr>
          <w:rFonts w:ascii="宋体" w:hAnsi="宋体" w:cs="宋体" w:eastAsia="宋体" w:hint="default"/>
        </w:rPr>
        <w:t>100</w:t>
      </w:r>
      <w:r>
        <w:rPr/>
        <w:t>万。</w:t>
      </w:r>
    </w:p>
    <w:p>
      <w:pPr>
        <w:spacing w:line="240" w:lineRule="auto" w:before="4"/>
        <w:rPr>
          <w:rFonts w:ascii="宋体" w:hAnsi="宋体" w:cs="宋体" w:eastAsia="宋体" w:hint="default"/>
          <w:sz w:val="25"/>
          <w:szCs w:val="25"/>
        </w:rPr>
      </w:pPr>
    </w:p>
    <w:p>
      <w:pPr>
        <w:pStyle w:val="BodyText"/>
        <w:spacing w:line="309" w:lineRule="auto"/>
        <w:ind w:right="1033"/>
        <w:jc w:val="left"/>
      </w:pPr>
      <w:r>
        <w:rPr/>
        <w:t>（</w:t>
      </w:r>
      <w:r>
        <w:rPr>
          <w:rFonts w:ascii="Times New Roman" w:hAnsi="Times New Roman" w:cs="Times New Roman" w:eastAsia="Times New Roman" w:hint="default"/>
        </w:rPr>
        <w:t>2</w:t>
      </w:r>
      <w:r>
        <w:rPr/>
        <w:t>）互联网</w:t>
      </w:r>
      <w:r>
        <w:rPr>
          <w:rFonts w:ascii="Times New Roman" w:hAnsi="Times New Roman" w:cs="Times New Roman" w:eastAsia="Times New Roman" w:hint="default"/>
        </w:rPr>
        <w:t>+ </w:t>
      </w:r>
      <w:r>
        <w:rPr/>
        <w:t>在国务院发布的“互联网</w:t>
      </w:r>
      <w:r>
        <w:rPr>
          <w:rFonts w:ascii="宋体" w:hAnsi="宋体" w:cs="宋体" w:eastAsia="宋体" w:hint="default"/>
        </w:rPr>
        <w:t>+</w:t>
      </w:r>
      <w:r>
        <w:rPr/>
        <w:t>”行动的指导意见中，明确提出要探索互联网企业构建互联网金融云服务平台，在保证技术成熟</w:t>
      </w:r>
      <w:r>
        <w:rPr>
          <w:spacing w:val="-83"/>
        </w:rPr>
        <w:t> </w:t>
      </w:r>
      <w:r>
        <w:rPr>
          <w:spacing w:val="-83"/>
        </w:rPr>
      </w:r>
      <w:r>
        <w:rPr>
          <w:spacing w:val="-4"/>
        </w:rPr>
        <w:t>和业务安全的基础上，支持金融企业与云计算技术提供商合作开展金融公共云服务，以满足不同层次实体经济的投融资需求。</w:t>
      </w:r>
    </w:p>
    <w:p>
      <w:pPr>
        <w:spacing w:after="0" w:line="309"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9" w:lineRule="auto" w:before="44"/>
        <w:ind w:right="1033"/>
        <w:jc w:val="left"/>
      </w:pPr>
      <w:r>
        <w:rPr>
          <w:spacing w:val="-2"/>
        </w:rPr>
        <w:t>在面临互联网金融前所未有发展机遇的同时，公司深刻意识到了自身所拥有的企业集团客户在企业发展过程中对多样化、个</w:t>
      </w:r>
      <w:r>
        <w:rPr>
          <w:spacing w:val="-64"/>
        </w:rPr>
        <w:t> </w:t>
      </w:r>
      <w:r>
        <w:rPr>
          <w:spacing w:val="-64"/>
        </w:rPr>
      </w:r>
      <w:r>
        <w:rPr/>
        <w:t>性化金融服务的切实需求，为了深化客户服务，加速自身战略转型，报告期内，公司与久其科技共同投资</w:t>
      </w:r>
      <w:r>
        <w:rPr>
          <w:rFonts w:ascii="宋体" w:hAnsi="宋体" w:cs="宋体" w:eastAsia="宋体" w:hint="default"/>
        </w:rPr>
        <w:t>5,000</w:t>
      </w:r>
      <w:r>
        <w:rPr/>
        <w:t>万元设立了</w:t>
      </w:r>
      <w:r>
        <w:rPr>
          <w:spacing w:val="-81"/>
        </w:rPr>
        <w:t> </w:t>
      </w:r>
      <w:r>
        <w:rPr/>
        <w:t>控股子公司北京久其互联网金融信息服务有限公司，即久金所（</w:t>
      </w:r>
      <w:hyperlink r:id="rId16">
        <w:r>
          <w:rPr>
            <w:rFonts w:ascii="宋体" w:hAnsi="宋体" w:cs="宋体" w:eastAsia="宋体" w:hint="default"/>
          </w:rPr>
          <w:t>www.jqfax.com</w:t>
        </w:r>
      </w:hyperlink>
      <w:r>
        <w:rPr/>
        <w:t>）。久金所依托于公司十多年的市场积累和</w:t>
      </w:r>
      <w:r>
        <w:rPr>
          <w:spacing w:val="-83"/>
        </w:rPr>
        <w:t> </w:t>
      </w:r>
      <w:r>
        <w:rPr>
          <w:spacing w:val="-83"/>
        </w:rPr>
      </w:r>
      <w:r>
        <w:rPr>
          <w:spacing w:val="-4"/>
        </w:rPr>
        <w:t>技术储备，深度加强与中央和地方集团型企业的战略合作，着力打造为大型企业集团及其上下游企业服务的供应链金融产品，</w:t>
      </w:r>
      <w:r>
        <w:rPr>
          <w:spacing w:val="-44"/>
        </w:rPr>
        <w:t> </w:t>
      </w:r>
      <w:r>
        <w:rPr>
          <w:spacing w:val="-44"/>
        </w:rPr>
      </w:r>
      <w:r>
        <w:rPr/>
        <w:t>以及为其员工提供</w:t>
      </w:r>
      <w:r>
        <w:rPr>
          <w:rFonts w:ascii="宋体" w:hAnsi="宋体" w:cs="宋体" w:eastAsia="宋体" w:hint="default"/>
        </w:rPr>
        <w:t>P2P</w:t>
      </w:r>
      <w:r>
        <w:rPr/>
        <w:t>金融服务。报告期</w:t>
      </w:r>
      <w:r>
        <w:rPr>
          <w:rFonts w:ascii="宋体" w:hAnsi="宋体" w:cs="宋体" w:eastAsia="宋体" w:hint="default"/>
        </w:rPr>
        <w:t>8</w:t>
      </w:r>
      <w:r>
        <w:rPr/>
        <w:t>月底，久金所平台正式上线，已推出员工贷、企业贷、工资宝等互联网金融业务。</w:t>
      </w:r>
    </w:p>
    <w:p>
      <w:pPr>
        <w:spacing w:line="240" w:lineRule="auto" w:before="2"/>
        <w:rPr>
          <w:rFonts w:ascii="宋体" w:hAnsi="宋体" w:cs="宋体" w:eastAsia="宋体" w:hint="default"/>
          <w:sz w:val="25"/>
          <w:szCs w:val="25"/>
        </w:rPr>
      </w:pPr>
    </w:p>
    <w:p>
      <w:pPr>
        <w:pStyle w:val="BodyText"/>
        <w:spacing w:line="316" w:lineRule="auto"/>
        <w:ind w:right="1033"/>
        <w:jc w:val="left"/>
      </w:pPr>
      <w:r>
        <w:rPr>
          <w:spacing w:val="-2"/>
        </w:rPr>
        <w:t>报告期内，海南久其旗下小驿科技推出的司机驿站（</w:t>
      </w:r>
      <w:hyperlink r:id="rId17">
        <w:r>
          <w:rPr>
            <w:rFonts w:ascii="宋体" w:hAnsi="宋体" w:cs="宋体" w:eastAsia="宋体" w:hint="default"/>
            <w:spacing w:val="-2"/>
          </w:rPr>
          <w:t>www.sijiyizhan.com</w:t>
        </w:r>
      </w:hyperlink>
      <w:r>
        <w:rPr>
          <w:spacing w:val="-2"/>
        </w:rPr>
        <w:t>）与快付通、众安保险建立合作，打通平台交易支</w:t>
      </w:r>
      <w:r>
        <w:rPr>
          <w:spacing w:val="-48"/>
        </w:rPr>
        <w:t> </w:t>
      </w:r>
      <w:r>
        <w:rPr>
          <w:spacing w:val="-48"/>
        </w:rPr>
      </w:r>
      <w:r>
        <w:rPr>
          <w:spacing w:val="-2"/>
        </w:rPr>
        <w:t>付环节，形成支付闭环，同时陆续推出了放空赔付、货损保险等服务项目，进一步完善产品功能、增强用户粘性，同时借助</w:t>
      </w:r>
      <w:r>
        <w:rPr>
          <w:spacing w:val="-70"/>
        </w:rPr>
        <w:t> </w:t>
      </w:r>
      <w:r>
        <w:rPr>
          <w:spacing w:val="-70"/>
        </w:rPr>
      </w:r>
      <w:r>
        <w:rPr>
          <w:spacing w:val="-2"/>
        </w:rPr>
        <w:t>上市公司平台与资源，加强与货源企业及第三方大型物流运输公司的战略合作，在新疆设立全资子公司新疆小驿物流有限公</w:t>
      </w:r>
      <w:r>
        <w:rPr>
          <w:spacing w:val="-64"/>
        </w:rPr>
        <w:t> </w:t>
      </w:r>
      <w:r>
        <w:rPr>
          <w:spacing w:val="-64"/>
        </w:rPr>
      </w:r>
      <w:r>
        <w:rPr>
          <w:spacing w:val="-4"/>
        </w:rPr>
        <w:t>司，并与德邦物流、安能物流、新疆丝绸之路国际物流等平台级物流企业签署战略合作协议，与中粮、新疆兵团、伊宁钢铁、</w:t>
      </w:r>
      <w:r>
        <w:rPr>
          <w:spacing w:val="-44"/>
        </w:rPr>
        <w:t> </w:t>
      </w:r>
      <w:r>
        <w:rPr>
          <w:spacing w:val="-44"/>
        </w:rPr>
      </w:r>
      <w:r>
        <w:rPr/>
        <w:t>八一钢铁等大型企业签署战略合作协议。未来司机驿站平台将为更多有规模、有实力的货源企业和物流运输企业提供服务， 打造创新型“物流信息服务</w:t>
      </w:r>
      <w:r>
        <w:rPr>
          <w:rFonts w:ascii="宋体" w:hAnsi="宋体" w:cs="宋体" w:eastAsia="宋体" w:hint="default"/>
        </w:rPr>
        <w:t>+</w:t>
      </w:r>
      <w:r>
        <w:rPr/>
        <w:t>物流产业链金融服务”一揽子综合服务模式，并逐步构建真正意义上的无车承运人平台。</w:t>
      </w:r>
    </w:p>
    <w:p>
      <w:pPr>
        <w:spacing w:line="240" w:lineRule="auto" w:before="4"/>
        <w:rPr>
          <w:rFonts w:ascii="宋体" w:hAnsi="宋体" w:cs="宋体" w:eastAsia="宋体" w:hint="default"/>
          <w:sz w:val="25"/>
          <w:szCs w:val="25"/>
        </w:rPr>
      </w:pPr>
    </w:p>
    <w:p>
      <w:pPr>
        <w:pStyle w:val="BodyText"/>
        <w:spacing w:line="316" w:lineRule="auto"/>
        <w:ind w:right="0"/>
        <w:jc w:val="left"/>
      </w:pPr>
      <w:r>
        <w:rPr>
          <w:spacing w:val="-2"/>
        </w:rPr>
        <w:t>中民颐养和蜂语网络都是由公司与内部核心骨干团队共同投资的创业公司，是公司激励核心骨干，孵化创新，发掘自身内在</w:t>
      </w:r>
      <w:r>
        <w:rPr>
          <w:spacing w:val="-66"/>
        </w:rPr>
        <w:t> </w:t>
      </w:r>
      <w:r>
        <w:rPr>
          <w:spacing w:val="-66"/>
        </w:rPr>
      </w:r>
      <w:r>
        <w:rPr>
          <w:spacing w:val="-2"/>
        </w:rPr>
        <w:t>价值的新尝试。中民颐养关注我国人口老年化日趋严重的势态，把握养老服务行业的巨大市场，依托公司在民政领域的多年</w:t>
      </w:r>
      <w:r>
        <w:rPr>
          <w:spacing w:val="-66"/>
        </w:rPr>
        <w:t> </w:t>
      </w:r>
      <w:r>
        <w:rPr>
          <w:spacing w:val="-66"/>
        </w:rPr>
      </w:r>
      <w:r>
        <w:rPr>
          <w:spacing w:val="-4"/>
        </w:rPr>
        <w:t>积累，打造在线化、智能化、</w:t>
      </w:r>
      <w:r>
        <w:rPr>
          <w:rFonts w:ascii="宋体" w:hAnsi="宋体" w:cs="宋体" w:eastAsia="宋体" w:hint="default"/>
          <w:spacing w:val="-4"/>
        </w:rPr>
        <w:t>O2O</w:t>
      </w:r>
      <w:r>
        <w:rPr>
          <w:spacing w:val="-4"/>
        </w:rPr>
        <w:t>的“互联网</w:t>
      </w:r>
      <w:r>
        <w:rPr>
          <w:rFonts w:ascii="宋体" w:hAnsi="宋体" w:cs="宋体" w:eastAsia="宋体" w:hint="default"/>
          <w:spacing w:val="-4"/>
        </w:rPr>
        <w:t>+</w:t>
      </w:r>
      <w:r>
        <w:rPr>
          <w:spacing w:val="-4"/>
        </w:rPr>
        <w:t>养老”服务云平台，挖掘和扩大养老产业深层需求，建立以养老服务为核心的、</w:t>
      </w:r>
      <w:r>
        <w:rPr>
          <w:spacing w:val="-39"/>
        </w:rPr>
        <w:t> </w:t>
      </w:r>
      <w:r>
        <w:rPr>
          <w:spacing w:val="-39"/>
        </w:rPr>
      </w:r>
      <w:r>
        <w:rPr/>
        <w:t>养老行业多方参与和供应的养老服务生态圈。</w:t>
      </w:r>
    </w:p>
    <w:p>
      <w:pPr>
        <w:spacing w:line="240" w:lineRule="auto" w:before="4"/>
        <w:rPr>
          <w:rFonts w:ascii="宋体" w:hAnsi="宋体" w:cs="宋体" w:eastAsia="宋体" w:hint="default"/>
          <w:sz w:val="25"/>
          <w:szCs w:val="25"/>
        </w:rPr>
      </w:pPr>
    </w:p>
    <w:p>
      <w:pPr>
        <w:pStyle w:val="BodyText"/>
        <w:spacing w:line="314" w:lineRule="auto"/>
        <w:ind w:right="1123"/>
        <w:jc w:val="left"/>
      </w:pPr>
      <w:r>
        <w:rPr>
          <w:rFonts w:ascii="Times New Roman" w:hAnsi="Times New Roman" w:cs="Times New Roman" w:eastAsia="Times New Roman" w:hint="default"/>
        </w:rPr>
        <w:t>5</w:t>
      </w:r>
      <w:r>
        <w:rPr/>
        <w:t>、拓展管理咨询领域，发挥行业引领作用 </w:t>
      </w:r>
      <w:r>
        <w:rPr>
          <w:spacing w:val="-2"/>
        </w:rPr>
        <w:t>为了彰显公司业务价值，本着深挖市场需求、树立公司品牌形象和行业地位的目标，报告期初，公司整合资源设立咨询事业</w:t>
      </w:r>
      <w:r>
        <w:rPr>
          <w:spacing w:val="-66"/>
        </w:rPr>
        <w:t> </w:t>
      </w:r>
      <w:r>
        <w:rPr>
          <w:spacing w:val="-66"/>
        </w:rPr>
      </w:r>
      <w:r>
        <w:rPr>
          <w:spacing w:val="-2"/>
        </w:rPr>
        <w:t>部。以强化政府资源共享与管理服务，提升企业</w:t>
      </w:r>
      <w:r>
        <w:rPr>
          <w:rFonts w:ascii="宋体" w:hAnsi="宋体" w:cs="宋体" w:eastAsia="宋体" w:hint="default"/>
          <w:spacing w:val="-2"/>
        </w:rPr>
        <w:t>IT</w:t>
      </w:r>
      <w:r>
        <w:rPr>
          <w:spacing w:val="-2"/>
        </w:rPr>
        <w:t>治理水平为己任，经过一年探索，咨询事业部在行业研究方面取得了较好</w:t>
      </w:r>
      <w:r>
        <w:rPr>
          <w:spacing w:val="-64"/>
        </w:rPr>
        <w:t> </w:t>
      </w:r>
      <w:r>
        <w:rPr>
          <w:spacing w:val="-64"/>
        </w:rPr>
      </w:r>
      <w:r>
        <w:rPr/>
        <w:t>成果，研究了以“两化融合”、“财政专项资金绩效评估”、“</w:t>
      </w:r>
      <w:r>
        <w:rPr>
          <w:rFonts w:ascii="宋体" w:hAnsi="宋体" w:cs="宋体" w:eastAsia="宋体" w:hint="default"/>
        </w:rPr>
        <w:t>PPP</w:t>
      </w:r>
      <w:r>
        <w:rPr/>
        <w:t>项目全生命周期管理”和“管理会计”为重点的专题咨</w:t>
      </w:r>
      <w:r>
        <w:rPr>
          <w:spacing w:val="-83"/>
        </w:rPr>
        <w:t> </w:t>
      </w:r>
      <w:r>
        <w:rPr>
          <w:spacing w:val="-83"/>
        </w:rPr>
      </w:r>
      <w:r>
        <w:rPr>
          <w:spacing w:val="-2"/>
        </w:rPr>
        <w:t>询体系，并通过与各业务部门相互配合，重点突破了一批业务新、需求复杂、集成度高的售前咨询项目，独立承揽了涉及集</w:t>
      </w:r>
      <w:r>
        <w:rPr>
          <w:spacing w:val="-67"/>
        </w:rPr>
        <w:t> </w:t>
      </w:r>
      <w:r>
        <w:rPr>
          <w:spacing w:val="-67"/>
        </w:rPr>
      </w:r>
      <w:r>
        <w:rPr>
          <w:spacing w:val="-2"/>
        </w:rPr>
        <w:t>团资产管理、园区信息平台规划、项目绩效管理与评估以及企业共享服务中心设计规划等领域的信息化咨询项目。基本构建</w:t>
      </w:r>
      <w:r>
        <w:rPr>
          <w:spacing w:val="-65"/>
        </w:rPr>
        <w:t> </w:t>
      </w:r>
      <w:r>
        <w:rPr>
          <w:spacing w:val="-65"/>
        </w:rPr>
      </w:r>
      <w:r>
        <w:rPr>
          <w:spacing w:val="-2"/>
        </w:rPr>
        <w:t>了以预算、核算、共享服务及大数据应用等为重点的政府监管、企业管控信息化规划与咨询体系，加深了业务研究，强化了</w:t>
      </w:r>
      <w:r>
        <w:rPr>
          <w:spacing w:val="-66"/>
        </w:rPr>
        <w:t> </w:t>
      </w:r>
      <w:r>
        <w:rPr>
          <w:spacing w:val="-66"/>
        </w:rPr>
      </w:r>
      <w:r>
        <w:rPr/>
        <w:t>市场引领作用。</w:t>
      </w:r>
    </w:p>
    <w:p>
      <w:pPr>
        <w:spacing w:line="240" w:lineRule="auto" w:before="6"/>
        <w:rPr>
          <w:rFonts w:ascii="宋体" w:hAnsi="宋体" w:cs="宋体" w:eastAsia="宋体" w:hint="default"/>
          <w:sz w:val="25"/>
          <w:szCs w:val="25"/>
        </w:rPr>
      </w:pPr>
    </w:p>
    <w:p>
      <w:pPr>
        <w:pStyle w:val="BodyText"/>
        <w:spacing w:line="309" w:lineRule="auto"/>
        <w:ind w:right="0"/>
        <w:jc w:val="left"/>
      </w:pPr>
      <w:r>
        <w:rPr>
          <w:rFonts w:ascii="Times New Roman" w:hAnsi="Times New Roman" w:cs="Times New Roman" w:eastAsia="Times New Roman" w:hint="default"/>
        </w:rPr>
        <w:t>6</w:t>
      </w:r>
      <w:r>
        <w:rPr/>
        <w:t>、优化内部管控，提升项目交付能力 报告期初，为了立足全局并促进重大项目交付、提升项目效益，公司设立了重大项目工程部，以</w:t>
      </w:r>
      <w:r>
        <w:rPr>
          <w:rFonts w:ascii="Times New Roman" w:hAnsi="Times New Roman" w:cs="Times New Roman" w:eastAsia="Times New Roman" w:hint="default"/>
        </w:rPr>
        <w:t>“</w:t>
      </w:r>
      <w:r>
        <w:rPr/>
        <w:t>树立标杆项目、培养大项</w:t>
      </w:r>
      <w:r>
        <w:rPr>
          <w:spacing w:val="-75"/>
        </w:rPr>
        <w:t> </w:t>
      </w:r>
      <w:r>
        <w:rPr>
          <w:spacing w:val="-75"/>
        </w:rPr>
      </w:r>
      <w:r>
        <w:rPr/>
        <w:t>目经理</w:t>
      </w:r>
      <w:r>
        <w:rPr>
          <w:rFonts w:ascii="Times New Roman" w:hAnsi="Times New Roman" w:cs="Times New Roman" w:eastAsia="Times New Roman" w:hint="default"/>
        </w:rPr>
        <w:t>”</w:t>
      </w:r>
      <w:r>
        <w:rPr/>
        <w:t>作为重大项目工程部的核心职责，着手制定了《重大项目管理规范》，加强对重大项目的立项、计划、需求、方案</w:t>
      </w:r>
      <w:r>
        <w:rPr>
          <w:spacing w:val="-77"/>
        </w:rPr>
        <w:t> </w:t>
      </w:r>
      <w:r>
        <w:rPr>
          <w:spacing w:val="-77"/>
        </w:rPr>
      </w:r>
      <w:r>
        <w:rPr>
          <w:spacing w:val="-2"/>
        </w:rPr>
        <w:t>等方面的审查和指导，专项推进重大项目的交付工作，并对项目中的各个环节严格把关以确保项目进度与质量，提高客户满</w:t>
      </w:r>
      <w:r>
        <w:rPr>
          <w:spacing w:val="-66"/>
        </w:rPr>
        <w:t> </w:t>
      </w:r>
      <w:r>
        <w:rPr>
          <w:spacing w:val="-66"/>
        </w:rPr>
      </w:r>
      <w:r>
        <w:rPr>
          <w:spacing w:val="-2"/>
        </w:rPr>
        <w:t>意度。报告期内，重大项目工程部联合各前后台事业部、咨询事业部、运营监管部充分发挥跨职能、跨业务线协调能力，加</w:t>
      </w:r>
      <w:r>
        <w:rPr>
          <w:spacing w:val="-67"/>
        </w:rPr>
        <w:t> </w:t>
      </w:r>
      <w:r>
        <w:rPr>
          <w:spacing w:val="-67"/>
        </w:rPr>
      </w:r>
      <w:r>
        <w:rPr>
          <w:spacing w:val="-2"/>
        </w:rPr>
        <w:t>大了协同力度，聚合公司优质的技术力量，深入到项目实施第一线，在需求分析、总体架构设计、实施方案指导、项目的重</w:t>
      </w:r>
      <w:r>
        <w:rPr>
          <w:spacing w:val="-68"/>
        </w:rPr>
        <w:t> </w:t>
      </w:r>
      <w:r>
        <w:rPr>
          <w:spacing w:val="-68"/>
        </w:rPr>
      </w:r>
      <w:r>
        <w:rPr/>
        <w:t>点难点攻关等方面重点管控，有效控制了项目风险，降低了项目成本，提高久其整体大项目交付能力。</w:t>
      </w:r>
    </w:p>
    <w:p>
      <w:pPr>
        <w:spacing w:line="240" w:lineRule="auto" w:before="9"/>
        <w:rPr>
          <w:rFonts w:ascii="宋体" w:hAnsi="宋体" w:cs="宋体" w:eastAsia="宋体" w:hint="default"/>
          <w:sz w:val="25"/>
          <w:szCs w:val="25"/>
        </w:rPr>
      </w:pPr>
    </w:p>
    <w:p>
      <w:pPr>
        <w:pStyle w:val="BodyText"/>
        <w:spacing w:line="314" w:lineRule="auto"/>
        <w:ind w:right="0"/>
        <w:jc w:val="left"/>
      </w:pPr>
      <w:r>
        <w:rPr>
          <w:rFonts w:ascii="Times New Roman" w:hAnsi="Times New Roman" w:cs="Times New Roman" w:eastAsia="Times New Roman" w:hint="default"/>
        </w:rPr>
        <w:t>7</w:t>
      </w:r>
      <w:r>
        <w:rPr/>
        <w:t>、打造资源共享平台，强化管理服务成效 </w:t>
      </w:r>
      <w:r>
        <w:rPr>
          <w:spacing w:val="-2"/>
        </w:rPr>
        <w:t>随着公司外延式发展的不断拓展，组织机构逐渐增多，集团化体系架构日益显现，财务共享服务与集团化发展共荣共生。报</w:t>
      </w:r>
      <w:r>
        <w:rPr>
          <w:spacing w:val="-66"/>
        </w:rPr>
        <w:t> </w:t>
      </w:r>
      <w:r>
        <w:rPr>
          <w:spacing w:val="-66"/>
        </w:rPr>
      </w:r>
      <w:r>
        <w:rPr>
          <w:spacing w:val="-2"/>
        </w:rPr>
        <w:t>告期内，为了适应外延式发展的需要，凭借自身在集团管控领域的经验和积累，在原有业务、财务一体化的基础上，又架构</w:t>
      </w:r>
      <w:r>
        <w:rPr>
          <w:spacing w:val="-66"/>
        </w:rPr>
        <w:t> </w:t>
      </w:r>
      <w:r>
        <w:rPr>
          <w:spacing w:val="-66"/>
        </w:rPr>
      </w:r>
      <w:r>
        <w:rPr>
          <w:spacing w:val="-2"/>
        </w:rPr>
        <w:t>了财务共享服务，将亿起联科技、华夏电通纳入财务共享范畴，实现财务资源的共享与协作，从而进一步提升上市公司的规</w:t>
      </w:r>
      <w:r>
        <w:rPr>
          <w:spacing w:val="-66"/>
        </w:rPr>
        <w:t> </w:t>
      </w:r>
      <w:r>
        <w:rPr>
          <w:spacing w:val="-66"/>
        </w:rPr>
      </w:r>
      <w:r>
        <w:rPr/>
        <w:t>范管理，加速推进集团化内部控制与风险防御的进程。 人才是企业前进的基石和实现价值的动力，以</w:t>
      </w:r>
      <w:r>
        <w:rPr>
          <w:rFonts w:ascii="Times New Roman" w:hAnsi="Times New Roman" w:cs="Times New Roman" w:eastAsia="Times New Roman" w:hint="default"/>
        </w:rPr>
        <w:t>“</w:t>
      </w:r>
      <w:r>
        <w:rPr/>
        <w:t>行动支持业务，服务创造价值</w:t>
      </w:r>
      <w:r>
        <w:rPr>
          <w:rFonts w:ascii="Times New Roman" w:hAnsi="Times New Roman" w:cs="Times New Roman" w:eastAsia="Times New Roman" w:hint="default"/>
        </w:rPr>
        <w:t>”</w:t>
      </w:r>
      <w:r>
        <w:rPr/>
        <w:t>为宗旨，报告期，人力资源部继续完善人力资 </w:t>
      </w:r>
      <w:r>
        <w:rPr>
          <w:spacing w:val="-4"/>
        </w:rPr>
        <w:t>源整体规划、梳理内部人力资源管理流程，全面推进绩效评价、招聘与配置、培训与开发体系、员工关系、人才开发及储备、</w:t>
      </w:r>
      <w:r>
        <w:rPr>
          <w:spacing w:val="-44"/>
        </w:rPr>
        <w:t> </w:t>
      </w:r>
      <w:r>
        <w:rPr>
          <w:spacing w:val="-44"/>
        </w:rPr>
      </w:r>
      <w:r>
        <w:rPr>
          <w:spacing w:val="-2"/>
        </w:rPr>
        <w:t>员工薪酬福利等各项工作，并积极构建以满足业务需求为导向的后备人才培养体系和以提高业务能力为导向的岗前及初级技</w:t>
      </w:r>
      <w:r>
        <w:rPr>
          <w:spacing w:val="-64"/>
        </w:rPr>
        <w:t> </w:t>
      </w:r>
      <w:r>
        <w:rPr>
          <w:spacing w:val="-64"/>
        </w:rPr>
      </w:r>
      <w:r>
        <w:rPr>
          <w:spacing w:val="-2"/>
        </w:rPr>
        <w:t>能人员培训体系。除此之外，人力资源部立足集团化视野，为新加入公司成员企业打造共享服务、创造价值、共同提升的平</w:t>
      </w:r>
    </w:p>
    <w:p>
      <w:pPr>
        <w:spacing w:after="0" w:line="314"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1"/>
        <w:jc w:val="both"/>
      </w:pPr>
      <w:r>
        <w:rPr>
          <w:spacing w:val="-2"/>
        </w:rPr>
        <w:t>台，与各子公司人力资源部门定期业务交流，统一部署人力资源信息化系统，在人力资源劳动风险管控、招聘管理、培训管</w:t>
      </w:r>
      <w:r>
        <w:rPr>
          <w:spacing w:val="-66"/>
        </w:rPr>
        <w:t> </w:t>
      </w:r>
      <w:r>
        <w:rPr>
          <w:spacing w:val="-66"/>
        </w:rPr>
      </w:r>
      <w:r>
        <w:rPr>
          <w:spacing w:val="-2"/>
        </w:rPr>
        <w:t>理等方面进行经验及实操分享。通过联合招聘，集团采购，资源共享等措施降低人力资源运营成本，促进了集团内部管理的</w:t>
      </w:r>
      <w:r>
        <w:rPr>
          <w:spacing w:val="-66"/>
        </w:rPr>
        <w:t> </w:t>
      </w:r>
      <w:r>
        <w:rPr>
          <w:spacing w:val="-66"/>
        </w:rPr>
      </w:r>
      <w:r>
        <w:rPr/>
        <w:t>协同与效能的提升，支持了集团业务的发展，也最大限度地防范了人力资源风险。</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二、主营业务分析" w:id="26"/>
      <w:bookmarkEnd w:id="26"/>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spacing w:line="544" w:lineRule="auto" w:before="0"/>
        <w:ind w:left="153" w:right="6653" w:firstLine="0"/>
        <w:jc w:val="left"/>
        <w:rPr>
          <w:rFonts w:ascii="宋体" w:hAnsi="宋体" w:cs="宋体" w:eastAsia="宋体" w:hint="default"/>
          <w:sz w:val="21"/>
          <w:szCs w:val="21"/>
        </w:rPr>
      </w:pPr>
      <w:bookmarkStart w:name="1、概述" w:id="27"/>
      <w:bookmarkEnd w:id="2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管理层讨论与分析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8"/>
      <w:bookmarkEnd w:id="28"/>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8"/>
        <w:ind w:left="153" w:right="0"/>
        <w:jc w:val="left"/>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8"/>
        <w:gridCol w:w="1591"/>
        <w:gridCol w:w="1598"/>
        <w:gridCol w:w="1586"/>
        <w:gridCol w:w="1599"/>
      </w:tblGrid>
      <w:tr>
        <w:trPr>
          <w:trHeight w:val="205"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4" w:type="dxa"/>
            <w:gridSpan w:val="2"/>
            <w:vMerge/>
            <w:tcBorders>
              <w:left w:val="single" w:sz="4" w:space="0" w:color="000000"/>
              <w:bottom w:val="single" w:sz="4" w:space="0" w:color="000000"/>
              <w:right w:val="single" w:sz="4" w:space="0" w:color="000000"/>
            </w:tcBorders>
            <w:shd w:val="clear" w:color="auto" w:fill="D2D2D2"/>
          </w:tcPr>
          <w:p>
            <w:pPr/>
          </w:p>
        </w:tc>
        <w:tc>
          <w:tcPr>
            <w:tcW w:w="15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0"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8"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9"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8" w:type="dxa"/>
            <w:vMerge/>
            <w:tcBorders>
              <w:left w:val="single" w:sz="4" w:space="0" w:color="000000"/>
              <w:bottom w:val="single" w:sz="4" w:space="0" w:color="000000"/>
              <w:right w:val="single" w:sz="4" w:space="0" w:color="000000"/>
            </w:tcBorders>
            <w:shd w:val="clear" w:color="auto" w:fill="D2D2D2"/>
          </w:tcPr>
          <w:p>
            <w:pPr/>
          </w:p>
        </w:tc>
        <w:tc>
          <w:tcPr>
            <w:tcW w:w="1591" w:type="dxa"/>
            <w:vMerge/>
            <w:tcBorders>
              <w:left w:val="single" w:sz="4" w:space="0" w:color="000000"/>
              <w:bottom w:val="single" w:sz="4" w:space="0" w:color="000000"/>
              <w:right w:val="single" w:sz="4" w:space="0" w:color="000000"/>
            </w:tcBorders>
            <w:shd w:val="clear" w:color="auto" w:fill="D2D2D2"/>
          </w:tcPr>
          <w:p>
            <w:pPr/>
          </w:p>
        </w:tc>
        <w:tc>
          <w:tcPr>
            <w:tcW w:w="1598" w:type="dxa"/>
            <w:vMerge/>
            <w:tcBorders>
              <w:left w:val="single" w:sz="4" w:space="0" w:color="000000"/>
              <w:bottom w:val="single" w:sz="4" w:space="0" w:color="000000"/>
              <w:right w:val="single" w:sz="4" w:space="0" w:color="000000"/>
            </w:tcBorders>
            <w:shd w:val="clear" w:color="auto" w:fill="D2D2D2"/>
          </w:tcPr>
          <w:p>
            <w:pPr/>
          </w:p>
        </w:tc>
        <w:tc>
          <w:tcPr>
            <w:tcW w:w="1586" w:type="dxa"/>
            <w:vMerge/>
            <w:tcBorders>
              <w:left w:val="single" w:sz="4" w:space="0" w:color="000000"/>
              <w:bottom w:val="single" w:sz="4" w:space="0" w:color="000000"/>
              <w:right w:val="single" w:sz="4" w:space="0" w:color="000000"/>
            </w:tcBorders>
            <w:shd w:val="clear" w:color="auto" w:fill="D2D2D2"/>
          </w:tcPr>
          <w:p>
            <w:pPr/>
          </w:p>
        </w:tc>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716,679,345.55</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326,678,547.40</w:t>
            </w:r>
          </w:p>
        </w:tc>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119.38%</w:t>
            </w:r>
          </w:p>
        </w:tc>
      </w:tr>
      <w:tr>
        <w:trPr>
          <w:trHeight w:val="397"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电子政务</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268,396,102.02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37.45%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184,433,037.54</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56.46%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45.52%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集团管控</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136,986,171.75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19.11%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129,374,219.37</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39.60%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移动互联网</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292,919,937.58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40.87%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8" w:right="0"/>
              <w:jc w:val="left"/>
              <w:rPr>
                <w:rFonts w:ascii="Times New Roman" w:hAnsi="Times New Roman" w:cs="Times New Roman" w:eastAsia="Times New Roman" w:hint="default"/>
                <w:sz w:val="18"/>
                <w:szCs w:val="18"/>
              </w:rPr>
            </w:pPr>
            <w:r>
              <w:rPr>
                <w:rFonts w:ascii="Times New Roman"/>
                <w:sz w:val="18"/>
              </w:rPr>
              <w:t>--</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中小企业</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16,952,038.24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12,112,065.49</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3.71%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39.96%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1,425,095.96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759,225.00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0.23%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87.70%</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软件销售</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181,538,620.12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25.33%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141,776,601.65</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43.40%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硬件销售</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23,075,166.94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2,656,082.92</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0.81%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768.77%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218,191,540.94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30.44%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181,486,637.83</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55.56%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20.22%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广告服务</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290,662,528.98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40.56%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8" w:right="0"/>
              <w:jc w:val="left"/>
              <w:rPr>
                <w:rFonts w:ascii="Times New Roman" w:hAnsi="Times New Roman" w:cs="Times New Roman" w:eastAsia="Times New Roman" w:hint="default"/>
                <w:sz w:val="18"/>
                <w:szCs w:val="18"/>
              </w:rPr>
            </w:pPr>
            <w:r>
              <w:rPr>
                <w:rFonts w:ascii="Times New Roman"/>
                <w:sz w:val="18"/>
              </w:rPr>
              <w:t>--</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游戏发行</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1,786,392.61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8" w:right="0"/>
              <w:jc w:val="left"/>
              <w:rPr>
                <w:rFonts w:ascii="Times New Roman" w:hAnsi="Times New Roman" w:cs="Times New Roman" w:eastAsia="Times New Roman" w:hint="default"/>
                <w:sz w:val="18"/>
                <w:szCs w:val="18"/>
              </w:rPr>
            </w:pPr>
            <w:r>
              <w:rPr>
                <w:rFonts w:ascii="Times New Roman"/>
                <w:sz w:val="18"/>
              </w:rPr>
              <w:t>--</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1,425,095.96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759,225.00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0.23%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87.70%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电子政务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268,396,102.02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23,920,613.47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151.21%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集团管控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136,986,171.75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18,026,988.23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169.88%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移动互联网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292,919,937.58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196,618,989.37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7" w:right="0"/>
              <w:jc w:val="left"/>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8" w:right="0"/>
              <w:jc w:val="left"/>
              <w:rPr>
                <w:rFonts w:ascii="Times New Roman" w:hAnsi="Times New Roman" w:cs="Times New Roman" w:eastAsia="Times New Roman" w:hint="default"/>
                <w:sz w:val="18"/>
                <w:szCs w:val="18"/>
              </w:rPr>
            </w:pPr>
            <w:r>
              <w:rPr>
                <w:rFonts w:ascii="Times New Roman"/>
                <w:sz w:val="18"/>
              </w:rPr>
              <w:t>--</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1"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181,538,620.12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5,701,769.86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127.36%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218,191,540.94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22,564,254.64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94.56%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290,662,528.98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195,468,899.10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7" w:right="0"/>
              <w:jc w:val="left"/>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8" w:right="0"/>
              <w:jc w:val="left"/>
              <w:rPr>
                <w:rFonts w:ascii="Times New Roman" w:hAnsi="Times New Roman" w:cs="Times New Roman" w:eastAsia="Times New Roman" w:hint="default"/>
                <w:sz w:val="18"/>
                <w:szCs w:val="18"/>
              </w:rPr>
            </w:pPr>
            <w:r>
              <w:rPr>
                <w:rFonts w:ascii="Times New Roman"/>
                <w:sz w:val="18"/>
              </w:rPr>
              <w:t>--</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1"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54" w:right="0"/>
        <w:jc w:val="left"/>
      </w:pPr>
      <w:r>
        <w:rPr/>
        <w:t>行业和产品分类</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电子政务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23,920,613.47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9,522,205.79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151.21%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集团管控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18,026,988.23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6,679,540.48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169.88%</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移动互联网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196,618,989.37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中小企业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5,695,477.10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177,711.59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3,104.90%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55,802.75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5,701,769.86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2,507,824.96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127.36%</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硬件销售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19,443,286.33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2,274,154.15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754.97%</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22,564,254.64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11,597,478.75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94.56%</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195,468,899.10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7"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游戏发行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1,083,858.24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7"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4" w:right="0"/>
              <w:jc w:val="left"/>
              <w:rPr>
                <w:rFonts w:ascii="Times New Roman" w:hAnsi="Times New Roman" w:cs="Times New Roman" w:eastAsia="Times New Roman" w:hint="default"/>
                <w:sz w:val="18"/>
                <w:szCs w:val="18"/>
              </w:rPr>
            </w:pPr>
            <w:r>
              <w:rPr>
                <w:rFonts w:ascii="Times New Roman"/>
                <w:sz w:val="18"/>
              </w:rPr>
              <w:t>55,802.75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0" w:right="0"/>
              <w:jc w:val="left"/>
              <w:rPr>
                <w:rFonts w:ascii="Times New Roman" w:hAnsi="Times New Roman" w:cs="Times New Roman" w:eastAsia="Times New Roman" w:hint="default"/>
                <w:sz w:val="18"/>
                <w:szCs w:val="18"/>
              </w:rPr>
            </w:pPr>
            <w:r>
              <w:rPr>
                <w:rFonts w:ascii="Times New Roman"/>
                <w:sz w:val="18"/>
              </w:rPr>
              <w:t>0.02%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111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w:t>
      </w:r>
      <w:r>
        <w:rPr>
          <w:rFonts w:ascii="Times New Roman" w:hAnsi="Times New Roman" w:cs="Times New Roman" w:eastAsia="Times New Roman" w:hint="default"/>
          <w:spacing w:val="-5"/>
        </w:rPr>
        <w:t>1</w:t>
      </w:r>
      <w:r>
        <w:rPr>
          <w:spacing w:val="-5"/>
        </w:rPr>
        <w:t>、经公司第五届董事会第十三次（临时）会议审议通过，公司拟将持有的北京北邮中望信息科技有限责任公司（以下简称</w:t>
      </w:r>
      <w:r>
        <w:rPr>
          <w:rFonts w:ascii="Times New Roman" w:hAnsi="Times New Roman" w:cs="Times New Roman" w:eastAsia="Times New Roman" w:hint="default"/>
          <w:spacing w:val="-5"/>
        </w:rPr>
        <w:t>“</w:t>
      </w:r>
      <w:r>
        <w:rPr>
          <w:spacing w:val="-5"/>
        </w:rPr>
        <w:t>北</w:t>
      </w:r>
      <w:r>
        <w:rPr>
          <w:spacing w:val="-65"/>
        </w:rPr>
        <w:t> </w:t>
      </w:r>
      <w:r>
        <w:rPr/>
        <w:t>邮中望</w:t>
      </w:r>
      <w:r>
        <w:rPr>
          <w:rFonts w:ascii="Times New Roman" w:hAnsi="Times New Roman" w:cs="Times New Roman" w:eastAsia="Times New Roman" w:hint="default"/>
        </w:rPr>
        <w:t>”</w:t>
      </w:r>
      <w:r>
        <w:rPr/>
        <w:t>）</w:t>
      </w:r>
      <w:r>
        <w:rPr>
          <w:rFonts w:ascii="Times New Roman" w:hAnsi="Times New Roman" w:cs="Times New Roman" w:eastAsia="Times New Roman" w:hint="default"/>
        </w:rPr>
        <w:t>83.24%</w:t>
      </w:r>
      <w:r>
        <w:rPr/>
        <w:t>股权全部出售，本次股权转让相关手续于报告期内实施完毕，北邮中望不再纳入公司合并报表。</w:t>
      </w:r>
    </w:p>
    <w:p>
      <w:pPr>
        <w:pStyle w:val="BodyText"/>
        <w:spacing w:line="304" w:lineRule="auto"/>
        <w:ind w:right="1121"/>
        <w:jc w:val="left"/>
      </w:pPr>
      <w:r>
        <w:rPr>
          <w:rFonts w:ascii="Times New Roman" w:hAnsi="Times New Roman" w:cs="Times New Roman" w:eastAsia="Times New Roman" w:hint="default"/>
        </w:rPr>
        <w:t>2</w:t>
      </w:r>
      <w:r>
        <w:rPr/>
        <w:t>、经公司</w:t>
      </w:r>
      <w:r>
        <w:rPr>
          <w:rFonts w:ascii="Times New Roman" w:hAnsi="Times New Roman" w:cs="Times New Roman" w:eastAsia="Times New Roman" w:hint="default"/>
        </w:rPr>
        <w:t>2014</w:t>
      </w:r>
      <w:r>
        <w:rPr/>
        <w:t>年第二次临时股东大会审议通过以及中国证券监督管理委员会核准，公司以发行股份及支付现金方式购买亿</w:t>
      </w:r>
      <w:r>
        <w:rPr>
          <w:spacing w:val="-83"/>
        </w:rPr>
        <w:t> </w:t>
      </w:r>
      <w:r>
        <w:rPr>
          <w:spacing w:val="-83"/>
        </w:rPr>
      </w:r>
      <w:r>
        <w:rPr/>
        <w:t>起联科技</w:t>
      </w:r>
      <w:r>
        <w:rPr>
          <w:rFonts w:ascii="Times New Roman" w:hAnsi="Times New Roman" w:cs="Times New Roman" w:eastAsia="Times New Roman" w:hint="default"/>
        </w:rPr>
        <w:t>100%</w:t>
      </w:r>
      <w:r>
        <w:rPr/>
        <w:t>股权，本次股权购买事项于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月末完成，亿起联科技纳入公司合并报表。 </w:t>
      </w:r>
      <w:r>
        <w:rPr>
          <w:rFonts w:ascii="Times New Roman" w:hAnsi="Times New Roman" w:cs="Times New Roman" w:eastAsia="Times New Roman" w:hint="default"/>
          <w:spacing w:val="-1"/>
        </w:rPr>
        <w:t>3</w:t>
      </w:r>
      <w:r>
        <w:rPr>
          <w:spacing w:val="-1"/>
        </w:rPr>
        <w:t>、经公司第五届董事会第十四次（临时）会议审议通过，公司投资设立久其龙信，并持有其</w:t>
      </w:r>
      <w:r>
        <w:rPr>
          <w:rFonts w:ascii="Times New Roman" w:hAnsi="Times New Roman" w:cs="Times New Roman" w:eastAsia="Times New Roman" w:hint="default"/>
          <w:spacing w:val="-1"/>
        </w:rPr>
        <w:t>51%</w:t>
      </w:r>
      <w:r>
        <w:rPr>
          <w:spacing w:val="-1"/>
        </w:rPr>
        <w:t>股权，久其龙信于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3</w:t>
      </w:r>
      <w:r>
        <w:rPr>
          <w:rFonts w:ascii="Times New Roman" w:hAnsi="Times New Roman" w:cs="Times New Roman" w:eastAsia="Times New Roman" w:hint="default"/>
          <w:spacing w:val="-40"/>
        </w:rPr>
        <w:t> </w:t>
      </w:r>
      <w:r>
        <w:rPr/>
        <w:t>月</w:t>
      </w:r>
      <w:r>
        <w:rPr>
          <w:rFonts w:ascii="Times New Roman" w:hAnsi="Times New Roman" w:cs="Times New Roman" w:eastAsia="Times New Roman" w:hint="default"/>
        </w:rPr>
        <w:t>10</w:t>
      </w:r>
      <w:r>
        <w:rPr/>
        <w:t>日办理完成工商登记设立手续。 </w:t>
      </w:r>
      <w:r>
        <w:rPr>
          <w:rFonts w:ascii="Times New Roman" w:hAnsi="Times New Roman" w:cs="Times New Roman" w:eastAsia="Times New Roman" w:hint="default"/>
          <w:spacing w:val="-1"/>
        </w:rPr>
        <w:t>4</w:t>
      </w:r>
      <w:r>
        <w:rPr>
          <w:spacing w:val="-1"/>
        </w:rPr>
        <w:t>、经公司第五届董事会第十六次（临时）会议审议通过，公司投资设立久金所，并持有其</w:t>
      </w:r>
      <w:r>
        <w:rPr>
          <w:rFonts w:ascii="Times New Roman" w:hAnsi="Times New Roman" w:cs="Times New Roman" w:eastAsia="Times New Roman" w:hint="default"/>
          <w:spacing w:val="-1"/>
        </w:rPr>
        <w:t>70%</w:t>
      </w:r>
      <w:r>
        <w:rPr>
          <w:spacing w:val="-1"/>
        </w:rPr>
        <w:t>股权，久金所于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12</w:t>
      </w:r>
      <w:r>
        <w:rPr>
          <w:rFonts w:ascii="Times New Roman" w:hAnsi="Times New Roman" w:cs="Times New Roman" w:eastAsia="Times New Roman" w:hint="default"/>
          <w:spacing w:val="-39"/>
        </w:rPr>
        <w:t> </w:t>
      </w:r>
      <w:r>
        <w:rPr/>
        <w:t>日办理完成工商登记设立手续。 </w:t>
      </w:r>
      <w:r>
        <w:rPr>
          <w:rFonts w:ascii="Times New Roman" w:hAnsi="Times New Roman" w:cs="Times New Roman" w:eastAsia="Times New Roman" w:hint="default"/>
        </w:rPr>
        <w:t>5</w:t>
      </w:r>
      <w:r>
        <w:rPr/>
        <w:t>、经公司</w:t>
      </w:r>
      <w:r>
        <w:rPr>
          <w:rFonts w:ascii="Times New Roman" w:hAnsi="Times New Roman" w:cs="Times New Roman" w:eastAsia="Times New Roman" w:hint="default"/>
        </w:rPr>
        <w:t>2015</w:t>
      </w:r>
      <w:r>
        <w:rPr/>
        <w:t>年第三次临时股东大会审议通过，公司投资设立蜂语网络，并持有其</w:t>
      </w:r>
      <w:r>
        <w:rPr>
          <w:rFonts w:ascii="Times New Roman" w:hAnsi="Times New Roman" w:cs="Times New Roman" w:eastAsia="Times New Roman" w:hint="default"/>
        </w:rPr>
        <w:t>51%</w:t>
      </w:r>
      <w:r>
        <w:rPr/>
        <w:t>股权，蜂语网络于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7</w:t>
      </w:r>
      <w:r>
        <w:rPr/>
        <w:t>日办</w:t>
      </w:r>
      <w:r>
        <w:rPr>
          <w:spacing w:val="-55"/>
        </w:rPr>
        <w:t> </w:t>
      </w:r>
      <w:r>
        <w:rPr/>
        <w:t>理完成工商登记设立手续。 </w:t>
      </w:r>
      <w:r>
        <w:rPr>
          <w:rFonts w:ascii="Times New Roman" w:hAnsi="Times New Roman" w:cs="Times New Roman" w:eastAsia="Times New Roman" w:hint="default"/>
          <w:spacing w:val="2"/>
        </w:rPr>
        <w:t>6</w:t>
      </w:r>
      <w:r>
        <w:rPr>
          <w:spacing w:val="2"/>
        </w:rPr>
        <w:t>、经公司第五届董事会第二十四次会议审议通过，公司投资设立中民颐养，并持有其</w:t>
      </w:r>
      <w:r>
        <w:rPr>
          <w:rFonts w:ascii="Times New Roman" w:hAnsi="Times New Roman" w:cs="Times New Roman" w:eastAsia="Times New Roman" w:hint="default"/>
          <w:spacing w:val="2"/>
        </w:rPr>
        <w:t>51%</w:t>
      </w:r>
      <w:r>
        <w:rPr>
          <w:spacing w:val="2"/>
        </w:rPr>
        <w:t>股权，中民颐养于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23</w:t>
      </w:r>
      <w:r>
        <w:rPr>
          <w:rFonts w:ascii="Times New Roman" w:hAnsi="Times New Roman" w:cs="Times New Roman" w:eastAsia="Times New Roman" w:hint="default"/>
        </w:rPr>
        <w:t> </w:t>
      </w:r>
      <w:r>
        <w:rPr/>
        <w:t>日办理完成工商登记设立手续。 </w:t>
      </w:r>
      <w:r>
        <w:rPr>
          <w:rFonts w:ascii="Times New Roman" w:hAnsi="Times New Roman" w:cs="Times New Roman" w:eastAsia="Times New Roman" w:hint="default"/>
        </w:rPr>
        <w:t>7</w:t>
      </w:r>
      <w:r>
        <w:rPr/>
        <w:t>、经公司</w:t>
      </w:r>
      <w:r>
        <w:rPr>
          <w:rFonts w:ascii="Times New Roman" w:hAnsi="Times New Roman" w:cs="Times New Roman" w:eastAsia="Times New Roman" w:hint="default"/>
        </w:rPr>
        <w:t>2015</w:t>
      </w:r>
      <w:r>
        <w:rPr/>
        <w:t>年第二次临时股东大会审议通过以及中国证券监督管理委员会核准，公司以发行股份及支付现金方式购买华</w:t>
      </w:r>
      <w:r>
        <w:rPr>
          <w:spacing w:val="-83"/>
        </w:rPr>
        <w:t> </w:t>
      </w:r>
      <w:r>
        <w:rPr>
          <w:spacing w:val="-83"/>
        </w:rPr>
      </w:r>
      <w:r>
        <w:rPr/>
        <w:t>夏电通</w:t>
      </w:r>
      <w:r>
        <w:rPr>
          <w:rFonts w:ascii="Times New Roman" w:hAnsi="Times New Roman" w:cs="Times New Roman" w:eastAsia="Times New Roman" w:hint="default"/>
        </w:rPr>
        <w:t>100%</w:t>
      </w:r>
      <w:r>
        <w:rPr/>
        <w:t>股权，本次股权购买事项于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月末办理完成，华夏电通纳入公司合并报表。</w:t>
      </w:r>
    </w:p>
    <w:p>
      <w:pPr>
        <w:spacing w:line="240" w:lineRule="auto" w:before="10"/>
        <w:rPr>
          <w:rFonts w:ascii="宋体" w:hAnsi="宋体" w:cs="宋体" w:eastAsia="宋体" w:hint="default"/>
          <w:sz w:val="21"/>
          <w:szCs w:val="21"/>
        </w:rPr>
      </w:pPr>
    </w:p>
    <w:p>
      <w:pPr>
        <w:pStyle w:val="Heading3"/>
        <w:spacing w:line="240" w:lineRule="auto"/>
        <w:ind w:left="153" w:right="0"/>
        <w:jc w:val="left"/>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1"/>
        </w:rPr>
        <w:t>公司在报告期内进一步落地外延式发展战略，布局了大数据、云服务、互联网</w:t>
      </w:r>
      <w:r>
        <w:rPr>
          <w:rFonts w:ascii="Times New Roman" w:hAnsi="Times New Roman" w:cs="Times New Roman" w:eastAsia="Times New Roman" w:hint="default"/>
          <w:spacing w:val="-1"/>
        </w:rPr>
        <w:t>+</w:t>
      </w:r>
      <w:r>
        <w:rPr>
          <w:spacing w:val="-1"/>
        </w:rPr>
        <w:t>领域。报告期，公司新增业务共实现营业收</w:t>
      </w:r>
      <w:r>
        <w:rPr>
          <w:spacing w:val="-45"/>
        </w:rPr>
        <w:t> </w:t>
      </w:r>
      <w:r>
        <w:rPr>
          <w:spacing w:val="-45"/>
        </w:rPr>
      </w:r>
      <w:r>
        <w:rPr/>
        <w:t>入近</w:t>
      </w:r>
      <w:r>
        <w:rPr>
          <w:rFonts w:ascii="Times New Roman" w:hAnsi="Times New Roman" w:cs="Times New Roman" w:eastAsia="Times New Roman" w:hint="default"/>
        </w:rPr>
        <w:t>3</w:t>
      </w:r>
      <w:r>
        <w:rPr/>
        <w:t>亿，占比超过公司年度总收入的</w:t>
      </w:r>
      <w:r>
        <w:rPr>
          <w:rFonts w:ascii="Times New Roman" w:hAnsi="Times New Roman" w:cs="Times New Roman" w:eastAsia="Times New Roman" w:hint="default"/>
        </w:rPr>
        <w:t>40%</w:t>
      </w:r>
      <w:r>
        <w:rPr/>
        <w:t>，为公司业绩的持续增长做出了重要贡献。</w:t>
      </w:r>
    </w:p>
    <w:p>
      <w:pPr>
        <w:spacing w:line="240" w:lineRule="auto" w:before="11"/>
        <w:rPr>
          <w:rFonts w:ascii="宋体" w:hAnsi="宋体" w:cs="宋体" w:eastAsia="宋体" w:hint="default"/>
          <w:sz w:val="20"/>
          <w:szCs w:val="20"/>
        </w:rPr>
      </w:pPr>
    </w:p>
    <w:p>
      <w:pPr>
        <w:pStyle w:val="Heading3"/>
        <w:spacing w:line="240" w:lineRule="auto"/>
        <w:ind w:left="153" w:right="0"/>
        <w:jc w:val="left"/>
        <w:rPr>
          <w:b w:val="0"/>
          <w:bCs w:val="0"/>
        </w:rPr>
      </w:pPr>
      <w:bookmarkStart w:name="（8）主要销售客户和主要供应商情况" w:id="36"/>
      <w:bookmarkEnd w:id="36"/>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102,831,602.44</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14.35%</w:t>
            </w:r>
          </w:p>
        </w:tc>
      </w:tr>
    </w:tbl>
    <w:p>
      <w:pPr>
        <w:pStyle w:val="BodyText"/>
        <w:spacing w:line="240" w:lineRule="auto" w:before="51"/>
        <w:ind w:left="15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32,671,976.31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4.56%</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21,378,700.19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2.98%</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18,724,182.64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2.61%</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17,302,822.52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2.41%</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12,753,920.78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1.78%</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102,831,602.44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14.35%</w:t>
            </w:r>
          </w:p>
        </w:tc>
      </w:tr>
    </w:tbl>
    <w:p>
      <w:pPr>
        <w:pStyle w:val="BodyText"/>
        <w:spacing w:line="240" w:lineRule="auto" w:before="51"/>
        <w:ind w:left="154" w:right="0"/>
        <w:jc w:val="left"/>
      </w:pPr>
      <w:r>
        <w:rPr/>
        <w:t>主要客户其他情况说明</w:t>
      </w:r>
    </w:p>
    <w:p>
      <w:pPr>
        <w:pStyle w:val="BodyText"/>
        <w:spacing w:line="240" w:lineRule="auto" w:before="116"/>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公司主要供应商情况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77,102,215.49</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28.31%</w:t>
            </w:r>
          </w:p>
        </w:tc>
      </w:tr>
    </w:tbl>
    <w:p>
      <w:pPr>
        <w:pStyle w:val="BodyText"/>
        <w:spacing w:line="240" w:lineRule="auto" w:before="51"/>
        <w:ind w:left="15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40,676,635.39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14.94%</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11,163,778.00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10,339,050.66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7,547,169.81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2.77%</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7,375,581.63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2.70%</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77,102,215.49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28.31%</w:t>
            </w:r>
          </w:p>
        </w:tc>
      </w:tr>
    </w:tbl>
    <w:p>
      <w:pPr>
        <w:pStyle w:val="BodyText"/>
        <w:spacing w:line="240" w:lineRule="auto" w:before="51"/>
        <w:ind w:left="154" w:right="0"/>
        <w:jc w:val="left"/>
      </w:pPr>
      <w:r>
        <w:rPr/>
        <w:t>主要供应商其他情况说明</w:t>
      </w:r>
    </w:p>
    <w:p>
      <w:pPr>
        <w:pStyle w:val="BodyText"/>
        <w:spacing w:line="240" w:lineRule="auto" w:before="116"/>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6"/>
        <w:gridCol w:w="1637"/>
        <w:gridCol w:w="1637"/>
        <w:gridCol w:w="1462"/>
        <w:gridCol w:w="2918"/>
      </w:tblGrid>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61" w:hRule="exact"/>
        </w:trPr>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2" w:right="0"/>
              <w:jc w:val="left"/>
              <w:rPr>
                <w:rFonts w:ascii="Times New Roman" w:hAnsi="Times New Roman" w:cs="Times New Roman" w:eastAsia="Times New Roman" w:hint="default"/>
                <w:sz w:val="18"/>
                <w:szCs w:val="18"/>
              </w:rPr>
            </w:pPr>
            <w:r>
              <w:rPr>
                <w:rFonts w:ascii="Times New Roman"/>
                <w:sz w:val="18"/>
              </w:rPr>
              <w:t>53,066,812.82</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23,979,631.66</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83" w:right="0"/>
              <w:jc w:val="left"/>
              <w:rPr>
                <w:rFonts w:ascii="Times New Roman" w:hAnsi="Times New Roman" w:cs="Times New Roman" w:eastAsia="Times New Roman" w:hint="default"/>
                <w:sz w:val="18"/>
                <w:szCs w:val="18"/>
              </w:rPr>
            </w:pPr>
            <w:r>
              <w:rPr>
                <w:rFonts w:ascii="Times New Roman"/>
                <w:sz w:val="18"/>
              </w:rPr>
              <w:t>121.30%</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182"/>
              <w:jc w:val="left"/>
              <w:rPr>
                <w:rFonts w:ascii="宋体" w:hAnsi="宋体" w:cs="宋体" w:eastAsia="宋体" w:hint="default"/>
                <w:sz w:val="18"/>
                <w:szCs w:val="18"/>
              </w:rPr>
            </w:pPr>
            <w:r>
              <w:rPr>
                <w:rFonts w:ascii="宋体" w:hAnsi="宋体" w:cs="宋体" w:eastAsia="宋体" w:hint="default"/>
                <w:sz w:val="18"/>
                <w:szCs w:val="18"/>
              </w:rPr>
              <w:t>主要系报告期内公司合并亿起联科 技所致</w:t>
            </w:r>
          </w:p>
        </w:tc>
      </w:tr>
      <w:tr>
        <w:trPr>
          <w:trHeight w:val="393" w:hRule="exact"/>
        </w:trPr>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295,905,386.49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237,804,919.02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3" w:right="0"/>
              <w:jc w:val="left"/>
              <w:rPr>
                <w:rFonts w:ascii="Times New Roman" w:hAnsi="Times New Roman" w:cs="Times New Roman" w:eastAsia="Times New Roman" w:hint="default"/>
                <w:sz w:val="18"/>
                <w:szCs w:val="18"/>
              </w:rPr>
            </w:pPr>
            <w:r>
              <w:rPr>
                <w:rFonts w:ascii="Times New Roman"/>
                <w:sz w:val="18"/>
              </w:rPr>
              <w:t>24.43%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-3,684,950.69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-3,067,595.72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报告期内，公司及其控股子公司共获得软件著作权</w:t>
      </w:r>
      <w:r>
        <w:rPr>
          <w:rFonts w:ascii="Times New Roman" w:hAnsi="Times New Roman" w:cs="Times New Roman" w:eastAsia="Times New Roman" w:hint="default"/>
        </w:rPr>
        <w:t>69</w:t>
      </w:r>
      <w:r>
        <w:rPr/>
        <w:t>项，申请并获受理发明专利</w:t>
      </w:r>
      <w:r>
        <w:rPr>
          <w:rFonts w:ascii="Times New Roman" w:hAnsi="Times New Roman" w:cs="Times New Roman" w:eastAsia="Times New Roman" w:hint="default"/>
        </w:rPr>
        <w:t>15</w:t>
      </w:r>
      <w:r>
        <w:rPr/>
        <w:t>项，取得专利发明授权</w:t>
      </w:r>
      <w:r>
        <w:rPr>
          <w:rFonts w:ascii="Times New Roman" w:hAnsi="Times New Roman" w:cs="Times New Roman" w:eastAsia="Times New Roman" w:hint="default"/>
        </w:rPr>
        <w:t>9</w:t>
      </w:r>
      <w:r>
        <w:rPr/>
        <w:t>项。报告期公司</w:t>
      </w:r>
      <w:r>
        <w:rPr>
          <w:spacing w:val="-84"/>
        </w:rPr>
        <w:t> </w:t>
      </w:r>
      <w:r>
        <w:rPr>
          <w:spacing w:val="-84"/>
        </w:rPr>
      </w:r>
      <w:r>
        <w:rPr/>
        <w:t>研发支出总额为</w:t>
      </w:r>
      <w:r>
        <w:rPr>
          <w:rFonts w:ascii="Times New Roman" w:hAnsi="Times New Roman" w:cs="Times New Roman" w:eastAsia="Times New Roman" w:hint="default"/>
        </w:rPr>
        <w:t>16,908.87</w:t>
      </w:r>
      <w:r>
        <w:rPr/>
        <w:t>万元，占营业收入比例的</w:t>
      </w:r>
      <w:r>
        <w:rPr>
          <w:rFonts w:ascii="Times New Roman" w:hAnsi="Times New Roman" w:cs="Times New Roman" w:eastAsia="Times New Roman" w:hint="default"/>
        </w:rPr>
        <w:t>23.59%</w:t>
      </w:r>
      <w:r>
        <w:rPr/>
        <w:t>，同比增长</w:t>
      </w:r>
      <w:r>
        <w:rPr>
          <w:rFonts w:ascii="Times New Roman" w:hAnsi="Times New Roman" w:cs="Times New Roman" w:eastAsia="Times New Roman" w:hint="default"/>
        </w:rPr>
        <w:t>26.35%</w:t>
      </w:r>
      <w:r>
        <w:rPr/>
        <w:t>。</w:t>
      </w:r>
    </w:p>
    <w:p>
      <w:pPr>
        <w:spacing w:line="240" w:lineRule="auto" w:before="10"/>
        <w:rPr>
          <w:rFonts w:ascii="宋体" w:hAnsi="宋体" w:cs="宋体" w:eastAsia="宋体" w:hint="default"/>
          <w:sz w:val="26"/>
          <w:szCs w:val="26"/>
        </w:rPr>
      </w:pPr>
    </w:p>
    <w:p>
      <w:pPr>
        <w:pStyle w:val="BodyText"/>
        <w:spacing w:line="240" w:lineRule="auto"/>
        <w:ind w:right="0"/>
        <w:jc w:val="left"/>
      </w:pPr>
      <w:r>
        <w:rPr/>
        <w:t>公司研发投入情况</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38.15%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169,088,686.07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133,822,920.07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26.35%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-17.37%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10,525,045.61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12,041,213.47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资本化研发投入占研发投入</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36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的比例</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研发投入总额占营业收入的比重较上年发生显著变化的原因</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757,612,654.41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361,240,124.97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109.73%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584,090,493.04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277,897,127.78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110.18%</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173,522,161.37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83,342,997.19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108.20%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348,667,398.12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368,543,439.59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235,319,271.36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364,022,021.32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-35.36%</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113,348,126.76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4,521,418.27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2,406.92%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311,163,768.75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15,458.19%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40,892,066.65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37,764,664.33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8.28%</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270,271,702.10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-35,764,664.33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557,961,446.13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52,099,751.13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970.95%</w:t>
            </w:r>
          </w:p>
        </w:tc>
      </w:tr>
    </w:tbl>
    <w:p>
      <w:pPr>
        <w:pStyle w:val="BodyText"/>
        <w:spacing w:line="240" w:lineRule="auto" w:before="51"/>
        <w:ind w:left="154" w:right="0"/>
        <w:jc w:val="left"/>
      </w:pPr>
      <w:r>
        <w:rPr/>
        <w:t>相关数据同比发生重大变动的主要影响因素说明</w:t>
      </w:r>
    </w:p>
    <w:p>
      <w:pPr>
        <w:pStyle w:val="BodyText"/>
        <w:spacing w:line="314" w:lineRule="auto" w:before="117"/>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1"/>
        </w:rPr>
        <w:t>经营活动产生的现金流量净额本期为</w:t>
      </w:r>
      <w:r>
        <w:rPr>
          <w:rFonts w:ascii="Times New Roman" w:hAnsi="Times New Roman" w:cs="Times New Roman" w:eastAsia="Times New Roman" w:hint="default"/>
          <w:spacing w:val="-1"/>
        </w:rPr>
        <w:t>17,352.22</w:t>
      </w:r>
      <w:r>
        <w:rPr>
          <w:spacing w:val="-1"/>
        </w:rPr>
        <w:t>万元，较上期增加</w:t>
      </w:r>
      <w:r>
        <w:rPr>
          <w:rFonts w:ascii="Times New Roman" w:hAnsi="Times New Roman" w:cs="Times New Roman" w:eastAsia="Times New Roman" w:hint="default"/>
          <w:spacing w:val="-1"/>
        </w:rPr>
        <w:t>108.20%</w:t>
      </w:r>
      <w:r>
        <w:rPr>
          <w:spacing w:val="-1"/>
        </w:rPr>
        <w:t>，主要是报告期内公司合并亿起联科技、华夏电通</w:t>
      </w:r>
      <w:r>
        <w:rPr>
          <w:spacing w:val="-41"/>
        </w:rPr>
        <w:t> </w:t>
      </w:r>
      <w:r>
        <w:rPr>
          <w:spacing w:val="-41"/>
        </w:rPr>
      </w:r>
      <w:r>
        <w:rPr/>
        <w:t>所致。 投资活动产生的现金流量净额本期为</w:t>
      </w:r>
      <w:r>
        <w:rPr>
          <w:rFonts w:ascii="Times New Roman" w:hAnsi="Times New Roman" w:cs="Times New Roman" w:eastAsia="Times New Roman" w:hint="default"/>
        </w:rPr>
        <w:t>11,334.81</w:t>
      </w:r>
      <w:r>
        <w:rPr/>
        <w:t>万元，较上期增加</w:t>
      </w:r>
      <w:r>
        <w:rPr>
          <w:rFonts w:ascii="Times New Roman" w:hAnsi="Times New Roman" w:cs="Times New Roman" w:eastAsia="Times New Roman" w:hint="default"/>
        </w:rPr>
        <w:t>2,406.92%</w:t>
      </w:r>
      <w:r>
        <w:rPr/>
        <w:t>，主要是报告期内公司购买的理财产品周期长， 投资支付现金减少所致。</w:t>
      </w:r>
    </w:p>
    <w:p>
      <w:pPr>
        <w:pStyle w:val="BodyText"/>
        <w:spacing w:line="300" w:lineRule="auto" w:before="20"/>
        <w:ind w:right="0"/>
        <w:jc w:val="left"/>
      </w:pPr>
      <w:r>
        <w:rPr>
          <w:spacing w:val="-2"/>
        </w:rPr>
        <w:t>筹资活动产生的现金流量净额本期为</w:t>
      </w:r>
      <w:r>
        <w:rPr>
          <w:rFonts w:ascii="Times New Roman" w:hAnsi="Times New Roman" w:cs="Times New Roman" w:eastAsia="Times New Roman" w:hint="default"/>
          <w:spacing w:val="-2"/>
        </w:rPr>
        <w:t>27,027.17</w:t>
      </w:r>
      <w:r>
        <w:rPr>
          <w:spacing w:val="-2"/>
        </w:rPr>
        <w:t>万元，较上期增加</w:t>
      </w:r>
      <w:r>
        <w:rPr>
          <w:rFonts w:ascii="Times New Roman" w:hAnsi="Times New Roman" w:cs="Times New Roman" w:eastAsia="Times New Roman" w:hint="default"/>
          <w:spacing w:val="-2"/>
        </w:rPr>
        <w:t>30,603.64</w:t>
      </w:r>
      <w:r>
        <w:rPr>
          <w:spacing w:val="-2"/>
        </w:rPr>
        <w:t>万元，主要是报告期内公司收到银行贷款以及购买</w:t>
      </w:r>
      <w:r>
        <w:rPr>
          <w:spacing w:val="-50"/>
        </w:rPr>
        <w:t> </w:t>
      </w:r>
      <w:r>
        <w:rPr>
          <w:spacing w:val="-50"/>
        </w:rPr>
      </w:r>
      <w:r>
        <w:rPr/>
        <w:t>亿起联科技、华夏电通股权的配套募集资金所致。</w:t>
      </w:r>
    </w:p>
    <w:p>
      <w:pPr>
        <w:spacing w:line="240" w:lineRule="auto" w:before="0"/>
        <w:rPr>
          <w:rFonts w:ascii="宋体" w:hAnsi="宋体" w:cs="宋体" w:eastAsia="宋体" w:hint="default"/>
          <w:sz w:val="18"/>
          <w:szCs w:val="18"/>
        </w:rPr>
      </w:pPr>
    </w:p>
    <w:p>
      <w:pPr>
        <w:pStyle w:val="BodyText"/>
        <w:spacing w:line="240" w:lineRule="auto" w:before="148"/>
        <w:ind w:left="154" w:right="0"/>
        <w:jc w:val="left"/>
      </w:pPr>
      <w:r>
        <w:rPr/>
        <w:t>报告期内公司经营活动产生的现金净流量与本年度净利润存在重大差异的原因说明</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三、非主营业务分析" w:id="40"/>
      <w:bookmarkEnd w:id="40"/>
      <w:r>
        <w:rPr>
          <w:b w:val="0"/>
          <w:bCs w:val="0"/>
        </w:rPr>
      </w:r>
      <w:r>
        <w:rPr/>
        <w:t>三、非主营业务分析</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四、资产及负债状况分析" w:id="41"/>
      <w:bookmarkEnd w:id="41"/>
      <w:r>
        <w:rPr>
          <w:b w:val="0"/>
          <w:bCs w:val="0"/>
        </w:rPr>
      </w:r>
      <w:r>
        <w:rPr/>
        <w:t>四、资产及负债状况分析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261"/>
        <w:gridCol w:w="1063"/>
        <w:gridCol w:w="1196"/>
        <w:gridCol w:w="1062"/>
        <w:gridCol w:w="798"/>
        <w:gridCol w:w="2919"/>
      </w:tblGrid>
      <w:tr>
        <w:trPr>
          <w:trHeight w:val="380" w:hRule="exact"/>
        </w:trPr>
        <w:tc>
          <w:tcPr>
            <w:tcW w:w="1357"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324"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8"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2"/>
              <w:ind w:left="7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9"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357" w:type="dxa"/>
            <w:vMerge w:val="restart"/>
            <w:tcBorders>
              <w:top w:val="single" w:sz="14" w:space="0" w:color="FFFFFF"/>
              <w:left w:val="single" w:sz="4" w:space="0" w:color="000000"/>
              <w:right w:val="single" w:sz="4" w:space="0" w:color="000000"/>
            </w:tcBorders>
            <w:shd w:val="clear" w:color="auto" w:fill="D2D2D2"/>
          </w:tcPr>
          <w:p>
            <w:pPr/>
          </w:p>
        </w:tc>
        <w:tc>
          <w:tcPr>
            <w:tcW w:w="1261"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2"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7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34"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9"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2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2"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261"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2"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26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2"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2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849,766,266.10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34.03%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287,187,584.43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34.83%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-0.80%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2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186,830,460.68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7.48%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65,227,158.98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7.91%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-0.43%</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2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87,371,268.35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71,665.90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系报告期内公司合并华夏电通所致</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2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31,322,219.04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系报告期内公司合并华夏电通所致</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2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55,300,798.28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53,208,911.08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6.45%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-4.24%</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2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223,176,461.54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8.94%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143,059,452.33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17.35%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-8.41%</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61"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6" w:right="0"/>
              <w:jc w:val="left"/>
              <w:rPr>
                <w:rFonts w:ascii="Times New Roman" w:hAnsi="Times New Roman" w:cs="Times New Roman" w:eastAsia="Times New Roman" w:hint="default"/>
                <w:sz w:val="18"/>
                <w:szCs w:val="18"/>
              </w:rPr>
            </w:pPr>
            <w:r>
              <w:rPr>
                <w:rFonts w:ascii="Times New Roman"/>
                <w:sz w:val="18"/>
              </w:rPr>
              <w:t>78,047,200.00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3.13%</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0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01" w:right="0"/>
              <w:jc w:val="left"/>
              <w:rPr>
                <w:rFonts w:ascii="Times New Roman" w:hAnsi="Times New Roman" w:cs="Times New Roman" w:eastAsia="Times New Roman" w:hint="default"/>
                <w:sz w:val="18"/>
                <w:szCs w:val="18"/>
              </w:rPr>
            </w:pPr>
            <w:r>
              <w:rPr>
                <w:rFonts w:ascii="Times New Roman"/>
                <w:sz w:val="18"/>
              </w:rPr>
              <w:t>3.13%</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52"/>
              <w:ind w:left="23" w:right="183"/>
              <w:jc w:val="left"/>
              <w:rPr>
                <w:rFonts w:ascii="宋体" w:hAnsi="宋体" w:cs="宋体" w:eastAsia="宋体" w:hint="default"/>
                <w:sz w:val="18"/>
                <w:szCs w:val="18"/>
              </w:rPr>
            </w:pPr>
            <w:r>
              <w:rPr>
                <w:rFonts w:ascii="宋体" w:hAnsi="宋体" w:cs="宋体" w:eastAsia="宋体" w:hint="default"/>
                <w:sz w:val="18"/>
                <w:szCs w:val="18"/>
              </w:rPr>
              <w:t>系报告期内公司向新加坡华侨银行 借款所致</w:t>
            </w: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261"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2"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61"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96"/>
        <w:gridCol w:w="1231"/>
        <w:gridCol w:w="1207"/>
        <w:gridCol w:w="1213"/>
        <w:gridCol w:w="1207"/>
        <w:gridCol w:w="1219"/>
        <w:gridCol w:w="1213"/>
        <w:gridCol w:w="1169"/>
      </w:tblGrid>
      <w:tr>
        <w:trPr>
          <w:trHeight w:val="161"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31" w:type="dxa"/>
            <w:vMerge w:val="restart"/>
            <w:tcBorders>
              <w:top w:val="single" w:sz="4" w:space="0" w:color="000000"/>
              <w:left w:val="single" w:sz="4" w:space="0" w:color="000000"/>
              <w:right w:val="single" w:sz="4" w:space="0" w:color="000000"/>
            </w:tcBorders>
            <w:shd w:val="clear" w:color="auto" w:fill="D2D2D2"/>
          </w:tcPr>
          <w:p>
            <w:pP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61" w:right="59"/>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9" w:type="dxa"/>
            <w:vMerge w:val="restart"/>
            <w:tcBorders>
              <w:top w:val="single" w:sz="4" w:space="0" w:color="000000"/>
              <w:left w:val="single" w:sz="4" w:space="0" w:color="000000"/>
              <w:right w:val="single" w:sz="4" w:space="0" w:color="000000"/>
            </w:tcBorders>
            <w:shd w:val="clear" w:color="auto" w:fill="D2D2D2"/>
          </w:tcPr>
          <w:p>
            <w:pPr/>
          </w:p>
        </w:tc>
        <w:tc>
          <w:tcPr>
            <w:tcW w:w="1213" w:type="dxa"/>
            <w:vMerge w:val="restart"/>
            <w:tcBorders>
              <w:top w:val="single" w:sz="4" w:space="0" w:color="000000"/>
              <w:left w:val="single" w:sz="4" w:space="0" w:color="000000"/>
              <w:right w:val="single" w:sz="4" w:space="0" w:color="000000"/>
            </w:tcBorders>
            <w:shd w:val="clear" w:color="auto" w:fill="D2D2D2"/>
          </w:tcPr>
          <w:p>
            <w:pPr/>
          </w:p>
        </w:tc>
        <w:tc>
          <w:tcPr>
            <w:tcW w:w="1169"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31" w:type="dxa"/>
            <w:vMerge/>
            <w:tcBorders>
              <w:left w:val="single" w:sz="4" w:space="0" w:color="000000"/>
              <w:bottom w:val="nil" w:sz="6" w:space="0" w:color="auto"/>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5" w:right="60"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213"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12" w:right="53" w:hanging="450"/>
              <w:jc w:val="left"/>
              <w:rPr>
                <w:rFonts w:ascii="宋体" w:hAnsi="宋体" w:cs="宋体" w:eastAsia="宋体" w:hint="default"/>
                <w:sz w:val="18"/>
                <w:szCs w:val="18"/>
              </w:rPr>
            </w:pPr>
            <w:r>
              <w:rPr>
                <w:rFonts w:ascii="宋体" w:hAnsi="宋体" w:cs="宋体" w:eastAsia="宋体" w:hint="default"/>
                <w:sz w:val="18"/>
                <w:szCs w:val="18"/>
              </w:rPr>
              <w:t>本期计提的减 值</w:t>
            </w:r>
          </w:p>
        </w:tc>
        <w:tc>
          <w:tcPr>
            <w:tcW w:w="1219" w:type="dxa"/>
            <w:vMerge/>
            <w:tcBorders>
              <w:left w:val="single" w:sz="4" w:space="0" w:color="000000"/>
              <w:bottom w:val="nil" w:sz="6" w:space="0" w:color="auto"/>
              <w:right w:val="single" w:sz="4" w:space="0" w:color="000000"/>
            </w:tcBorders>
            <w:shd w:val="clear" w:color="auto" w:fill="D2D2D2"/>
          </w:tcPr>
          <w:p>
            <w:pPr/>
          </w:p>
        </w:tc>
        <w:tc>
          <w:tcPr>
            <w:tcW w:w="1213" w:type="dxa"/>
            <w:vMerge/>
            <w:tcBorders>
              <w:left w:val="single" w:sz="4" w:space="0" w:color="000000"/>
              <w:bottom w:val="nil" w:sz="6" w:space="0" w:color="auto"/>
              <w:right w:val="single" w:sz="4" w:space="0" w:color="000000"/>
            </w:tcBorders>
            <w:shd w:val="clear" w:color="auto" w:fill="D2D2D2"/>
          </w:tcPr>
          <w:p>
            <w:pPr/>
          </w:p>
        </w:tc>
        <w:tc>
          <w:tcPr>
            <w:tcW w:w="1169" w:type="dxa"/>
            <w:vMerge/>
            <w:tcBorders>
              <w:left w:val="single" w:sz="4" w:space="0" w:color="000000"/>
              <w:bottom w:val="nil" w:sz="6" w:space="0" w:color="auto"/>
              <w:right w:val="single" w:sz="4" w:space="0" w:color="000000"/>
            </w:tcBorders>
            <w:shd w:val="clear" w:color="auto" w:fill="D2D2D2"/>
          </w:tcPr>
          <w:p>
            <w:pPr/>
          </w:p>
        </w:tc>
      </w:tr>
      <w:tr>
        <w:trPr>
          <w:trHeight w:val="392"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3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07" w:type="dxa"/>
            <w:vMerge/>
            <w:tcBorders>
              <w:left w:val="single" w:sz="4" w:space="0" w:color="000000"/>
              <w:right w:val="single" w:sz="4" w:space="0" w:color="000000"/>
            </w:tcBorders>
            <w:shd w:val="clear" w:color="auto" w:fill="D2D2D2"/>
          </w:tcPr>
          <w:p>
            <w:pPr/>
          </w:p>
        </w:tc>
        <w:tc>
          <w:tcPr>
            <w:tcW w:w="1213"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2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66"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2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60"/>
              <w:jc w:val="right"/>
              <w:rPr>
                <w:rFonts w:ascii="宋体" w:hAnsi="宋体" w:cs="宋体" w:eastAsia="宋体" w:hint="default"/>
                <w:sz w:val="18"/>
                <w:szCs w:val="18"/>
              </w:rPr>
            </w:pPr>
            <w:r>
              <w:rPr>
                <w:rFonts w:ascii="宋体" w:hAnsi="宋体" w:cs="宋体" w:eastAsia="宋体" w:hint="default"/>
                <w:sz w:val="18"/>
                <w:szCs w:val="18"/>
              </w:rPr>
              <w:t>本期出售金额</w:t>
            </w:r>
          </w:p>
        </w:tc>
        <w:tc>
          <w:tcPr>
            <w:tcW w:w="11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08"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31" w:type="dxa"/>
            <w:vMerge w:val="restart"/>
            <w:tcBorders>
              <w:top w:val="nil" w:sz="6" w:space="0" w:color="auto"/>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213"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219" w:type="dxa"/>
            <w:vMerge w:val="restart"/>
            <w:tcBorders>
              <w:top w:val="nil" w:sz="6" w:space="0" w:color="auto"/>
              <w:left w:val="single" w:sz="4" w:space="0" w:color="000000"/>
              <w:right w:val="single" w:sz="4" w:space="0" w:color="000000"/>
            </w:tcBorders>
            <w:shd w:val="clear" w:color="auto" w:fill="D2D2D2"/>
          </w:tcPr>
          <w:p>
            <w:pPr/>
          </w:p>
        </w:tc>
        <w:tc>
          <w:tcPr>
            <w:tcW w:w="1213" w:type="dxa"/>
            <w:vMerge w:val="restart"/>
            <w:tcBorders>
              <w:top w:val="nil" w:sz="6" w:space="0" w:color="auto"/>
              <w:left w:val="single" w:sz="4" w:space="0" w:color="000000"/>
              <w:right w:val="single" w:sz="4" w:space="0" w:color="000000"/>
            </w:tcBorders>
            <w:shd w:val="clear" w:color="auto" w:fill="D2D2D2"/>
          </w:tcPr>
          <w:p>
            <w:pPr/>
          </w:p>
        </w:tc>
        <w:tc>
          <w:tcPr>
            <w:tcW w:w="1169"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231"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3"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9" w:type="dxa"/>
            <w:vMerge/>
            <w:tcBorders>
              <w:left w:val="single" w:sz="4" w:space="0" w:color="000000"/>
              <w:bottom w:val="single" w:sz="4" w:space="0" w:color="000000"/>
              <w:right w:val="single" w:sz="4" w:space="0" w:color="000000"/>
            </w:tcBorders>
            <w:shd w:val="clear" w:color="auto" w:fill="D2D2D2"/>
          </w:tcPr>
          <w:p>
            <w:pPr/>
          </w:p>
        </w:tc>
        <w:tc>
          <w:tcPr>
            <w:tcW w:w="1213" w:type="dxa"/>
            <w:vMerge/>
            <w:tcBorders>
              <w:left w:val="single" w:sz="4" w:space="0" w:color="000000"/>
              <w:bottom w:val="single" w:sz="4" w:space="0" w:color="000000"/>
              <w:right w:val="single" w:sz="4" w:space="0" w:color="000000"/>
            </w:tcBorders>
            <w:shd w:val="clear" w:color="auto" w:fill="D2D2D2"/>
          </w:tcPr>
          <w:p>
            <w:pPr/>
          </w:p>
        </w:tc>
        <w:tc>
          <w:tcPr>
            <w:tcW w:w="1169"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8460" w:type="dxa"/>
            <w:gridSpan w:val="7"/>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96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11" w:right="93"/>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 计量且其变动 计入当期损益 的金融资产</w:t>
            </w:r>
          </w:p>
          <w:p>
            <w:pPr>
              <w:pStyle w:val="TableParagraph"/>
              <w:spacing w:line="319" w:lineRule="auto" w:before="22"/>
              <w:ind w:left="11" w:right="93"/>
              <w:jc w:val="both"/>
              <w:rPr>
                <w:rFonts w:ascii="宋体" w:hAnsi="宋体" w:cs="宋体" w:eastAsia="宋体" w:hint="default"/>
                <w:sz w:val="18"/>
                <w:szCs w:val="18"/>
              </w:rPr>
            </w:pPr>
            <w:r>
              <w:rPr>
                <w:rFonts w:ascii="宋体" w:hAnsi="宋体" w:cs="宋体" w:eastAsia="宋体" w:hint="default"/>
                <w:sz w:val="18"/>
                <w:szCs w:val="18"/>
              </w:rPr>
              <w:t>（不含衍生金 融资产）</w:t>
            </w:r>
          </w:p>
        </w:tc>
        <w:tc>
          <w:tcPr>
            <w:tcW w:w="12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50,799,905.59</w:t>
            </w:r>
          </w:p>
        </w:tc>
        <w:tc>
          <w:tcPr>
            <w:tcW w:w="1207"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50,799,905.59</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2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50,799,905.59</w:t>
            </w:r>
          </w:p>
        </w:tc>
        <w:tc>
          <w:tcPr>
            <w:tcW w:w="1207"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50,799,905.59</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2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50,799,905.59</w:t>
            </w:r>
          </w:p>
        </w:tc>
        <w:tc>
          <w:tcPr>
            <w:tcW w:w="1207"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50,799,905.59</w:t>
            </w:r>
          </w:p>
        </w:tc>
        <w:tc>
          <w:tcPr>
            <w:tcW w:w="11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2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0"/>
        <w:jc w:val="left"/>
      </w:pPr>
      <w:r>
        <w:rPr/>
        <w:t>报告期内公司主要资产计量属性是否发生重大变化</w:t>
      </w:r>
    </w:p>
    <w:p>
      <w:pPr>
        <w:pStyle w:val="BodyText"/>
        <w:spacing w:line="240" w:lineRule="auto" w:before="117"/>
        <w:ind w:left="15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五、投资状况分析" w:id="44"/>
      <w:bookmarkEnd w:id="44"/>
      <w:r>
        <w:rPr>
          <w:b w:val="0"/>
          <w:bCs w:val="0"/>
        </w:rPr>
      </w:r>
      <w:r>
        <w:rPr/>
        <w:t>五、投资状况分析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95" w:right="0"/>
              <w:jc w:val="left"/>
              <w:rPr>
                <w:rFonts w:ascii="Times New Roman" w:hAnsi="Times New Roman" w:cs="Times New Roman" w:eastAsia="Times New Roman" w:hint="default"/>
                <w:sz w:val="18"/>
                <w:szCs w:val="18"/>
              </w:rPr>
            </w:pPr>
            <w:r>
              <w:rPr>
                <w:rFonts w:ascii="Times New Roman"/>
                <w:sz w:val="18"/>
              </w:rPr>
              <w:t>1,169,460,000.00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5,215.73%</w:t>
            </w:r>
          </w:p>
        </w:tc>
      </w:tr>
    </w:tbl>
    <w:p>
      <w:pPr>
        <w:pStyle w:val="BodyText"/>
        <w:spacing w:line="240" w:lineRule="auto" w:before="51"/>
        <w:ind w:left="154" w:right="0"/>
        <w:jc w:val="left"/>
      </w:pPr>
      <w:r>
        <w:rPr/>
        <w:t>报告期投资额为公司及下属子公司实施对外投资的总额。</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451"/>
        <w:gridCol w:w="420"/>
        <w:gridCol w:w="454"/>
        <w:gridCol w:w="1316"/>
        <w:gridCol w:w="370"/>
        <w:gridCol w:w="970"/>
        <w:gridCol w:w="281"/>
        <w:gridCol w:w="342"/>
        <w:gridCol w:w="346"/>
        <w:gridCol w:w="476"/>
        <w:gridCol w:w="1092"/>
        <w:gridCol w:w="1092"/>
        <w:gridCol w:w="409"/>
        <w:gridCol w:w="418"/>
        <w:gridCol w:w="948"/>
      </w:tblGrid>
      <w:tr>
        <w:trPr>
          <w:trHeight w:val="2274" w:hRule="exact"/>
        </w:trPr>
        <w:tc>
          <w:tcPr>
            <w:tcW w:w="4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39" w:right="41"/>
              <w:jc w:val="both"/>
              <w:rPr>
                <w:rFonts w:ascii="宋体" w:hAnsi="宋体" w:cs="宋体" w:eastAsia="宋体" w:hint="default"/>
                <w:sz w:val="18"/>
                <w:szCs w:val="18"/>
              </w:rPr>
            </w:pPr>
            <w:r>
              <w:rPr>
                <w:rFonts w:ascii="宋体" w:hAnsi="宋体" w:cs="宋体" w:eastAsia="宋体" w:hint="default"/>
                <w:sz w:val="18"/>
                <w:szCs w:val="18"/>
              </w:rPr>
              <w:t>被投 资公 司名 称</w:t>
            </w:r>
          </w:p>
        </w:tc>
        <w:tc>
          <w:tcPr>
            <w:tcW w:w="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3" w:right="24"/>
              <w:jc w:val="left"/>
              <w:rPr>
                <w:rFonts w:ascii="宋体" w:hAnsi="宋体" w:cs="宋体" w:eastAsia="宋体" w:hint="default"/>
                <w:sz w:val="18"/>
                <w:szCs w:val="18"/>
              </w:rPr>
            </w:pPr>
            <w:r>
              <w:rPr>
                <w:rFonts w:ascii="宋体" w:hAnsi="宋体" w:cs="宋体" w:eastAsia="宋体" w:hint="default"/>
                <w:sz w:val="18"/>
                <w:szCs w:val="18"/>
              </w:rPr>
              <w:t>主要 业务</w:t>
            </w:r>
          </w:p>
        </w:tc>
        <w:tc>
          <w:tcPr>
            <w:tcW w:w="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41" w:right="41"/>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投资金额</w:t>
            </w:r>
          </w:p>
        </w:tc>
        <w:tc>
          <w:tcPr>
            <w:tcW w:w="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90" w:right="89"/>
              <w:jc w:val="both"/>
              <w:rPr>
                <w:rFonts w:ascii="宋体" w:hAnsi="宋体" w:cs="宋体" w:eastAsia="宋体" w:hint="default"/>
                <w:sz w:val="18"/>
                <w:szCs w:val="18"/>
              </w:rPr>
            </w:pPr>
            <w:r>
              <w:rPr>
                <w:rFonts w:ascii="宋体" w:hAnsi="宋体" w:cs="宋体" w:eastAsia="宋体" w:hint="default"/>
                <w:sz w:val="18"/>
                <w:szCs w:val="18"/>
              </w:rPr>
              <w:t>持 股 比 例</w:t>
            </w:r>
          </w:p>
        </w:tc>
        <w:tc>
          <w:tcPr>
            <w:tcW w:w="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资金来源</w:t>
            </w:r>
          </w:p>
        </w:tc>
        <w:tc>
          <w:tcPr>
            <w:tcW w:w="2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44" w:right="44"/>
              <w:jc w:val="both"/>
              <w:rPr>
                <w:rFonts w:ascii="宋体" w:hAnsi="宋体" w:cs="宋体" w:eastAsia="宋体" w:hint="default"/>
                <w:sz w:val="18"/>
                <w:szCs w:val="18"/>
              </w:rPr>
            </w:pPr>
            <w:r>
              <w:rPr>
                <w:rFonts w:ascii="宋体" w:hAnsi="宋体" w:cs="宋体" w:eastAsia="宋体" w:hint="default"/>
                <w:sz w:val="18"/>
                <w:szCs w:val="18"/>
              </w:rPr>
              <w:t>合 作 方</w:t>
            </w:r>
          </w:p>
        </w:tc>
        <w:tc>
          <w:tcPr>
            <w:tcW w:w="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75" w:right="74"/>
              <w:jc w:val="both"/>
              <w:rPr>
                <w:rFonts w:ascii="宋体" w:hAnsi="宋体" w:cs="宋体" w:eastAsia="宋体" w:hint="default"/>
                <w:sz w:val="18"/>
                <w:szCs w:val="18"/>
              </w:rPr>
            </w:pPr>
            <w:r>
              <w:rPr>
                <w:rFonts w:ascii="宋体" w:hAnsi="宋体" w:cs="宋体" w:eastAsia="宋体" w:hint="default"/>
                <w:sz w:val="18"/>
                <w:szCs w:val="18"/>
              </w:rPr>
              <w:t>投 资 期 限</w:t>
            </w:r>
          </w:p>
        </w:tc>
        <w:tc>
          <w:tcPr>
            <w:tcW w:w="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78" w:right="77"/>
              <w:jc w:val="both"/>
              <w:rPr>
                <w:rFonts w:ascii="宋体" w:hAnsi="宋体" w:cs="宋体" w:eastAsia="宋体" w:hint="default"/>
                <w:sz w:val="18"/>
                <w:szCs w:val="18"/>
              </w:rPr>
            </w:pPr>
            <w:r>
              <w:rPr>
                <w:rFonts w:ascii="宋体" w:hAnsi="宋体" w:cs="宋体" w:eastAsia="宋体" w:hint="default"/>
                <w:sz w:val="18"/>
                <w:szCs w:val="18"/>
              </w:rPr>
              <w:t>产 品 类 型</w:t>
            </w:r>
          </w:p>
        </w:tc>
        <w:tc>
          <w:tcPr>
            <w:tcW w:w="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 w:right="53"/>
              <w:jc w:val="both"/>
              <w:rPr>
                <w:rFonts w:ascii="宋体" w:hAnsi="宋体" w:cs="宋体" w:eastAsia="宋体" w:hint="default"/>
                <w:sz w:val="18"/>
                <w:szCs w:val="18"/>
              </w:rPr>
            </w:pPr>
            <w:r>
              <w:rPr>
                <w:rFonts w:ascii="宋体" w:hAnsi="宋体" w:cs="宋体" w:eastAsia="宋体" w:hint="default"/>
                <w:sz w:val="18"/>
                <w:szCs w:val="18"/>
              </w:rPr>
              <w:t>截至 资产 负债 表日 的进 展情 况</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预计收益</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451" w:right="89" w:hanging="360"/>
              <w:jc w:val="left"/>
              <w:rPr>
                <w:rFonts w:ascii="宋体" w:hAnsi="宋体" w:cs="宋体" w:eastAsia="宋体" w:hint="default"/>
                <w:sz w:val="18"/>
                <w:szCs w:val="18"/>
              </w:rPr>
            </w:pPr>
            <w:r>
              <w:rPr>
                <w:rFonts w:ascii="宋体" w:hAnsi="宋体" w:cs="宋体" w:eastAsia="宋体" w:hint="default"/>
                <w:sz w:val="18"/>
                <w:szCs w:val="18"/>
              </w:rPr>
              <w:t>本期投资盈 亏</w:t>
            </w:r>
          </w:p>
        </w:tc>
        <w:tc>
          <w:tcPr>
            <w:tcW w:w="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110" w:right="107"/>
              <w:jc w:val="both"/>
              <w:rPr>
                <w:rFonts w:ascii="宋体" w:hAnsi="宋体" w:cs="宋体" w:eastAsia="宋体" w:hint="default"/>
                <w:sz w:val="18"/>
                <w:szCs w:val="18"/>
              </w:rPr>
            </w:pPr>
            <w:r>
              <w:rPr>
                <w:rFonts w:ascii="宋体" w:hAnsi="宋体" w:cs="宋体" w:eastAsia="宋体" w:hint="default"/>
                <w:sz w:val="18"/>
                <w:szCs w:val="18"/>
              </w:rPr>
              <w:t>是 否 涉 诉</w:t>
            </w:r>
          </w:p>
        </w:tc>
        <w:tc>
          <w:tcPr>
            <w:tcW w:w="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披露 日期</w:t>
            </w:r>
          </w:p>
          <w:p>
            <w:pPr>
              <w:pStyle w:val="TableParagraph"/>
              <w:spacing w:line="319" w:lineRule="auto" w:before="19"/>
              <w:ind w:left="22" w:right="23"/>
              <w:jc w:val="left"/>
              <w:rPr>
                <w:rFonts w:ascii="宋体" w:hAnsi="宋体" w:cs="宋体" w:eastAsia="宋体" w:hint="default"/>
                <w:sz w:val="18"/>
                <w:szCs w:val="18"/>
              </w:rPr>
            </w:pPr>
            <w:r>
              <w:rPr>
                <w:rFonts w:ascii="宋体" w:hAnsi="宋体" w:cs="宋体" w:eastAsia="宋体" w:hint="default"/>
                <w:sz w:val="18"/>
                <w:szCs w:val="18"/>
              </w:rPr>
              <w:t>（如 有）</w:t>
            </w:r>
          </w:p>
        </w:tc>
        <w:tc>
          <w:tcPr>
            <w:tcW w:w="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07" w:right="0"/>
              <w:jc w:val="left"/>
              <w:rPr>
                <w:rFonts w:ascii="宋体" w:hAnsi="宋体" w:cs="宋体" w:eastAsia="宋体" w:hint="default"/>
                <w:sz w:val="18"/>
                <w:szCs w:val="18"/>
              </w:rPr>
            </w:pPr>
            <w:r>
              <w:rPr>
                <w:rFonts w:ascii="宋体" w:hAnsi="宋体" w:cs="宋体" w:eastAsia="宋体" w:hint="default"/>
                <w:sz w:val="18"/>
                <w:szCs w:val="18"/>
              </w:rPr>
              <w:t>披露索引</w:t>
            </w:r>
          </w:p>
          <w:p>
            <w:pPr>
              <w:pStyle w:val="TableParagraph"/>
              <w:spacing w:line="240" w:lineRule="auto" w:before="77"/>
              <w:ind w:left="107" w:right="0"/>
              <w:jc w:val="left"/>
              <w:rPr>
                <w:rFonts w:ascii="宋体" w:hAnsi="宋体" w:cs="宋体" w:eastAsia="宋体" w:hint="default"/>
                <w:sz w:val="18"/>
                <w:szCs w:val="18"/>
              </w:rPr>
            </w:pPr>
            <w:r>
              <w:rPr>
                <w:rFonts w:ascii="宋体" w:hAnsi="宋体" w:cs="宋体" w:eastAsia="宋体" w:hint="default"/>
                <w:sz w:val="18"/>
                <w:szCs w:val="18"/>
              </w:rPr>
              <w:t>（如有）</w:t>
            </w:r>
          </w:p>
        </w:tc>
      </w:tr>
      <w:tr>
        <w:trPr>
          <w:trHeight w:val="5394" w:hRule="exact"/>
        </w:trPr>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19"/>
              <w:ind w:left="22" w:right="56"/>
              <w:jc w:val="both"/>
              <w:rPr>
                <w:rFonts w:ascii="宋体" w:hAnsi="宋体" w:cs="宋体" w:eastAsia="宋体" w:hint="default"/>
                <w:sz w:val="18"/>
                <w:szCs w:val="18"/>
              </w:rPr>
            </w:pPr>
            <w:r>
              <w:rPr>
                <w:rFonts w:ascii="宋体" w:hAnsi="宋体" w:cs="宋体" w:eastAsia="宋体" w:hint="default"/>
                <w:sz w:val="18"/>
                <w:szCs w:val="18"/>
              </w:rPr>
              <w:t>北京 亿起 联科 技有 限公 司</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22" w:right="27"/>
              <w:jc w:val="both"/>
              <w:rPr>
                <w:rFonts w:ascii="宋体" w:hAnsi="宋体" w:cs="宋体" w:eastAsia="宋体" w:hint="default"/>
                <w:sz w:val="18"/>
                <w:szCs w:val="18"/>
              </w:rPr>
            </w:pPr>
            <w:r>
              <w:rPr>
                <w:rFonts w:ascii="宋体" w:hAnsi="宋体" w:cs="宋体" w:eastAsia="宋体" w:hint="default"/>
                <w:sz w:val="18"/>
                <w:szCs w:val="18"/>
              </w:rPr>
              <w:t>移动 互联 网广 告、 游戏 发行 等业 务</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36"/>
              <w:jc w:val="center"/>
              <w:rPr>
                <w:rFonts w:ascii="宋体" w:hAnsi="宋体" w:cs="宋体" w:eastAsia="宋体" w:hint="default"/>
                <w:sz w:val="18"/>
                <w:szCs w:val="18"/>
              </w:rPr>
            </w:pPr>
            <w:r>
              <w:rPr>
                <w:rFonts w:ascii="宋体" w:hAnsi="宋体" w:cs="宋体" w:eastAsia="宋体" w:hint="default"/>
                <w:sz w:val="18"/>
                <w:szCs w:val="18"/>
              </w:rPr>
              <w:t>收购</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34" w:right="0"/>
              <w:jc w:val="center"/>
              <w:rPr>
                <w:rFonts w:ascii="Times New Roman" w:hAnsi="Times New Roman" w:cs="Times New Roman" w:eastAsia="Times New Roman" w:hint="default"/>
                <w:sz w:val="18"/>
                <w:szCs w:val="18"/>
              </w:rPr>
            </w:pPr>
            <w:r>
              <w:rPr>
                <w:rFonts w:ascii="Times New Roman"/>
                <w:sz w:val="18"/>
              </w:rPr>
              <w:t>480,000,000.00</w:t>
            </w:r>
          </w:p>
        </w:tc>
        <w:tc>
          <w:tcPr>
            <w:tcW w:w="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44" w:right="0"/>
              <w:jc w:val="center"/>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6"/>
              <w:ind w:left="16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22" w:right="35"/>
              <w:jc w:val="left"/>
              <w:rPr>
                <w:rFonts w:ascii="宋体" w:hAnsi="宋体" w:cs="宋体" w:eastAsia="宋体" w:hint="default"/>
                <w:sz w:val="18"/>
                <w:szCs w:val="18"/>
              </w:rPr>
            </w:pPr>
            <w:r>
              <w:rPr>
                <w:rFonts w:ascii="宋体" w:hAnsi="宋体" w:cs="宋体" w:eastAsia="宋体" w:hint="default"/>
                <w:sz w:val="18"/>
                <w:szCs w:val="18"/>
              </w:rPr>
              <w:t>股份对价部 分以发行新 股方式支 付，现金对 价部分以配 套募集资金 和自有资金 支付</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319" w:lineRule="auto"/>
              <w:ind w:left="22" w:right="127"/>
              <w:jc w:val="left"/>
              <w:rPr>
                <w:rFonts w:ascii="宋体" w:hAnsi="宋体" w:cs="宋体" w:eastAsia="宋体" w:hint="default"/>
                <w:sz w:val="18"/>
                <w:szCs w:val="18"/>
              </w:rPr>
            </w:pPr>
            <w:r>
              <w:rPr>
                <w:rFonts w:ascii="宋体" w:hAnsi="宋体" w:cs="宋体" w:eastAsia="宋体" w:hint="default"/>
                <w:sz w:val="18"/>
                <w:szCs w:val="18"/>
              </w:rPr>
              <w:t>长 期</w:t>
            </w:r>
          </w:p>
        </w:tc>
        <w:tc>
          <w:tcPr>
            <w:tcW w:w="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9" w:lineRule="auto"/>
              <w:ind w:left="23" w:right="131"/>
              <w:jc w:val="both"/>
              <w:rPr>
                <w:rFonts w:ascii="宋体" w:hAnsi="宋体" w:cs="宋体" w:eastAsia="宋体" w:hint="default"/>
                <w:sz w:val="18"/>
                <w:szCs w:val="18"/>
              </w:rPr>
            </w:pPr>
            <w:r>
              <w:rPr>
                <w:rFonts w:ascii="宋体" w:hAnsi="宋体" w:cs="宋体" w:eastAsia="宋体" w:hint="default"/>
                <w:sz w:val="18"/>
                <w:szCs w:val="18"/>
              </w:rPr>
              <w:t>股 权 投 资</w:t>
            </w:r>
          </w:p>
        </w:tc>
        <w:tc>
          <w:tcPr>
            <w:tcW w:w="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319" w:lineRule="auto"/>
              <w:ind w:left="22" w:right="83"/>
              <w:jc w:val="both"/>
              <w:rPr>
                <w:rFonts w:ascii="宋体" w:hAnsi="宋体" w:cs="宋体" w:eastAsia="宋体" w:hint="default"/>
                <w:sz w:val="18"/>
                <w:szCs w:val="18"/>
              </w:rPr>
            </w:pPr>
            <w:r>
              <w:rPr>
                <w:rFonts w:ascii="宋体" w:hAnsi="宋体" w:cs="宋体" w:eastAsia="宋体" w:hint="default"/>
                <w:sz w:val="18"/>
                <w:szCs w:val="18"/>
              </w:rPr>
              <w:t>已完 成资 产交 割及 过户</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50,000,000.00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50,435,331.82</w:t>
            </w:r>
          </w:p>
        </w:tc>
        <w:tc>
          <w:tcPr>
            <w:tcW w:w="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22"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年</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01</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07</w:t>
            </w:r>
          </w:p>
          <w:p>
            <w:pPr>
              <w:pStyle w:val="TableParagraph"/>
              <w:spacing w:line="240" w:lineRule="auto" w:before="6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关于发行 股份及支 付现金购 买资产并 募集配套 资金暨关 联交易之 标的资产 过户完成 </w:t>
            </w:r>
            <w:r>
              <w:rPr>
                <w:rFonts w:ascii="宋体" w:hAnsi="宋体" w:cs="宋体" w:eastAsia="宋体" w:hint="default"/>
                <w:spacing w:val="-2"/>
                <w:sz w:val="18"/>
                <w:szCs w:val="18"/>
              </w:rPr>
              <w:t>的公告（公</w:t>
            </w:r>
            <w:r>
              <w:rPr>
                <w:rFonts w:ascii="宋体" w:hAnsi="宋体" w:cs="宋体" w:eastAsia="宋体" w:hint="default"/>
                <w:sz w:val="18"/>
                <w:szCs w:val="18"/>
              </w:rPr>
              <w:t> 告编号 </w:t>
            </w:r>
            <w:r>
              <w:rPr>
                <w:rFonts w:ascii="Times New Roman" w:hAnsi="Times New Roman" w:cs="Times New Roman" w:eastAsia="Times New Roman" w:hint="default"/>
                <w:sz w:val="18"/>
                <w:szCs w:val="18"/>
              </w:rPr>
              <w:t>2015-001</w:t>
            </w:r>
            <w:r>
              <w:rPr>
                <w:rFonts w:ascii="宋体" w:hAnsi="宋体" w:cs="宋体" w:eastAsia="宋体" w:hint="default"/>
                <w:sz w:val="18"/>
                <w:szCs w:val="18"/>
              </w:rPr>
              <w:t>）</w:t>
            </w:r>
          </w:p>
          <w:p>
            <w:pPr>
              <w:pStyle w:val="TableParagraph"/>
              <w:spacing w:line="316" w:lineRule="auto"/>
              <w:ind w:left="22" w:right="30"/>
              <w:jc w:val="left"/>
              <w:rPr>
                <w:rFonts w:ascii="宋体" w:hAnsi="宋体" w:cs="宋体" w:eastAsia="宋体" w:hint="default"/>
                <w:sz w:val="18"/>
                <w:szCs w:val="18"/>
              </w:rPr>
            </w:pPr>
            <w:r>
              <w:rPr>
                <w:rFonts w:ascii="宋体" w:hAnsi="宋体" w:cs="宋体" w:eastAsia="宋体" w:hint="default"/>
                <w:sz w:val="18"/>
                <w:szCs w:val="18"/>
              </w:rPr>
              <w:t>披露于中 巨潮资讯 网</w:t>
            </w:r>
          </w:p>
          <w:p>
            <w:pPr>
              <w:pStyle w:val="TableParagraph"/>
              <w:spacing w:line="240" w:lineRule="auto" w:before="58"/>
              <w:ind w:left="22" w:right="0"/>
              <w:jc w:val="left"/>
              <w:rPr>
                <w:rFonts w:ascii="Times New Roman" w:hAnsi="Times New Roman" w:cs="Times New Roman" w:eastAsia="Times New Roman" w:hint="default"/>
                <w:sz w:val="18"/>
                <w:szCs w:val="18"/>
              </w:rPr>
            </w:pPr>
            <w:r>
              <w:rPr>
                <w:rFonts w:ascii="Times New Roman"/>
                <w:sz w:val="18"/>
              </w:rPr>
              <w:t>www.cninfo</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.com.cn</w:t>
            </w:r>
          </w:p>
        </w:tc>
      </w:tr>
      <w:tr>
        <w:trPr>
          <w:trHeight w:val="1650" w:hRule="exact"/>
        </w:trPr>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56"/>
              <w:jc w:val="both"/>
              <w:rPr>
                <w:rFonts w:ascii="宋体" w:hAnsi="宋体" w:cs="宋体" w:eastAsia="宋体" w:hint="default"/>
                <w:sz w:val="18"/>
                <w:szCs w:val="18"/>
              </w:rPr>
            </w:pPr>
            <w:r>
              <w:rPr>
                <w:rFonts w:ascii="宋体" w:hAnsi="宋体" w:cs="宋体" w:eastAsia="宋体" w:hint="default"/>
                <w:sz w:val="18"/>
                <w:szCs w:val="18"/>
              </w:rPr>
              <w:t>北京 华夏 电通 科技 有限</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27"/>
              <w:jc w:val="both"/>
              <w:rPr>
                <w:rFonts w:ascii="宋体" w:hAnsi="宋体" w:cs="宋体" w:eastAsia="宋体" w:hint="default"/>
                <w:sz w:val="18"/>
                <w:szCs w:val="18"/>
              </w:rPr>
            </w:pPr>
            <w:r>
              <w:rPr>
                <w:rFonts w:ascii="宋体" w:hAnsi="宋体" w:cs="宋体" w:eastAsia="宋体" w:hint="default"/>
                <w:sz w:val="18"/>
                <w:szCs w:val="18"/>
              </w:rPr>
              <w:t>提供 专业 的视 讯应 用产</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36"/>
              <w:jc w:val="center"/>
              <w:rPr>
                <w:rFonts w:ascii="宋体" w:hAnsi="宋体" w:cs="宋体" w:eastAsia="宋体" w:hint="default"/>
                <w:sz w:val="18"/>
                <w:szCs w:val="18"/>
              </w:rPr>
            </w:pPr>
            <w:r>
              <w:rPr>
                <w:rFonts w:ascii="宋体" w:hAnsi="宋体" w:cs="宋体" w:eastAsia="宋体" w:hint="default"/>
                <w:sz w:val="18"/>
                <w:szCs w:val="18"/>
              </w:rPr>
              <w:t>收购</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34" w:right="0"/>
              <w:jc w:val="center"/>
              <w:rPr>
                <w:rFonts w:ascii="Times New Roman" w:hAnsi="Times New Roman" w:cs="Times New Roman" w:eastAsia="Times New Roman" w:hint="default"/>
                <w:sz w:val="18"/>
                <w:szCs w:val="18"/>
              </w:rPr>
            </w:pPr>
            <w:r>
              <w:rPr>
                <w:rFonts w:ascii="Times New Roman"/>
                <w:sz w:val="18"/>
              </w:rPr>
              <w:t>600,000,000.00</w:t>
            </w:r>
          </w:p>
        </w:tc>
        <w:tc>
          <w:tcPr>
            <w:tcW w:w="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4"/>
              <w:ind w:left="112"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6"/>
              <w:ind w:left="16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35"/>
              <w:jc w:val="left"/>
              <w:rPr>
                <w:rFonts w:ascii="宋体" w:hAnsi="宋体" w:cs="宋体" w:eastAsia="宋体" w:hint="default"/>
                <w:sz w:val="18"/>
                <w:szCs w:val="18"/>
              </w:rPr>
            </w:pPr>
            <w:r>
              <w:rPr>
                <w:rFonts w:ascii="宋体" w:hAnsi="宋体" w:cs="宋体" w:eastAsia="宋体" w:hint="default"/>
                <w:sz w:val="18"/>
                <w:szCs w:val="18"/>
              </w:rPr>
              <w:t>股份对价部 分以发行新 股方式支 付，现金对 价部分以配</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长 期</w:t>
            </w:r>
          </w:p>
        </w:tc>
        <w:tc>
          <w:tcPr>
            <w:tcW w:w="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131"/>
              <w:jc w:val="both"/>
              <w:rPr>
                <w:rFonts w:ascii="宋体" w:hAnsi="宋体" w:cs="宋体" w:eastAsia="宋体" w:hint="default"/>
                <w:sz w:val="18"/>
                <w:szCs w:val="18"/>
              </w:rPr>
            </w:pPr>
            <w:r>
              <w:rPr>
                <w:rFonts w:ascii="宋体" w:hAnsi="宋体" w:cs="宋体" w:eastAsia="宋体" w:hint="default"/>
                <w:sz w:val="18"/>
                <w:szCs w:val="18"/>
              </w:rPr>
              <w:t>股 权 投 资</w:t>
            </w:r>
          </w:p>
        </w:tc>
        <w:tc>
          <w:tcPr>
            <w:tcW w:w="4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3"/>
              <w:jc w:val="both"/>
              <w:rPr>
                <w:rFonts w:ascii="宋体" w:hAnsi="宋体" w:cs="宋体" w:eastAsia="宋体" w:hint="default"/>
                <w:sz w:val="18"/>
                <w:szCs w:val="18"/>
              </w:rPr>
            </w:pPr>
            <w:r>
              <w:rPr>
                <w:rFonts w:ascii="宋体" w:hAnsi="宋体" w:cs="宋体" w:eastAsia="宋体" w:hint="default"/>
                <w:sz w:val="18"/>
                <w:szCs w:val="18"/>
              </w:rPr>
              <w:t>已完 成资 产交 割及 过户</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40,000,000.00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45,245,294.01</w:t>
            </w:r>
          </w:p>
        </w:tc>
        <w:tc>
          <w:tcPr>
            <w:tcW w:w="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12</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93"/>
              <w:jc w:val="both"/>
              <w:rPr>
                <w:rFonts w:ascii="宋体" w:hAnsi="宋体" w:cs="宋体" w:eastAsia="宋体" w:hint="default"/>
                <w:sz w:val="18"/>
                <w:szCs w:val="18"/>
              </w:rPr>
            </w:pPr>
            <w:r>
              <w:rPr>
                <w:rFonts w:ascii="宋体" w:hAnsi="宋体" w:cs="宋体" w:eastAsia="宋体" w:hint="default"/>
                <w:sz w:val="18"/>
                <w:szCs w:val="18"/>
              </w:rPr>
              <w:t>关于发行 股份及支 付现金购 买资产并 募集配套</w:t>
            </w:r>
          </w:p>
        </w:tc>
      </w:tr>
    </w:tbl>
    <w:p>
      <w:pPr>
        <w:spacing w:after="0" w:line="316"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21" w:type="dxa"/>
        <w:tblLayout w:type="fixed"/>
        <w:tblCellMar>
          <w:top w:w="0" w:type="dxa"/>
          <w:left w:w="0" w:type="dxa"/>
          <w:bottom w:w="0" w:type="dxa"/>
          <w:right w:w="0" w:type="dxa"/>
        </w:tblCellMar>
        <w:tblLook w:val="01E0"/>
      </w:tblPr>
      <w:tblGrid>
        <w:gridCol w:w="451"/>
        <w:gridCol w:w="420"/>
        <w:gridCol w:w="454"/>
        <w:gridCol w:w="1316"/>
        <w:gridCol w:w="370"/>
        <w:gridCol w:w="970"/>
        <w:gridCol w:w="281"/>
        <w:gridCol w:w="342"/>
        <w:gridCol w:w="346"/>
        <w:gridCol w:w="476"/>
        <w:gridCol w:w="1092"/>
        <w:gridCol w:w="1092"/>
        <w:gridCol w:w="409"/>
        <w:gridCol w:w="418"/>
        <w:gridCol w:w="948"/>
      </w:tblGrid>
      <w:tr>
        <w:trPr>
          <w:trHeight w:val="3483" w:hRule="exact"/>
        </w:trPr>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5"/>
              <w:jc w:val="center"/>
              <w:rPr>
                <w:rFonts w:ascii="宋体" w:hAnsi="宋体" w:cs="宋体" w:eastAsia="宋体" w:hint="default"/>
                <w:sz w:val="18"/>
                <w:szCs w:val="18"/>
              </w:rPr>
            </w:pPr>
            <w:r>
              <w:rPr>
                <w:rFonts w:ascii="宋体" w:hAnsi="宋体" w:cs="宋体" w:eastAsia="宋体" w:hint="default"/>
                <w:sz w:val="18"/>
                <w:szCs w:val="18"/>
              </w:rPr>
              <w:t>公司</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7"/>
              <w:jc w:val="both"/>
              <w:rPr>
                <w:rFonts w:ascii="宋体" w:hAnsi="宋体" w:cs="宋体" w:eastAsia="宋体" w:hint="default"/>
                <w:sz w:val="18"/>
                <w:szCs w:val="18"/>
              </w:rPr>
            </w:pPr>
            <w:r>
              <w:rPr>
                <w:rFonts w:ascii="宋体" w:hAnsi="宋体" w:cs="宋体" w:eastAsia="宋体" w:hint="default"/>
                <w:sz w:val="18"/>
                <w:szCs w:val="18"/>
              </w:rPr>
              <w:t>品及 解决 方案</w:t>
            </w:r>
          </w:p>
        </w:tc>
        <w:tc>
          <w:tcPr>
            <w:tcW w:w="45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35"/>
              <w:jc w:val="both"/>
              <w:rPr>
                <w:rFonts w:ascii="宋体" w:hAnsi="宋体" w:cs="宋体" w:eastAsia="宋体" w:hint="default"/>
                <w:sz w:val="18"/>
                <w:szCs w:val="18"/>
              </w:rPr>
            </w:pPr>
            <w:r>
              <w:rPr>
                <w:rFonts w:ascii="宋体" w:hAnsi="宋体" w:cs="宋体" w:eastAsia="宋体" w:hint="default"/>
                <w:sz w:val="18"/>
                <w:szCs w:val="18"/>
              </w:rPr>
              <w:t>套募集资金 和自有资金 支付</w:t>
            </w:r>
          </w:p>
        </w:tc>
        <w:tc>
          <w:tcPr>
            <w:tcW w:w="281" w:type="dxa"/>
            <w:tcBorders>
              <w:top w:val="single" w:sz="4" w:space="0" w:color="000000"/>
              <w:left w:val="single" w:sz="4" w:space="0" w:color="000000"/>
              <w:bottom w:val="single" w:sz="4" w:space="0" w:color="000000"/>
              <w:right w:val="single" w:sz="4" w:space="0" w:color="000000"/>
            </w:tcBorders>
          </w:tcPr>
          <w:p>
            <w:pPr/>
          </w:p>
        </w:tc>
        <w:tc>
          <w:tcPr>
            <w:tcW w:w="342"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409"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3"/>
              <w:jc w:val="right"/>
              <w:rPr>
                <w:rFonts w:ascii="宋体" w:hAnsi="宋体" w:cs="宋体" w:eastAsia="宋体" w:hint="default"/>
                <w:sz w:val="18"/>
                <w:szCs w:val="18"/>
              </w:rPr>
            </w:pPr>
            <w:r>
              <w:rPr>
                <w:rFonts w:ascii="宋体" w:hAnsi="宋体" w:cs="宋体" w:eastAsia="宋体" w:hint="default"/>
                <w:sz w:val="18"/>
                <w:szCs w:val="18"/>
              </w:rPr>
              <w:t>日</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资金暨关 联交易之 标的资产 过户完成 </w:t>
            </w:r>
            <w:r>
              <w:rPr>
                <w:rFonts w:ascii="宋体" w:hAnsi="宋体" w:cs="宋体" w:eastAsia="宋体" w:hint="default"/>
                <w:spacing w:val="-2"/>
                <w:sz w:val="18"/>
                <w:szCs w:val="18"/>
              </w:rPr>
              <w:t>的公告（公</w:t>
            </w:r>
            <w:r>
              <w:rPr>
                <w:rFonts w:ascii="宋体" w:hAnsi="宋体" w:cs="宋体" w:eastAsia="宋体" w:hint="default"/>
                <w:sz w:val="18"/>
                <w:szCs w:val="18"/>
              </w:rPr>
              <w:t> 告编号 </w:t>
            </w:r>
            <w:r>
              <w:rPr>
                <w:rFonts w:ascii="Times New Roman" w:hAnsi="Times New Roman" w:cs="Times New Roman" w:eastAsia="Times New Roman" w:hint="default"/>
                <w:sz w:val="18"/>
                <w:szCs w:val="18"/>
              </w:rPr>
              <w:t>2015-108</w:t>
            </w:r>
            <w:r>
              <w:rPr>
                <w:rFonts w:ascii="宋体" w:hAnsi="宋体" w:cs="宋体" w:eastAsia="宋体" w:hint="default"/>
                <w:sz w:val="18"/>
                <w:szCs w:val="18"/>
              </w:rPr>
              <w:t>）</w:t>
            </w:r>
          </w:p>
          <w:p>
            <w:pPr>
              <w:pStyle w:val="TableParagraph"/>
              <w:spacing w:line="338" w:lineRule="auto"/>
              <w:ind w:left="22" w:right="30"/>
              <w:jc w:val="left"/>
              <w:rPr>
                <w:rFonts w:ascii="Times New Roman" w:hAnsi="Times New Roman" w:cs="Times New Roman" w:eastAsia="Times New Roman" w:hint="default"/>
                <w:sz w:val="18"/>
                <w:szCs w:val="18"/>
              </w:rPr>
            </w:pPr>
            <w:r>
              <w:rPr>
                <w:rFonts w:ascii="宋体" w:hAnsi="宋体" w:cs="宋体" w:eastAsia="宋体" w:hint="default"/>
                <w:sz w:val="18"/>
                <w:szCs w:val="18"/>
              </w:rPr>
              <w:t>披露于巨 潮资讯网 </w:t>
            </w:r>
            <w:r>
              <w:rPr>
                <w:rFonts w:ascii="Times New Roman" w:hAnsi="Times New Roman" w:cs="Times New Roman" w:eastAsia="Times New Roman" w:hint="default"/>
                <w:spacing w:val="-2"/>
                <w:sz w:val="18"/>
                <w:szCs w:val="18"/>
              </w:rPr>
              <w:t>www.cninfo</w:t>
            </w:r>
          </w:p>
          <w:p>
            <w:pPr>
              <w:pStyle w:val="TableParagraph"/>
              <w:spacing w:line="240" w:lineRule="auto" w:before="24"/>
              <w:ind w:left="22" w:right="0"/>
              <w:jc w:val="left"/>
              <w:rPr>
                <w:rFonts w:ascii="Times New Roman" w:hAnsi="Times New Roman" w:cs="Times New Roman" w:eastAsia="Times New Roman" w:hint="default"/>
                <w:sz w:val="18"/>
                <w:szCs w:val="18"/>
              </w:rPr>
            </w:pPr>
            <w:r>
              <w:rPr>
                <w:rFonts w:ascii="Times New Roman"/>
                <w:sz w:val="18"/>
              </w:rPr>
              <w:t>.com.cn</w:t>
            </w:r>
          </w:p>
        </w:tc>
      </w:tr>
      <w:tr>
        <w:trPr>
          <w:trHeight w:val="402" w:hRule="exact"/>
        </w:trPr>
        <w:tc>
          <w:tcPr>
            <w:tcW w:w="4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center"/>
              <w:rPr>
                <w:rFonts w:ascii="宋体" w:hAnsi="宋体" w:cs="宋体" w:eastAsia="宋体" w:hint="default"/>
                <w:sz w:val="18"/>
                <w:szCs w:val="18"/>
              </w:rPr>
            </w:pPr>
            <w:r>
              <w:rPr>
                <w:rFonts w:ascii="宋体" w:hAnsi="宋体" w:cs="宋体" w:eastAsia="宋体" w:hint="default"/>
                <w:sz w:val="18"/>
                <w:szCs w:val="18"/>
              </w:rPr>
              <w:t>合计</w:t>
            </w:r>
          </w:p>
        </w:tc>
        <w:tc>
          <w:tcPr>
            <w:tcW w:w="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16"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1,080,000,000.00</w:t>
            </w:r>
          </w:p>
        </w:tc>
        <w:tc>
          <w:tcPr>
            <w:tcW w:w="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0" w:right="0"/>
              <w:jc w:val="left"/>
              <w:rPr>
                <w:rFonts w:ascii="Times New Roman" w:hAnsi="Times New Roman" w:cs="Times New Roman" w:eastAsia="Times New Roman" w:hint="default"/>
                <w:sz w:val="18"/>
                <w:szCs w:val="18"/>
              </w:rPr>
            </w:pPr>
            <w:r>
              <w:rPr>
                <w:rFonts w:ascii="Times New Roman"/>
                <w:sz w:val="18"/>
              </w:rPr>
              <w:t>--</w:t>
            </w:r>
          </w:p>
        </w:tc>
        <w:tc>
          <w:tcPr>
            <w:tcW w:w="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w:t>
            </w:r>
          </w:p>
        </w:tc>
        <w:tc>
          <w:tcPr>
            <w:tcW w:w="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w:t>
            </w:r>
          </w:p>
        </w:tc>
        <w:tc>
          <w:tcPr>
            <w:tcW w:w="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8" w:right="0"/>
              <w:jc w:val="left"/>
              <w:rPr>
                <w:rFonts w:ascii="Times New Roman" w:hAnsi="Times New Roman" w:cs="Times New Roman" w:eastAsia="Times New Roman" w:hint="default"/>
                <w:sz w:val="18"/>
                <w:szCs w:val="18"/>
              </w:rPr>
            </w:pPr>
            <w:r>
              <w:rPr>
                <w:rFonts w:ascii="Times New Roman"/>
                <w:sz w:val="18"/>
              </w:rPr>
              <w:t>--</w:t>
            </w:r>
          </w:p>
        </w:tc>
        <w:tc>
          <w:tcPr>
            <w:tcW w:w="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90,000,000.00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95,680,625.83</w:t>
            </w:r>
          </w:p>
        </w:tc>
        <w:tc>
          <w:tcPr>
            <w:tcW w:w="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43"/>
              <w:jc w:val="right"/>
              <w:rPr>
                <w:rFonts w:ascii="Times New Roman" w:hAnsi="Times New Roman" w:cs="Times New Roman" w:eastAsia="Times New Roman" w:hint="default"/>
                <w:sz w:val="18"/>
                <w:szCs w:val="18"/>
              </w:rPr>
            </w:pPr>
            <w:r>
              <w:rPr>
                <w:rFonts w:ascii="Times New Roman"/>
                <w:sz w:val="18"/>
              </w:rPr>
              <w:t>--</w:t>
            </w:r>
          </w:p>
        </w:tc>
        <w:tc>
          <w:tcPr>
            <w:tcW w:w="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预计收益系交易对方承诺的被投资公司</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年度净利润；本期投资盈亏系被投资公司报告期实现的净利润。</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626"/>
        <w:gridCol w:w="630"/>
        <w:gridCol w:w="630"/>
        <w:gridCol w:w="630"/>
        <w:gridCol w:w="866"/>
        <w:gridCol w:w="1091"/>
        <w:gridCol w:w="563"/>
        <w:gridCol w:w="630"/>
        <w:gridCol w:w="630"/>
        <w:gridCol w:w="630"/>
        <w:gridCol w:w="630"/>
        <w:gridCol w:w="630"/>
        <w:gridCol w:w="1508"/>
      </w:tblGrid>
      <w:tr>
        <w:trPr>
          <w:trHeight w:val="1650" w:hRule="exact"/>
        </w:trPr>
        <w:tc>
          <w:tcPr>
            <w:tcW w:w="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17" w:right="36"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0" w:right="37"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40" w:right="37"/>
              <w:jc w:val="both"/>
              <w:rPr>
                <w:rFonts w:ascii="宋体" w:hAnsi="宋体" w:cs="宋体" w:eastAsia="宋体" w:hint="default"/>
                <w:sz w:val="18"/>
                <w:szCs w:val="18"/>
              </w:rPr>
            </w:pPr>
            <w:r>
              <w:rPr>
                <w:rFonts w:ascii="宋体" w:hAnsi="宋体" w:cs="宋体" w:eastAsia="宋体" w:hint="default"/>
                <w:sz w:val="18"/>
                <w:szCs w:val="18"/>
              </w:rPr>
              <w:t>是否为 固定资 产投资</w:t>
            </w:r>
          </w:p>
        </w:tc>
        <w:tc>
          <w:tcPr>
            <w:tcW w:w="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40" w:right="37"/>
              <w:jc w:val="both"/>
              <w:rPr>
                <w:rFonts w:ascii="宋体" w:hAnsi="宋体" w:cs="宋体" w:eastAsia="宋体" w:hint="default"/>
                <w:sz w:val="18"/>
                <w:szCs w:val="18"/>
              </w:rPr>
            </w:pPr>
            <w:r>
              <w:rPr>
                <w:rFonts w:ascii="宋体" w:hAnsi="宋体" w:cs="宋体" w:eastAsia="宋体" w:hint="default"/>
                <w:sz w:val="18"/>
                <w:szCs w:val="18"/>
              </w:rPr>
              <w:t>投资项 目涉及 行业</w:t>
            </w: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68" w:right="66"/>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89" w:right="89"/>
              <w:jc w:val="both"/>
              <w:rPr>
                <w:rFonts w:ascii="宋体" w:hAnsi="宋体" w:cs="宋体" w:eastAsia="宋体" w:hint="default"/>
                <w:sz w:val="18"/>
                <w:szCs w:val="18"/>
              </w:rPr>
            </w:pPr>
            <w:r>
              <w:rPr>
                <w:rFonts w:ascii="宋体" w:hAnsi="宋体" w:cs="宋体" w:eastAsia="宋体" w:hint="default"/>
                <w:sz w:val="18"/>
                <w:szCs w:val="18"/>
              </w:rPr>
              <w:t>截至报告期 末累计实际 投入金额</w:t>
            </w:r>
          </w:p>
        </w:tc>
        <w:tc>
          <w:tcPr>
            <w:tcW w:w="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95" w:right="95"/>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19" w:right="38" w:hanging="180"/>
              <w:jc w:val="left"/>
              <w:rPr>
                <w:rFonts w:ascii="宋体" w:hAnsi="宋体" w:cs="宋体" w:eastAsia="宋体" w:hint="default"/>
                <w:sz w:val="18"/>
                <w:szCs w:val="18"/>
              </w:rPr>
            </w:pPr>
            <w:r>
              <w:rPr>
                <w:rFonts w:ascii="宋体" w:hAnsi="宋体" w:cs="宋体" w:eastAsia="宋体" w:hint="default"/>
                <w:sz w:val="18"/>
                <w:szCs w:val="18"/>
              </w:rPr>
              <w:t>项目进 度</w:t>
            </w:r>
          </w:p>
        </w:tc>
        <w:tc>
          <w:tcPr>
            <w:tcW w:w="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19" w:right="38"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9" w:right="38"/>
              <w:jc w:val="center"/>
              <w:rPr>
                <w:rFonts w:ascii="宋体" w:hAnsi="宋体" w:cs="宋体" w:eastAsia="宋体" w:hint="default"/>
                <w:sz w:val="18"/>
                <w:szCs w:val="18"/>
              </w:rPr>
            </w:pPr>
            <w:r>
              <w:rPr>
                <w:rFonts w:ascii="宋体" w:hAnsi="宋体" w:cs="宋体" w:eastAsia="宋体" w:hint="default"/>
                <w:sz w:val="18"/>
                <w:szCs w:val="18"/>
              </w:rPr>
              <w:t>截止报 告期末 累计实 现的收 益</w:t>
            </w:r>
          </w:p>
        </w:tc>
        <w:tc>
          <w:tcPr>
            <w:tcW w:w="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9" w:right="39"/>
              <w:jc w:val="both"/>
              <w:rPr>
                <w:rFonts w:ascii="宋体" w:hAnsi="宋体" w:cs="宋体" w:eastAsia="宋体" w:hint="default"/>
                <w:sz w:val="18"/>
                <w:szCs w:val="18"/>
              </w:rPr>
            </w:pPr>
            <w:r>
              <w:rPr>
                <w:rFonts w:ascii="宋体" w:hAnsi="宋体" w:cs="宋体" w:eastAsia="宋体" w:hint="default"/>
                <w:sz w:val="18"/>
                <w:szCs w:val="18"/>
              </w:rPr>
              <w:t>未达到 计划进 度和预 计收益 的原因</w:t>
            </w:r>
          </w:p>
        </w:tc>
        <w:tc>
          <w:tcPr>
            <w:tcW w:w="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9" w:right="38"/>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1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披露索引（如有）</w:t>
            </w:r>
          </w:p>
        </w:tc>
      </w:tr>
      <w:tr>
        <w:trPr>
          <w:trHeight w:val="2274" w:hRule="exact"/>
        </w:trPr>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51"/>
              <w:jc w:val="both"/>
              <w:rPr>
                <w:rFonts w:ascii="宋体" w:hAnsi="宋体" w:cs="宋体" w:eastAsia="宋体" w:hint="default"/>
                <w:sz w:val="18"/>
                <w:szCs w:val="18"/>
              </w:rPr>
            </w:pPr>
            <w:r>
              <w:rPr>
                <w:rFonts w:ascii="宋体" w:hAnsi="宋体" w:cs="宋体" w:eastAsia="宋体" w:hint="default"/>
                <w:sz w:val="18"/>
                <w:szCs w:val="18"/>
              </w:rPr>
              <w:t>建设久 其政务 研发中 心项目</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34"/>
              <w:jc w:val="right"/>
              <w:rPr>
                <w:rFonts w:ascii="宋体" w:hAnsi="宋体" w:cs="宋体" w:eastAsia="宋体" w:hint="default"/>
                <w:sz w:val="18"/>
                <w:szCs w:val="18"/>
              </w:rPr>
            </w:pPr>
            <w:r>
              <w:rPr>
                <w:rFonts w:ascii="宋体" w:hAnsi="宋体" w:cs="宋体" w:eastAsia="宋体" w:hint="default"/>
                <w:sz w:val="18"/>
                <w:szCs w:val="18"/>
              </w:rPr>
              <w:t>自建</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3" w:right="54"/>
              <w:jc w:val="both"/>
              <w:rPr>
                <w:rFonts w:ascii="宋体" w:hAnsi="宋体" w:cs="宋体" w:eastAsia="宋体" w:hint="default"/>
                <w:sz w:val="18"/>
                <w:szCs w:val="18"/>
              </w:rPr>
            </w:pPr>
            <w:r>
              <w:rPr>
                <w:rFonts w:ascii="宋体" w:hAnsi="宋体" w:cs="宋体" w:eastAsia="宋体" w:hint="default"/>
                <w:sz w:val="18"/>
                <w:szCs w:val="18"/>
              </w:rPr>
              <w:t>软件信 息服务 业</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521,277.90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17,897,207.90</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2" w:right="168"/>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8" w:right="0"/>
              <w:jc w:val="center"/>
              <w:rPr>
                <w:rFonts w:ascii="Times New Roman" w:hAnsi="Times New Roman" w:cs="Times New Roman" w:eastAsia="Times New Roman" w:hint="default"/>
                <w:sz w:val="18"/>
                <w:szCs w:val="18"/>
              </w:rPr>
            </w:pPr>
            <w:r>
              <w:rPr>
                <w:rFonts w:ascii="Times New Roman"/>
                <w:sz w:val="18"/>
              </w:rPr>
              <w:t>8.12%</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32"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32"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33"/>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5"/>
              <w:jc w:val="both"/>
              <w:rPr>
                <w:rFonts w:ascii="宋体" w:hAnsi="宋体" w:cs="宋体" w:eastAsia="宋体" w:hint="default"/>
                <w:sz w:val="18"/>
                <w:szCs w:val="18"/>
              </w:rPr>
            </w:pPr>
            <w:r>
              <w:rPr>
                <w:rFonts w:ascii="宋体" w:hAnsi="宋体" w:cs="宋体" w:eastAsia="宋体" w:hint="default"/>
                <w:sz w:val="18"/>
                <w:szCs w:val="18"/>
              </w:rPr>
              <w:t>关于控股子公司投 资建设久其政务研 发中心项目的公告</w:t>
            </w:r>
          </w:p>
          <w:p>
            <w:pPr>
              <w:pStyle w:val="TableParagraph"/>
              <w:spacing w:line="240" w:lineRule="auto" w:before="19"/>
              <w:ind w:left="22" w:right="0"/>
              <w:jc w:val="both"/>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300" w:lineRule="auto" w:before="76"/>
              <w:ind w:left="22"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2014-070</w:t>
            </w:r>
            <w:r>
              <w:rPr>
                <w:rFonts w:ascii="宋体" w:hAnsi="宋体" w:cs="宋体" w:eastAsia="宋体" w:hint="default"/>
                <w:sz w:val="18"/>
                <w:szCs w:val="18"/>
              </w:rPr>
              <w:t>）披露于 巨潮资讯网</w:t>
            </w:r>
          </w:p>
          <w:p>
            <w:pPr>
              <w:pStyle w:val="TableParagraph"/>
              <w:spacing w:line="240" w:lineRule="auto" w:before="72"/>
              <w:ind w:left="22" w:right="0"/>
              <w:jc w:val="both"/>
              <w:rPr>
                <w:rFonts w:ascii="Times New Roman" w:hAnsi="Times New Roman" w:cs="Times New Roman" w:eastAsia="Times New Roman" w:hint="default"/>
                <w:sz w:val="18"/>
                <w:szCs w:val="18"/>
              </w:rPr>
            </w:pPr>
            <w:hyperlink r:id="rId13">
              <w:r>
                <w:rPr>
                  <w:rFonts w:ascii="Times New Roman"/>
                  <w:sz w:val="18"/>
                </w:rPr>
                <w:t>www.cninfo.com.cn</w:t>
              </w:r>
            </w:hyperlink>
          </w:p>
        </w:tc>
      </w:tr>
      <w:tr>
        <w:trPr>
          <w:trHeight w:val="402" w:hRule="exact"/>
        </w:trPr>
        <w:tc>
          <w:tcPr>
            <w:tcW w:w="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47"/>
              <w:jc w:val="right"/>
              <w:rPr>
                <w:rFonts w:ascii="Times New Roman" w:hAnsi="Times New Roman" w:cs="Times New Roman" w:eastAsia="Times New Roman" w:hint="default"/>
                <w:sz w:val="18"/>
                <w:szCs w:val="18"/>
              </w:rPr>
            </w:pPr>
            <w:r>
              <w:rPr>
                <w:rFonts w:ascii="Times New Roman"/>
                <w:sz w:val="18"/>
              </w:rPr>
              <w:t>--</w:t>
            </w:r>
          </w:p>
        </w:tc>
        <w:tc>
          <w:tcPr>
            <w:tcW w:w="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521,277.90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17,897,207.90</w:t>
            </w:r>
          </w:p>
        </w:tc>
        <w:tc>
          <w:tcPr>
            <w:tcW w:w="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6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6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1）募集资金总体使用情况" w:id="50"/>
      <w:bookmarkEnd w:id="50"/>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1338"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70"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714"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left"/>
              <w:rPr>
                <w:rFonts w:ascii="宋体" w:hAnsi="宋体" w:cs="宋体" w:eastAsia="宋体" w:hint="default"/>
                <w:sz w:val="18"/>
                <w:szCs w:val="18"/>
              </w:rPr>
            </w:pPr>
            <w:r>
              <w:rPr>
                <w:rFonts w:ascii="宋体" w:hAnsi="宋体" w:cs="宋体" w:eastAsia="宋体" w:hint="default"/>
                <w:sz w:val="18"/>
                <w:szCs w:val="18"/>
              </w:rPr>
              <w:t>非公开定 向发行</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13,800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13,803.4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13,803.4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left"/>
              <w:rPr>
                <w:rFonts w:ascii="宋体" w:hAnsi="宋体" w:cs="宋体" w:eastAsia="宋体" w:hint="default"/>
                <w:sz w:val="18"/>
                <w:szCs w:val="18"/>
              </w:rPr>
            </w:pPr>
            <w:r>
              <w:rPr>
                <w:rFonts w:ascii="宋体" w:hAnsi="宋体" w:cs="宋体" w:eastAsia="宋体" w:hint="default"/>
                <w:sz w:val="18"/>
                <w:szCs w:val="18"/>
              </w:rPr>
              <w:t>非公开定 向发行</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8,999.99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8,949.99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22,799.99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13,853.4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13,853.4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z w:val="18"/>
              </w:rPr>
              <w:t>8,949.99</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4539"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35" w:firstLine="9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日，本公司两次共募集资金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22,799.99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w:t>
            </w:r>
            <w:r>
              <w:rPr>
                <w:rFonts w:ascii="Times New Roman" w:hAnsi="Times New Roman" w:cs="Times New Roman" w:eastAsia="Times New Roman" w:hint="default"/>
                <w:sz w:val="18"/>
                <w:szCs w:val="18"/>
              </w:rPr>
              <w:t>1</w:t>
            </w:r>
            <w:r>
              <w:rPr>
                <w:rFonts w:ascii="宋体" w:hAnsi="宋体" w:cs="宋体" w:eastAsia="宋体" w:hint="default"/>
                <w:sz w:val="18"/>
                <w:szCs w:val="18"/>
              </w:rPr>
              <w:t>、经中国证券监督管理委员会证监许可〔</w:t>
            </w:r>
            <w:r>
              <w:rPr>
                <w:rFonts w:ascii="Times New Roman" w:hAnsi="Times New Roman" w:cs="Times New Roman" w:eastAsia="Times New Roman" w:hint="default"/>
                <w:sz w:val="18"/>
                <w:szCs w:val="18"/>
              </w:rPr>
              <w:t>2014</w:t>
            </w:r>
            <w:r>
              <w:rPr>
                <w:rFonts w:ascii="宋体" w:hAnsi="宋体" w:cs="宋体" w:eastAsia="宋体" w:hint="default"/>
                <w:sz w:val="18"/>
                <w:szCs w:val="18"/>
              </w:rPr>
              <w:t>〕</w:t>
            </w:r>
            <w:r>
              <w:rPr>
                <w:rFonts w:ascii="Times New Roman" w:hAnsi="Times New Roman" w:cs="Times New Roman" w:eastAsia="Times New Roman" w:hint="default"/>
                <w:sz w:val="18"/>
                <w:szCs w:val="18"/>
              </w:rPr>
              <w:t>1400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号《关于核准北京久其软件股份有限公司向王新等发行股份购买资 产并募集配套资金的批复》的核准，公司向控股股东北京久其科技投资有限公司非公开发行不超过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5,922,746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股，发行价</w:t>
            </w:r>
          </w:p>
          <w:p>
            <w:pPr>
              <w:pStyle w:val="TableParagraph"/>
              <w:spacing w:line="246"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23.30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元</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股，募集资金总额为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13,800 </w:t>
            </w:r>
            <w:r>
              <w:rPr>
                <w:rFonts w:ascii="宋体" w:hAnsi="宋体" w:cs="宋体" w:eastAsia="宋体" w:hint="default"/>
                <w:spacing w:val="-4"/>
                <w:sz w:val="18"/>
                <w:szCs w:val="18"/>
              </w:rPr>
              <w:t>万元，扣除配套融资承销费</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138 </w:t>
            </w:r>
            <w:r>
              <w:rPr>
                <w:rFonts w:ascii="宋体" w:hAnsi="宋体" w:cs="宋体" w:eastAsia="宋体" w:hint="default"/>
                <w:spacing w:val="-5"/>
                <w:sz w:val="18"/>
                <w:szCs w:val="18"/>
              </w:rPr>
              <w:t>万元，募集资金净额为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13,662 </w:t>
            </w:r>
            <w:r>
              <w:rPr>
                <w:rFonts w:ascii="宋体" w:hAnsi="宋体" w:cs="宋体" w:eastAsia="宋体" w:hint="default"/>
                <w:spacing w:val="-7"/>
                <w:sz w:val="18"/>
                <w:szCs w:val="18"/>
              </w:rPr>
              <w:t>万元。该资金于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
                <w:sz w:val="18"/>
                <w:szCs w:val="18"/>
              </w:rPr>
              <w:t>存</w:t>
            </w:r>
            <w:r>
              <w:rPr>
                <w:rFonts w:ascii="宋体" w:hAnsi="宋体" w:cs="宋体" w:eastAsia="宋体" w:hint="default"/>
                <w:sz w:val="18"/>
                <w:szCs w:val="18"/>
              </w:rPr>
              <w:t>入兴业银行北京中轴路支行开立的募集资金专户</w:t>
            </w:r>
            <w:r>
              <w:rPr>
                <w:rFonts w:ascii="宋体" w:hAnsi="宋体" w:cs="宋体" w:eastAsia="宋体" w:hint="default"/>
                <w:spacing w:val="-86"/>
                <w:sz w:val="18"/>
                <w:szCs w:val="18"/>
              </w:rPr>
              <w:t>，</w:t>
            </w:r>
            <w:r>
              <w:rPr>
                <w:rFonts w:ascii="宋体" w:hAnsi="宋体" w:cs="宋体" w:eastAsia="宋体" w:hint="default"/>
                <w:sz w:val="18"/>
                <w:szCs w:val="18"/>
              </w:rPr>
              <w:t>孳生利息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86"/>
                <w:sz w:val="18"/>
                <w:szCs w:val="18"/>
              </w:rPr>
              <w:t>。</w:t>
            </w:r>
            <w:r>
              <w:rPr>
                <w:rFonts w:ascii="宋体" w:hAnsi="宋体" w:cs="宋体" w:eastAsia="宋体" w:hint="default"/>
                <w:sz w:val="18"/>
                <w:szCs w:val="18"/>
              </w:rPr>
              <w:t>该募集资金已经立信会计师事务</w:t>
            </w:r>
            <w:r>
              <w:rPr>
                <w:rFonts w:ascii="宋体" w:hAnsi="宋体" w:cs="宋体" w:eastAsia="宋体" w:hint="default"/>
                <w:spacing w:val="-86"/>
                <w:sz w:val="18"/>
                <w:szCs w:val="18"/>
              </w:rPr>
              <w:t>所</w:t>
            </w:r>
            <w:r>
              <w:rPr>
                <w:rFonts w:ascii="宋体" w:hAnsi="宋体" w:cs="宋体" w:eastAsia="宋体" w:hint="default"/>
                <w:sz w:val="18"/>
                <w:szCs w:val="18"/>
              </w:rPr>
              <w:t>（特</w:t>
            </w:r>
          </w:p>
          <w:p>
            <w:pPr>
              <w:pStyle w:val="TableParagraph"/>
              <w:spacing w:line="300"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殊普通合伙）于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日出具的信会师报字</w:t>
            </w:r>
            <w:r>
              <w:rPr>
                <w:rFonts w:ascii="Times New Roman" w:hAnsi="Times New Roman" w:cs="Times New Roman" w:eastAsia="Times New Roman" w:hint="default"/>
                <w:sz w:val="18"/>
                <w:szCs w:val="18"/>
              </w:rPr>
              <w:t>[2015]</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710005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号验资报告审验确认。截至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r>
              <w:rPr>
                <w:rFonts w:ascii="宋体" w:hAnsi="宋体" w:cs="宋体" w:eastAsia="宋体" w:hint="default"/>
                <w:spacing w:val="1"/>
                <w:sz w:val="18"/>
                <w:szCs w:val="18"/>
              </w:rPr>
              <w:t> </w:t>
            </w:r>
            <w:r>
              <w:rPr>
                <w:rFonts w:ascii="宋体" w:hAnsi="宋体" w:cs="宋体" w:eastAsia="宋体" w:hint="default"/>
                <w:sz w:val="18"/>
                <w:szCs w:val="18"/>
              </w:rPr>
              <w:t>该募集资金支付已按相关程序全部投入使用，其中</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9,600</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万元用于支付股权收购现金对价，</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万元用于对亿起联科技的 增资，</w:t>
            </w:r>
            <w:r>
              <w:rPr>
                <w:rFonts w:ascii="Times New Roman" w:hAnsi="Times New Roman" w:cs="Times New Roman" w:eastAsia="Times New Roman" w:hint="default"/>
                <w:sz w:val="18"/>
                <w:szCs w:val="18"/>
              </w:rPr>
              <w:t>1,065.40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万元用于支付收购过程中的中介费用，该次募集资金期末无余额。</w:t>
            </w:r>
          </w:p>
          <w:p>
            <w:pPr>
              <w:pStyle w:val="TableParagraph"/>
              <w:spacing w:line="300" w:lineRule="auto" w:before="52"/>
              <w:ind w:left="22" w:right="3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、经中国证券监督管理委员会证监许可〔</w:t>
            </w:r>
            <w:r>
              <w:rPr>
                <w:rFonts w:ascii="Times New Roman" w:hAnsi="Times New Roman" w:cs="Times New Roman" w:eastAsia="Times New Roman" w:hint="default"/>
                <w:sz w:val="18"/>
                <w:szCs w:val="18"/>
              </w:rPr>
              <w:t>2015</w:t>
            </w:r>
            <w:r>
              <w:rPr>
                <w:rFonts w:ascii="宋体" w:hAnsi="宋体" w:cs="宋体" w:eastAsia="宋体" w:hint="default"/>
                <w:sz w:val="18"/>
                <w:szCs w:val="18"/>
              </w:rPr>
              <w:t>〕</w:t>
            </w:r>
            <w:r>
              <w:rPr>
                <w:rFonts w:ascii="Times New Roman" w:hAnsi="Times New Roman" w:cs="Times New Roman" w:eastAsia="Times New Roman" w:hint="default"/>
                <w:sz w:val="18"/>
                <w:szCs w:val="18"/>
              </w:rPr>
              <w:t>2490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号《关于核准北京久其软件股份有限公司向栗军等发行股份购买资 产并募集配套资金的批复》的核准，公司向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名配套融资认购方非公开发行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2,798,503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股，发行价格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32.16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股，募集资</w:t>
            </w:r>
          </w:p>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金总额为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8,999.99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万元，扣除配套融资承销费用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万元，募集资金净额为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8,949.99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万元。该资金于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日存</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入兴业银行北京中轴路支行开立的募集资金专户。该募集资金已经立信会计师事务所（特殊普通合伙）于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日出具的信会师报字</w:t>
            </w:r>
            <w:r>
              <w:rPr>
                <w:rFonts w:ascii="Times New Roman" w:hAnsi="Times New Roman" w:cs="Times New Roman" w:eastAsia="Times New Roman" w:hint="default"/>
                <w:sz w:val="18"/>
                <w:szCs w:val="18"/>
              </w:rPr>
              <w:t>[2015]</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711572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号验资报告审验确认。截至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日，该募集资金已支付配套融资承销</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费用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万元，期末余额为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8,957.08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募集资金承诺项目情况" w:id="51"/>
      <w:bookmarkEnd w:id="51"/>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3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520" w:right="69"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3"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1"/>
              <w:ind w:left="25"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、支付收购亿起联科 </w:t>
            </w:r>
            <w:r>
              <w:rPr>
                <w:rFonts w:ascii="宋体" w:hAnsi="宋体" w:cs="宋体" w:eastAsia="宋体" w:hint="default"/>
                <w:spacing w:val="-9"/>
                <w:sz w:val="18"/>
                <w:szCs w:val="18"/>
              </w:rPr>
              <w:t>技现金对价、中介费用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及对亿起联科技增资</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13,800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13,800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13,803.4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13,803.4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、支付收购华夏电通 现金对价、中介费用</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8,999.99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8,999.99</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65"/>
        <w:gridCol w:w="779"/>
        <w:gridCol w:w="786"/>
        <w:gridCol w:w="780"/>
        <w:gridCol w:w="779"/>
        <w:gridCol w:w="786"/>
        <w:gridCol w:w="768"/>
        <w:gridCol w:w="786"/>
        <w:gridCol w:w="786"/>
        <w:gridCol w:w="774"/>
        <w:gridCol w:w="780"/>
      </w:tblGrid>
      <w:tr>
        <w:trPr>
          <w:trHeight w:val="407" w:hRule="exact"/>
        </w:trPr>
        <w:tc>
          <w:tcPr>
            <w:tcW w:w="1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22,799.99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22,799.99</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13,853.4</w:t>
            </w:r>
          </w:p>
        </w:tc>
        <w:tc>
          <w:tcPr>
            <w:tcW w:w="78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13,853.4</w:t>
            </w:r>
          </w:p>
        </w:tc>
        <w:tc>
          <w:tcPr>
            <w:tcW w:w="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13" w:space="0" w:color="D2D2D2"/>
              <w:bottom w:val="single" w:sz="4" w:space="0" w:color="000000"/>
              <w:right w:val="single" w:sz="4" w:space="0" w:color="000000"/>
            </w:tcBorders>
            <w:shd w:val="clear" w:color="auto" w:fill="D9D9D9"/>
          </w:tcPr>
          <w:p>
            <w:pPr>
              <w:pStyle w:val="TableParagraph"/>
              <w:spacing w:line="240" w:lineRule="auto" w:before="91"/>
              <w:ind w:left="319" w:right="0"/>
              <w:jc w:val="left"/>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4" w:space="0" w:color="000000"/>
              <w:bottom w:val="single" w:sz="4" w:space="0" w:color="000000"/>
              <w:right w:val="single" w:sz="13" w:space="0" w:color="D2D2D2"/>
            </w:tcBorders>
            <w:shd w:val="clear" w:color="auto" w:fill="D9D9D9"/>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79"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22,799.99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22,799.99</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13,853.4</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13,853.4</w:t>
            </w:r>
          </w:p>
        </w:tc>
        <w:tc>
          <w:tcPr>
            <w:tcW w:w="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30" w:right="0"/>
              <w:jc w:val="left"/>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5"/>
              <w:jc w:val="center"/>
              <w:rPr>
                <w:rFonts w:ascii="Times New Roman" w:hAnsi="Times New Roman" w:cs="Times New Roman" w:eastAsia="Times New Roman" w:hint="default"/>
                <w:sz w:val="18"/>
                <w:szCs w:val="18"/>
              </w:rPr>
            </w:pPr>
            <w:r>
              <w:rPr>
                <w:rFonts w:ascii="Times New Roman"/>
                <w:sz w:val="18"/>
              </w:rPr>
              <w:t>--</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804"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1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804"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7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2" w:right="16"/>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804"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65" w:type="dxa"/>
            <w:vMerge/>
            <w:tcBorders>
              <w:left w:val="single" w:sz="4" w:space="0" w:color="000000"/>
              <w:bottom w:val="single" w:sz="4" w:space="0" w:color="000000"/>
              <w:right w:val="single" w:sz="4" w:space="0" w:color="000000"/>
            </w:tcBorders>
            <w:shd w:val="clear" w:color="auto" w:fill="D2D2D2"/>
          </w:tcPr>
          <w:p>
            <w:pPr/>
          </w:p>
        </w:tc>
        <w:tc>
          <w:tcPr>
            <w:tcW w:w="7804" w:type="dxa"/>
            <w:gridSpan w:val="10"/>
            <w:tcBorders>
              <w:top w:val="single" w:sz="4" w:space="0" w:color="000000"/>
              <w:left w:val="single" w:sz="9" w:space="0" w:color="D2D2D2"/>
              <w:bottom w:val="single" w:sz="4" w:space="0" w:color="000000"/>
              <w:right w:val="single" w:sz="4" w:space="0" w:color="000000"/>
            </w:tcBorders>
          </w:tcPr>
          <w:p>
            <w:pPr/>
          </w:p>
        </w:tc>
      </w:tr>
      <w:tr>
        <w:trPr>
          <w:trHeight w:val="251" w:hRule="exact"/>
        </w:trPr>
        <w:tc>
          <w:tcPr>
            <w:tcW w:w="1765"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4"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7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804" w:type="dxa"/>
            <w:gridSpan w:val="10"/>
            <w:vMerge/>
            <w:tcBorders>
              <w:left w:val="single" w:sz="9" w:space="0" w:color="D2D2D2"/>
              <w:bottom w:val="single" w:sz="4" w:space="0" w:color="000000"/>
              <w:right w:val="single" w:sz="4" w:space="0" w:color="000000"/>
            </w:tcBorders>
          </w:tcPr>
          <w:p>
            <w:pPr/>
          </w:p>
        </w:tc>
      </w:tr>
      <w:tr>
        <w:trPr>
          <w:trHeight w:val="402" w:hRule="exact"/>
        </w:trPr>
        <w:tc>
          <w:tcPr>
            <w:tcW w:w="1765" w:type="dxa"/>
            <w:vMerge/>
            <w:tcBorders>
              <w:left w:val="single" w:sz="4" w:space="0" w:color="000000"/>
              <w:right w:val="single" w:sz="4" w:space="0" w:color="000000"/>
            </w:tcBorders>
            <w:shd w:val="clear" w:color="auto" w:fill="D2D2D2"/>
          </w:tcPr>
          <w:p>
            <w:pPr/>
          </w:p>
        </w:tc>
        <w:tc>
          <w:tcPr>
            <w:tcW w:w="7804" w:type="dxa"/>
            <w:gridSpan w:val="10"/>
            <w:tcBorders>
              <w:top w:val="single" w:sz="4" w:space="0" w:color="000000"/>
              <w:left w:val="single" w:sz="9" w:space="0" w:color="D2D2D2"/>
              <w:bottom w:val="single" w:sz="4" w:space="0" w:color="000000"/>
              <w:right w:val="single" w:sz="4" w:space="0" w:color="000000"/>
            </w:tcBorders>
          </w:tcPr>
          <w:p>
            <w:pPr/>
          </w:p>
        </w:tc>
      </w:tr>
      <w:tr>
        <w:trPr>
          <w:trHeight w:val="151" w:hRule="exact"/>
        </w:trPr>
        <w:tc>
          <w:tcPr>
            <w:tcW w:w="1765" w:type="dxa"/>
            <w:vMerge/>
            <w:tcBorders>
              <w:left w:val="single" w:sz="4" w:space="0" w:color="000000"/>
              <w:bottom w:val="nil" w:sz="6" w:space="0" w:color="auto"/>
              <w:right w:val="single" w:sz="4" w:space="0" w:color="000000"/>
            </w:tcBorders>
            <w:shd w:val="clear" w:color="auto" w:fill="D2D2D2"/>
          </w:tcPr>
          <w:p>
            <w:pPr/>
          </w:p>
        </w:tc>
        <w:tc>
          <w:tcPr>
            <w:tcW w:w="7804" w:type="dxa"/>
            <w:gridSpan w:val="10"/>
            <w:vMerge w:val="restart"/>
            <w:tcBorders>
              <w:top w:val="single" w:sz="4" w:space="0" w:color="000000"/>
              <w:left w:val="single" w:sz="9" w:space="0" w:color="D2D2D2"/>
              <w:right w:val="single" w:sz="4" w:space="0" w:color="000000"/>
            </w:tcBorders>
          </w:tcPr>
          <w:p>
            <w:pPr/>
          </w:p>
        </w:tc>
      </w:tr>
      <w:tr>
        <w:trPr>
          <w:trHeight w:val="251" w:hRule="exact"/>
        </w:trPr>
        <w:tc>
          <w:tcPr>
            <w:tcW w:w="1765"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4" w:type="dxa"/>
            <w:gridSpan w:val="10"/>
            <w:vMerge/>
            <w:tcBorders>
              <w:left w:val="single" w:sz="9" w:space="0" w:color="D2D2D2"/>
              <w:bottom w:val="single" w:sz="4" w:space="0" w:color="000000"/>
              <w:right w:val="single" w:sz="4" w:space="0" w:color="000000"/>
            </w:tcBorders>
          </w:tcPr>
          <w:p>
            <w:pPr/>
          </w:p>
        </w:tc>
      </w:tr>
      <w:tr>
        <w:trPr>
          <w:trHeight w:val="251" w:hRule="exact"/>
        </w:trPr>
        <w:tc>
          <w:tcPr>
            <w:tcW w:w="1765"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4"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7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804" w:type="dxa"/>
            <w:gridSpan w:val="10"/>
            <w:vMerge/>
            <w:tcBorders>
              <w:left w:val="single" w:sz="9" w:space="0" w:color="D2D2D2"/>
              <w:bottom w:val="single" w:sz="4" w:space="0" w:color="000000"/>
              <w:right w:val="single" w:sz="4" w:space="0" w:color="000000"/>
            </w:tcBorders>
          </w:tcPr>
          <w:p>
            <w:pPr/>
          </w:p>
        </w:tc>
      </w:tr>
      <w:tr>
        <w:trPr>
          <w:trHeight w:val="402" w:hRule="exact"/>
        </w:trPr>
        <w:tc>
          <w:tcPr>
            <w:tcW w:w="1765" w:type="dxa"/>
            <w:vMerge/>
            <w:tcBorders>
              <w:left w:val="single" w:sz="4" w:space="0" w:color="000000"/>
              <w:right w:val="single" w:sz="4" w:space="0" w:color="000000"/>
            </w:tcBorders>
            <w:shd w:val="clear" w:color="auto" w:fill="D2D2D2"/>
          </w:tcPr>
          <w:p>
            <w:pPr/>
          </w:p>
        </w:tc>
        <w:tc>
          <w:tcPr>
            <w:tcW w:w="7804" w:type="dxa"/>
            <w:gridSpan w:val="10"/>
            <w:tcBorders>
              <w:top w:val="single" w:sz="4" w:space="0" w:color="000000"/>
              <w:left w:val="single" w:sz="9" w:space="0" w:color="D2D2D2"/>
              <w:bottom w:val="single" w:sz="4" w:space="0" w:color="000000"/>
              <w:right w:val="single" w:sz="4" w:space="0" w:color="000000"/>
            </w:tcBorders>
          </w:tcPr>
          <w:p>
            <w:pPr/>
          </w:p>
        </w:tc>
      </w:tr>
      <w:tr>
        <w:trPr>
          <w:trHeight w:val="151" w:hRule="exact"/>
        </w:trPr>
        <w:tc>
          <w:tcPr>
            <w:tcW w:w="1765" w:type="dxa"/>
            <w:vMerge/>
            <w:tcBorders>
              <w:left w:val="single" w:sz="4" w:space="0" w:color="000000"/>
              <w:bottom w:val="nil" w:sz="6" w:space="0" w:color="auto"/>
              <w:right w:val="single" w:sz="4" w:space="0" w:color="000000"/>
            </w:tcBorders>
            <w:shd w:val="clear" w:color="auto" w:fill="D2D2D2"/>
          </w:tcPr>
          <w:p>
            <w:pPr/>
          </w:p>
        </w:tc>
        <w:tc>
          <w:tcPr>
            <w:tcW w:w="7804" w:type="dxa"/>
            <w:gridSpan w:val="10"/>
            <w:vMerge w:val="restart"/>
            <w:tcBorders>
              <w:top w:val="single" w:sz="4" w:space="0" w:color="000000"/>
              <w:left w:val="single" w:sz="9" w:space="0" w:color="D2D2D2"/>
              <w:right w:val="single" w:sz="4" w:space="0" w:color="000000"/>
            </w:tcBorders>
          </w:tcPr>
          <w:p>
            <w:pPr/>
          </w:p>
        </w:tc>
      </w:tr>
      <w:tr>
        <w:trPr>
          <w:trHeight w:val="251" w:hRule="exact"/>
        </w:trPr>
        <w:tc>
          <w:tcPr>
            <w:tcW w:w="1765"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4" w:type="dxa"/>
            <w:gridSpan w:val="10"/>
            <w:vMerge/>
            <w:tcBorders>
              <w:left w:val="single" w:sz="9" w:space="0" w:color="D2D2D2"/>
              <w:bottom w:val="single" w:sz="4" w:space="0" w:color="000000"/>
              <w:right w:val="single" w:sz="4" w:space="0" w:color="000000"/>
            </w:tcBorders>
          </w:tcPr>
          <w:p>
            <w:pPr/>
          </w:p>
        </w:tc>
      </w:tr>
      <w:tr>
        <w:trPr>
          <w:trHeight w:val="402" w:hRule="exact"/>
        </w:trPr>
        <w:tc>
          <w:tcPr>
            <w:tcW w:w="176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7"/>
              <w:ind w:left="22" w:right="110"/>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804"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65" w:type="dxa"/>
            <w:vMerge/>
            <w:tcBorders>
              <w:left w:val="single" w:sz="4" w:space="0" w:color="000000"/>
              <w:bottom w:val="single" w:sz="4" w:space="0" w:color="000000"/>
              <w:right w:val="single" w:sz="4" w:space="0" w:color="000000"/>
            </w:tcBorders>
            <w:shd w:val="clear" w:color="auto" w:fill="D2D2D2"/>
          </w:tcPr>
          <w:p>
            <w:pPr/>
          </w:p>
        </w:tc>
        <w:tc>
          <w:tcPr>
            <w:tcW w:w="7804" w:type="dxa"/>
            <w:gridSpan w:val="10"/>
            <w:tcBorders>
              <w:top w:val="single" w:sz="4" w:space="0" w:color="000000"/>
              <w:left w:val="single" w:sz="9" w:space="0" w:color="D2D2D2"/>
              <w:bottom w:val="single" w:sz="4" w:space="0" w:color="000000"/>
              <w:right w:val="single" w:sz="4" w:space="0" w:color="000000"/>
            </w:tcBorders>
          </w:tcPr>
          <w:p>
            <w:pPr/>
          </w:p>
        </w:tc>
      </w:tr>
      <w:tr>
        <w:trPr>
          <w:trHeight w:val="402" w:hRule="exact"/>
        </w:trPr>
        <w:tc>
          <w:tcPr>
            <w:tcW w:w="17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2" w:right="110"/>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804"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65" w:type="dxa"/>
            <w:vMerge/>
            <w:tcBorders>
              <w:left w:val="single" w:sz="4" w:space="0" w:color="000000"/>
              <w:bottom w:val="single" w:sz="4" w:space="0" w:color="000000"/>
              <w:right w:val="single" w:sz="4" w:space="0" w:color="000000"/>
            </w:tcBorders>
            <w:shd w:val="clear" w:color="auto" w:fill="D2D2D2"/>
          </w:tcPr>
          <w:p>
            <w:pPr/>
          </w:p>
        </w:tc>
        <w:tc>
          <w:tcPr>
            <w:tcW w:w="7804" w:type="dxa"/>
            <w:gridSpan w:val="10"/>
            <w:tcBorders>
              <w:top w:val="single" w:sz="4" w:space="0" w:color="000000"/>
              <w:left w:val="single" w:sz="9" w:space="0" w:color="D2D2D2"/>
              <w:bottom w:val="single" w:sz="4" w:space="0" w:color="000000"/>
              <w:right w:val="single" w:sz="4" w:space="0" w:color="000000"/>
            </w:tcBorders>
          </w:tcPr>
          <w:p>
            <w:pPr/>
          </w:p>
        </w:tc>
      </w:tr>
      <w:tr>
        <w:trPr>
          <w:trHeight w:val="402" w:hRule="exact"/>
        </w:trPr>
        <w:tc>
          <w:tcPr>
            <w:tcW w:w="17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2" w:right="110"/>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804"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65" w:type="dxa"/>
            <w:vMerge/>
            <w:tcBorders>
              <w:left w:val="single" w:sz="4" w:space="0" w:color="000000"/>
              <w:bottom w:val="single" w:sz="4" w:space="0" w:color="000000"/>
              <w:right w:val="single" w:sz="4" w:space="0" w:color="000000"/>
            </w:tcBorders>
            <w:shd w:val="clear" w:color="auto" w:fill="D2D2D2"/>
          </w:tcPr>
          <w:p>
            <w:pPr/>
          </w:p>
        </w:tc>
        <w:tc>
          <w:tcPr>
            <w:tcW w:w="7804" w:type="dxa"/>
            <w:gridSpan w:val="10"/>
            <w:tcBorders>
              <w:top w:val="single" w:sz="4" w:space="0" w:color="000000"/>
              <w:left w:val="single" w:sz="9" w:space="0" w:color="D2D2D2"/>
              <w:bottom w:val="single" w:sz="4" w:space="0" w:color="000000"/>
              <w:right w:val="single" w:sz="4" w:space="0" w:color="000000"/>
            </w:tcBorders>
          </w:tcPr>
          <w:p>
            <w:pPr/>
          </w:p>
        </w:tc>
      </w:tr>
      <w:tr>
        <w:trPr>
          <w:trHeight w:val="714" w:hRule="exact"/>
        </w:trPr>
        <w:tc>
          <w:tcPr>
            <w:tcW w:w="1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804" w:type="dxa"/>
            <w:gridSpan w:val="10"/>
            <w:tcBorders>
              <w:top w:val="single" w:sz="4" w:space="0" w:color="000000"/>
              <w:left w:val="single" w:sz="9" w:space="0" w:color="D2D2D2"/>
              <w:bottom w:val="single" w:sz="4" w:space="0" w:color="000000"/>
              <w:right w:val="single" w:sz="4" w:space="0" w:color="000000"/>
            </w:tcBorders>
          </w:tcPr>
          <w:p>
            <w:pPr>
              <w:pStyle w:val="TableParagraph"/>
              <w:spacing w:line="302" w:lineRule="auto" w:before="51"/>
              <w:ind w:left="21" w:right="21"/>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日，根据已签定的三方监管协议，本公司尚未使用的募集资金均存放于募集 资金专户。</w:t>
            </w:r>
          </w:p>
        </w:tc>
      </w:tr>
      <w:tr>
        <w:trPr>
          <w:trHeight w:val="1026" w:hRule="exact"/>
        </w:trPr>
        <w:tc>
          <w:tcPr>
            <w:tcW w:w="1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804"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募集资金变更项目情况" w:id="52"/>
      <w:bookmarkEnd w:id="52"/>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公司报告期不存在募集资金变更项目情况。</w:t>
      </w:r>
    </w:p>
    <w:p>
      <w:pPr>
        <w:spacing w:after="0" w:line="3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六、重大资产和股权出售" w:id="53"/>
      <w:bookmarkEnd w:id="53"/>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出售重大资产情况" w:id="54"/>
      <w:bookmarkEnd w:id="54"/>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2"/>
        <w:rPr>
          <w:rFonts w:ascii="宋体" w:hAnsi="宋体" w:cs="宋体" w:eastAsia="宋体" w:hint="default"/>
          <w:sz w:val="21"/>
          <w:szCs w:val="21"/>
        </w:rPr>
      </w:pPr>
    </w:p>
    <w:p>
      <w:pPr>
        <w:pStyle w:val="Heading3"/>
        <w:spacing w:line="240" w:lineRule="auto"/>
        <w:ind w:left="153" w:right="0"/>
        <w:jc w:val="left"/>
        <w:rPr>
          <w:b w:val="0"/>
          <w:bCs w:val="0"/>
        </w:rPr>
      </w:pPr>
      <w:bookmarkStart w:name="2、出售重大股权情况" w:id="55"/>
      <w:bookmarkEnd w:id="55"/>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686"/>
        <w:gridCol w:w="683"/>
        <w:gridCol w:w="683"/>
        <w:gridCol w:w="683"/>
        <w:gridCol w:w="684"/>
        <w:gridCol w:w="694"/>
        <w:gridCol w:w="672"/>
        <w:gridCol w:w="1028"/>
        <w:gridCol w:w="426"/>
        <w:gridCol w:w="426"/>
        <w:gridCol w:w="425"/>
        <w:gridCol w:w="850"/>
        <w:gridCol w:w="568"/>
        <w:gridCol w:w="1058"/>
      </w:tblGrid>
      <w:tr>
        <w:trPr>
          <w:trHeight w:val="2898" w:hRule="exact"/>
        </w:trPr>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247" w:right="66" w:hanging="180"/>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155" w:right="65" w:hanging="90"/>
              <w:jc w:val="left"/>
              <w:rPr>
                <w:rFonts w:ascii="宋体" w:hAnsi="宋体" w:cs="宋体" w:eastAsia="宋体" w:hint="default"/>
                <w:sz w:val="18"/>
                <w:szCs w:val="18"/>
              </w:rPr>
            </w:pPr>
            <w:r>
              <w:rPr>
                <w:rFonts w:ascii="宋体" w:hAnsi="宋体" w:cs="宋体" w:eastAsia="宋体" w:hint="default"/>
                <w:sz w:val="18"/>
                <w:szCs w:val="18"/>
              </w:rPr>
              <w:t>被出售 股权</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65"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66" w:right="65"/>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7" w:right="65"/>
              <w:jc w:val="both"/>
              <w:rPr>
                <w:rFonts w:ascii="宋体" w:hAnsi="宋体" w:cs="宋体" w:eastAsia="宋体" w:hint="default"/>
                <w:sz w:val="18"/>
                <w:szCs w:val="18"/>
              </w:rPr>
            </w:pPr>
            <w:r>
              <w:rPr>
                <w:rFonts w:ascii="宋体" w:hAnsi="宋体" w:cs="宋体" w:eastAsia="宋体" w:hint="default"/>
                <w:sz w:val="18"/>
                <w:szCs w:val="18"/>
              </w:rPr>
              <w:t>本期初 起至出 售日该 股权为 上市公 司贡献 的净利 润（万 元）</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71" w:right="70"/>
              <w:jc w:val="both"/>
              <w:rPr>
                <w:rFonts w:ascii="宋体" w:hAnsi="宋体" w:cs="宋体" w:eastAsia="宋体" w:hint="default"/>
                <w:sz w:val="18"/>
                <w:szCs w:val="18"/>
              </w:rPr>
            </w:pPr>
            <w:r>
              <w:rPr>
                <w:rFonts w:ascii="宋体" w:hAnsi="宋体" w:cs="宋体" w:eastAsia="宋体" w:hint="default"/>
                <w:sz w:val="18"/>
                <w:szCs w:val="18"/>
              </w:rPr>
              <w:t>出售对 公司的 影响</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0" w:right="60"/>
              <w:jc w:val="both"/>
              <w:rPr>
                <w:rFonts w:ascii="宋体" w:hAnsi="宋体" w:cs="宋体" w:eastAsia="宋体" w:hint="default"/>
                <w:sz w:val="18"/>
                <w:szCs w:val="18"/>
              </w:rPr>
            </w:pPr>
            <w:r>
              <w:rPr>
                <w:rFonts w:ascii="宋体" w:hAnsi="宋体" w:cs="宋体" w:eastAsia="宋体" w:hint="default"/>
                <w:sz w:val="18"/>
                <w:szCs w:val="18"/>
              </w:rPr>
              <w:t>股权出 售为上 市公司 贡献的 净利润 占净利 润总额 的比例</w:t>
            </w:r>
          </w:p>
        </w:tc>
        <w:tc>
          <w:tcPr>
            <w:tcW w:w="10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238" w:right="59" w:hanging="180"/>
              <w:jc w:val="left"/>
              <w:rPr>
                <w:rFonts w:ascii="宋体" w:hAnsi="宋体" w:cs="宋体" w:eastAsia="宋体" w:hint="default"/>
                <w:sz w:val="18"/>
                <w:szCs w:val="18"/>
              </w:rPr>
            </w:pPr>
            <w:r>
              <w:rPr>
                <w:rFonts w:ascii="宋体" w:hAnsi="宋体" w:cs="宋体" w:eastAsia="宋体" w:hint="default"/>
                <w:sz w:val="18"/>
                <w:szCs w:val="18"/>
              </w:rPr>
              <w:t>股权出售定 价原则</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7" w:right="26"/>
              <w:jc w:val="both"/>
              <w:rPr>
                <w:rFonts w:ascii="宋体" w:hAnsi="宋体" w:cs="宋体" w:eastAsia="宋体" w:hint="default"/>
                <w:sz w:val="18"/>
                <w:szCs w:val="18"/>
              </w:rPr>
            </w:pPr>
            <w:r>
              <w:rPr>
                <w:rFonts w:ascii="宋体" w:hAnsi="宋体" w:cs="宋体" w:eastAsia="宋体" w:hint="default"/>
                <w:sz w:val="18"/>
                <w:szCs w:val="18"/>
              </w:rPr>
              <w:t>是否 为关 联交 易</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7" w:right="26"/>
              <w:jc w:val="both"/>
              <w:rPr>
                <w:rFonts w:ascii="宋体" w:hAnsi="宋体" w:cs="宋体" w:eastAsia="宋体" w:hint="default"/>
                <w:sz w:val="18"/>
                <w:szCs w:val="18"/>
              </w:rPr>
            </w:pPr>
            <w:r>
              <w:rPr>
                <w:rFonts w:ascii="宋体" w:hAnsi="宋体" w:cs="宋体" w:eastAsia="宋体" w:hint="default"/>
                <w:sz w:val="18"/>
                <w:szCs w:val="18"/>
              </w:rPr>
              <w:t>与交 易对 方的 关联 关系</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6" w:right="27"/>
              <w:jc w:val="both"/>
              <w:rPr>
                <w:rFonts w:ascii="宋体" w:hAnsi="宋体" w:cs="宋体" w:eastAsia="宋体" w:hint="default"/>
                <w:sz w:val="18"/>
                <w:szCs w:val="18"/>
              </w:rPr>
            </w:pPr>
            <w:r>
              <w:rPr>
                <w:rFonts w:ascii="宋体" w:hAnsi="宋体" w:cs="宋体" w:eastAsia="宋体" w:hint="default"/>
                <w:sz w:val="18"/>
                <w:szCs w:val="18"/>
              </w:rPr>
              <w:t>所涉 及的 股权 是否 已全 部过 户</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0" w:right="59"/>
              <w:jc w:val="center"/>
              <w:rPr>
                <w:rFonts w:ascii="宋体" w:hAnsi="宋体" w:cs="宋体" w:eastAsia="宋体" w:hint="default"/>
                <w:sz w:val="18"/>
                <w:szCs w:val="18"/>
              </w:rPr>
            </w:pPr>
            <w:r>
              <w:rPr>
                <w:rFonts w:ascii="宋体" w:hAnsi="宋体" w:cs="宋体" w:eastAsia="宋体" w:hint="default"/>
                <w:sz w:val="18"/>
                <w:szCs w:val="18"/>
              </w:rPr>
              <w:t>是否按计 划如期实 施，如未 按计划实 施，应当 说明原因 及公司已 采取的措 施</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98" w:right="97"/>
              <w:jc w:val="left"/>
              <w:rPr>
                <w:rFonts w:ascii="宋体" w:hAnsi="宋体" w:cs="宋体" w:eastAsia="宋体" w:hint="default"/>
                <w:sz w:val="18"/>
                <w:szCs w:val="18"/>
              </w:rPr>
            </w:pPr>
            <w:r>
              <w:rPr>
                <w:rFonts w:ascii="宋体" w:hAnsi="宋体" w:cs="宋体" w:eastAsia="宋体" w:hint="default"/>
                <w:sz w:val="18"/>
                <w:szCs w:val="18"/>
              </w:rPr>
              <w:t>披露 日期</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164"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522" w:hRule="exact"/>
        </w:trPr>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李瀚林</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2" w:right="108"/>
              <w:jc w:val="both"/>
              <w:rPr>
                <w:rFonts w:ascii="宋体" w:hAnsi="宋体" w:cs="宋体" w:eastAsia="宋体" w:hint="default"/>
                <w:sz w:val="18"/>
                <w:szCs w:val="18"/>
              </w:rPr>
            </w:pPr>
            <w:r>
              <w:rPr>
                <w:rFonts w:ascii="宋体" w:hAnsi="宋体" w:cs="宋体" w:eastAsia="宋体" w:hint="default"/>
                <w:sz w:val="18"/>
                <w:szCs w:val="18"/>
              </w:rPr>
              <w:t>北京北 邮中望 信息科 技有限 责任公 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46" w:right="0"/>
              <w:jc w:val="left"/>
              <w:rPr>
                <w:rFonts w:ascii="Times New Roman" w:hAnsi="Times New Roman" w:cs="Times New Roman" w:eastAsia="Times New Roman" w:hint="default"/>
                <w:sz w:val="18"/>
                <w:szCs w:val="18"/>
              </w:rPr>
            </w:pPr>
            <w:r>
              <w:rPr>
                <w:rFonts w:ascii="Times New Roman"/>
                <w:sz w:val="18"/>
              </w:rPr>
              <w:t>25.61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57" w:right="0"/>
              <w:jc w:val="left"/>
              <w:rPr>
                <w:rFonts w:ascii="Times New Roman" w:hAnsi="Times New Roman" w:cs="Times New Roman" w:eastAsia="Times New Roman" w:hint="default"/>
                <w:sz w:val="18"/>
                <w:szCs w:val="18"/>
              </w:rPr>
            </w:pPr>
            <w:r>
              <w:rPr>
                <w:rFonts w:ascii="Times New Roman"/>
                <w:sz w:val="18"/>
              </w:rPr>
              <w:t>320.49</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本次出 售资产 没有对 公司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9" w:lineRule="auto"/>
              <w:ind w:left="22" w:right="119"/>
              <w:jc w:val="both"/>
              <w:rPr>
                <w:rFonts w:ascii="宋体" w:hAnsi="宋体" w:cs="宋体" w:eastAsia="宋体" w:hint="default"/>
                <w:sz w:val="18"/>
                <w:szCs w:val="18"/>
              </w:rPr>
            </w:pPr>
            <w:r>
              <w:rPr>
                <w:rFonts w:ascii="宋体" w:hAnsi="宋体" w:cs="宋体" w:eastAsia="宋体" w:hint="default"/>
                <w:sz w:val="18"/>
                <w:szCs w:val="18"/>
              </w:rPr>
              <w:t>度的财 务状况 和经营 成果构 成重大 影响。</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2.47%</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按照收益法 评估价值， 公司所持 </w:t>
            </w:r>
            <w:r>
              <w:rPr>
                <w:rFonts w:ascii="Times New Roman" w:hAnsi="Times New Roman" w:cs="Times New Roman" w:eastAsia="Times New Roman" w:hint="default"/>
                <w:sz w:val="18"/>
                <w:szCs w:val="18"/>
              </w:rPr>
              <w:t>83.24%</w:t>
            </w:r>
            <w:r>
              <w:rPr>
                <w:rFonts w:ascii="宋体" w:hAnsi="宋体" w:cs="宋体" w:eastAsia="宋体" w:hint="default"/>
                <w:sz w:val="18"/>
                <w:szCs w:val="18"/>
              </w:rPr>
              <w:t>股权</w:t>
            </w:r>
          </w:p>
          <w:p>
            <w:pPr>
              <w:pStyle w:val="TableParagraph"/>
              <w:spacing w:line="338" w:lineRule="auto"/>
              <w:ind w:left="22" w:right="95"/>
              <w:jc w:val="left"/>
              <w:rPr>
                <w:rFonts w:ascii="Times New Roman" w:hAnsi="Times New Roman" w:cs="Times New Roman" w:eastAsia="Times New Roman" w:hint="default"/>
                <w:sz w:val="18"/>
                <w:szCs w:val="18"/>
              </w:rPr>
            </w:pPr>
            <w:r>
              <w:rPr>
                <w:rFonts w:ascii="宋体" w:hAnsi="宋体" w:cs="宋体" w:eastAsia="宋体" w:hint="default"/>
                <w:sz w:val="18"/>
                <w:szCs w:val="18"/>
              </w:rPr>
              <w:t>的公允价值 为 </w:t>
            </w:r>
            <w:r>
              <w:rPr>
                <w:rFonts w:ascii="Times New Roman" w:hAnsi="Times New Roman" w:cs="Times New Roman" w:eastAsia="Times New Roman" w:hint="default"/>
                <w:sz w:val="18"/>
                <w:szCs w:val="18"/>
              </w:rPr>
              <w:t>256,068.10</w:t>
            </w:r>
          </w:p>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元（含税</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319" w:lineRule="auto" w:before="76"/>
              <w:ind w:left="22" w:right="95"/>
              <w:jc w:val="both"/>
              <w:rPr>
                <w:rFonts w:ascii="宋体" w:hAnsi="宋体" w:cs="宋体" w:eastAsia="宋体" w:hint="default"/>
                <w:sz w:val="18"/>
                <w:szCs w:val="18"/>
              </w:rPr>
            </w:pPr>
            <w:r>
              <w:rPr>
                <w:rFonts w:ascii="宋体" w:hAnsi="宋体" w:cs="宋体" w:eastAsia="宋体" w:hint="default"/>
                <w:sz w:val="18"/>
                <w:szCs w:val="18"/>
              </w:rPr>
              <w:t>作为本次交 易股权的转 让价格。</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22" w:right="95"/>
              <w:jc w:val="left"/>
              <w:rPr>
                <w:rFonts w:ascii="宋体" w:hAnsi="宋体" w:cs="宋体" w:eastAsia="宋体" w:hint="default"/>
                <w:sz w:val="18"/>
                <w:szCs w:val="18"/>
              </w:rPr>
            </w:pPr>
            <w:r>
              <w:rPr>
                <w:rFonts w:ascii="宋体" w:hAnsi="宋体" w:cs="宋体" w:eastAsia="宋体" w:hint="default"/>
                <w:sz w:val="18"/>
                <w:szCs w:val="18"/>
              </w:rPr>
              <w:t>已按计划 实施</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20"/>
              <w:jc w:val="left"/>
              <w:rPr>
                <w:rFonts w:ascii="宋体" w:hAnsi="宋体" w:cs="宋体" w:eastAsia="宋体" w:hint="default"/>
                <w:sz w:val="18"/>
                <w:szCs w:val="18"/>
              </w:rPr>
            </w:pPr>
            <w:r>
              <w:rPr>
                <w:rFonts w:ascii="宋体" w:hAnsi="宋体" w:cs="宋体" w:eastAsia="宋体" w:hint="default"/>
                <w:sz w:val="18"/>
                <w:szCs w:val="18"/>
              </w:rPr>
              <w:t>关于出售控 股子公司股 权的进展公 </w:t>
            </w:r>
            <w:r>
              <w:rPr>
                <w:rFonts w:ascii="宋体" w:hAnsi="宋体" w:cs="宋体" w:eastAsia="宋体" w:hint="default"/>
                <w:spacing w:val="-13"/>
                <w:sz w:val="18"/>
                <w:szCs w:val="18"/>
              </w:rPr>
              <w:t>告（公告编号</w:t>
            </w:r>
            <w:r>
              <w:rPr>
                <w:rFonts w:ascii="宋体" w:hAnsi="宋体" w:cs="宋体" w:eastAsia="宋体" w:hint="default"/>
                <w:sz w:val="18"/>
                <w:szCs w:val="18"/>
              </w:rPr>
              <w:t> </w:t>
            </w:r>
            <w:r>
              <w:rPr>
                <w:rFonts w:ascii="Times New Roman" w:hAnsi="Times New Roman" w:cs="Times New Roman" w:eastAsia="Times New Roman" w:hint="default"/>
                <w:spacing w:val="-5"/>
                <w:sz w:val="18"/>
                <w:szCs w:val="18"/>
              </w:rPr>
              <w:t>2015-006</w:t>
            </w:r>
            <w:r>
              <w:rPr>
                <w:rFonts w:ascii="宋体" w:hAnsi="宋体" w:cs="宋体" w:eastAsia="宋体" w:hint="default"/>
                <w:spacing w:val="-5"/>
                <w:sz w:val="18"/>
                <w:szCs w:val="18"/>
              </w:rPr>
              <w:t>）披</w:t>
            </w:r>
          </w:p>
          <w:p>
            <w:pPr>
              <w:pStyle w:val="TableParagraph"/>
              <w:spacing w:line="338" w:lineRule="auto"/>
              <w:ind w:left="22" w:right="96"/>
              <w:jc w:val="left"/>
              <w:rPr>
                <w:rFonts w:ascii="Times New Roman" w:hAnsi="Times New Roman" w:cs="Times New Roman" w:eastAsia="Times New Roman" w:hint="default"/>
                <w:sz w:val="18"/>
                <w:szCs w:val="18"/>
              </w:rPr>
            </w:pPr>
            <w:r>
              <w:rPr>
                <w:rFonts w:ascii="宋体" w:hAnsi="宋体" w:cs="宋体" w:eastAsia="宋体" w:hint="default"/>
                <w:sz w:val="18"/>
                <w:szCs w:val="18"/>
              </w:rPr>
              <w:t>露于巨潮资 讯网 </w:t>
            </w:r>
            <w:r>
              <w:rPr>
                <w:rFonts w:ascii="Times New Roman" w:hAnsi="Times New Roman" w:cs="Times New Roman" w:eastAsia="Times New Roman" w:hint="default"/>
                <w:spacing w:val="-2"/>
                <w:sz w:val="18"/>
                <w:szCs w:val="18"/>
              </w:rPr>
              <w:t>www.cninfo.</w:t>
            </w:r>
          </w:p>
          <w:p>
            <w:pPr>
              <w:pStyle w:val="TableParagraph"/>
              <w:spacing w:line="240" w:lineRule="auto" w:before="24"/>
              <w:ind w:left="22" w:right="0"/>
              <w:jc w:val="left"/>
              <w:rPr>
                <w:rFonts w:ascii="Times New Roman" w:hAnsi="Times New Roman" w:cs="Times New Roman" w:eastAsia="Times New Roman" w:hint="default"/>
                <w:sz w:val="18"/>
                <w:szCs w:val="18"/>
              </w:rPr>
            </w:pPr>
            <w:r>
              <w:rPr>
                <w:rFonts w:ascii="Times New Roman"/>
                <w:sz w:val="18"/>
              </w:rPr>
              <w:t>com.cn</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七、主要控股参股公司分析" w:id="56"/>
      <w:bookmarkEnd w:id="56"/>
      <w:r>
        <w:rPr>
          <w:b w:val="0"/>
          <w:bCs w:val="0"/>
        </w:rPr>
      </w:r>
      <w:r>
        <w:rPr/>
        <w:t>七、主要控股参股公司分析</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right="-19"/>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4849" w:space="4070"/>
            <w:col w:w="2011"/>
          </w:cols>
        </w:sectPr>
      </w:pPr>
    </w:p>
    <w:p>
      <w:pPr>
        <w:spacing w:line="240" w:lineRule="auto" w:before="0"/>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963"/>
        <w:gridCol w:w="1097"/>
        <w:gridCol w:w="954"/>
        <w:gridCol w:w="956"/>
        <w:gridCol w:w="1181"/>
        <w:gridCol w:w="1182"/>
        <w:gridCol w:w="1181"/>
        <w:gridCol w:w="1091"/>
        <w:gridCol w:w="1091"/>
      </w:tblGrid>
      <w:tr>
        <w:trPr>
          <w:trHeight w:val="401" w:hRule="exact"/>
        </w:trPr>
        <w:tc>
          <w:tcPr>
            <w:tcW w:w="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1"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11"/>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5"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6"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0"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338" w:hRule="exact"/>
        </w:trPr>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22" w:right="28"/>
              <w:jc w:val="both"/>
              <w:rPr>
                <w:rFonts w:ascii="宋体" w:hAnsi="宋体" w:cs="宋体" w:eastAsia="宋体" w:hint="default"/>
                <w:sz w:val="18"/>
                <w:szCs w:val="18"/>
              </w:rPr>
            </w:pPr>
            <w:r>
              <w:rPr>
                <w:rFonts w:ascii="宋体" w:hAnsi="宋体" w:cs="宋体" w:eastAsia="宋体" w:hint="default"/>
                <w:sz w:val="18"/>
                <w:szCs w:val="18"/>
              </w:rPr>
              <w:t>北京久其政 务软件股份 有限公司</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99"/>
              <w:jc w:val="both"/>
              <w:rPr>
                <w:rFonts w:ascii="宋体" w:hAnsi="宋体" w:cs="宋体" w:eastAsia="宋体" w:hint="default"/>
                <w:sz w:val="18"/>
                <w:szCs w:val="18"/>
              </w:rPr>
            </w:pPr>
            <w:r>
              <w:rPr>
                <w:rFonts w:ascii="宋体" w:hAnsi="宋体" w:cs="宋体" w:eastAsia="宋体" w:hint="default"/>
                <w:sz w:val="18"/>
                <w:szCs w:val="18"/>
              </w:rPr>
              <w:t>电子政务 领域信息 化系统开 发与服务</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9"/>
              <w:jc w:val="right"/>
              <w:rPr>
                <w:rFonts w:ascii="Times New Roman" w:hAnsi="Times New Roman" w:cs="Times New Roman" w:eastAsia="Times New Roman" w:hint="default"/>
                <w:sz w:val="18"/>
                <w:szCs w:val="18"/>
              </w:rPr>
            </w:pPr>
            <w:r>
              <w:rPr>
                <w:rFonts w:ascii="Times New Roman"/>
                <w:sz w:val="18"/>
              </w:rPr>
              <w:t>50,000,000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99,488,021.98</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89,756,878.08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41,715,711.80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97" w:right="0"/>
              <w:jc w:val="center"/>
              <w:rPr>
                <w:rFonts w:ascii="Times New Roman" w:hAnsi="Times New Roman" w:cs="Times New Roman" w:eastAsia="Times New Roman" w:hint="default"/>
                <w:sz w:val="18"/>
                <w:szCs w:val="18"/>
              </w:rPr>
            </w:pPr>
            <w:r>
              <w:rPr>
                <w:rFonts w:ascii="Times New Roman"/>
                <w:sz w:val="18"/>
              </w:rPr>
              <w:t>9,113,436.22</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9,017,924.56</w:t>
            </w:r>
          </w:p>
        </w:tc>
      </w:tr>
      <w:tr>
        <w:trPr>
          <w:trHeight w:val="403" w:hRule="exact"/>
        </w:trPr>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
              <w:jc w:val="center"/>
              <w:rPr>
                <w:rFonts w:ascii="宋体" w:hAnsi="宋体" w:cs="宋体" w:eastAsia="宋体" w:hint="default"/>
                <w:sz w:val="18"/>
                <w:szCs w:val="18"/>
              </w:rPr>
            </w:pPr>
            <w:r>
              <w:rPr>
                <w:rFonts w:ascii="宋体" w:hAnsi="宋体" w:cs="宋体" w:eastAsia="宋体" w:hint="default"/>
                <w:sz w:val="18"/>
                <w:szCs w:val="18"/>
              </w:rPr>
              <w:t>北京亿起联</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移动互联</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9"/>
              <w:jc w:val="right"/>
              <w:rPr>
                <w:rFonts w:ascii="Times New Roman" w:hAnsi="Times New Roman" w:cs="Times New Roman" w:eastAsia="Times New Roman" w:hint="default"/>
                <w:sz w:val="18"/>
                <w:szCs w:val="18"/>
              </w:rPr>
            </w:pPr>
            <w:r>
              <w:rPr>
                <w:rFonts w:ascii="Times New Roman"/>
                <w:sz w:val="18"/>
              </w:rPr>
              <w:t>31,000,000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181,922,544.97</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115,057,471.45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294,829,653.46</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63,389,313.54</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50,435,331.82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21" w:type="dxa"/>
        <w:tblLayout w:type="fixed"/>
        <w:tblCellMar>
          <w:top w:w="0" w:type="dxa"/>
          <w:left w:w="0" w:type="dxa"/>
          <w:bottom w:w="0" w:type="dxa"/>
          <w:right w:w="0" w:type="dxa"/>
        </w:tblCellMar>
        <w:tblLook w:val="01E0"/>
      </w:tblPr>
      <w:tblGrid>
        <w:gridCol w:w="963"/>
        <w:gridCol w:w="1097"/>
        <w:gridCol w:w="954"/>
        <w:gridCol w:w="956"/>
        <w:gridCol w:w="1181"/>
        <w:gridCol w:w="1182"/>
        <w:gridCol w:w="1181"/>
        <w:gridCol w:w="1091"/>
        <w:gridCol w:w="1091"/>
      </w:tblGrid>
      <w:tr>
        <w:trPr>
          <w:trHeight w:val="986" w:hRule="exact"/>
        </w:trPr>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8"/>
              <w:jc w:val="left"/>
              <w:rPr>
                <w:rFonts w:ascii="宋体" w:hAnsi="宋体" w:cs="宋体" w:eastAsia="宋体" w:hint="default"/>
                <w:sz w:val="18"/>
                <w:szCs w:val="18"/>
              </w:rPr>
            </w:pPr>
            <w:r>
              <w:rPr>
                <w:rFonts w:ascii="宋体" w:hAnsi="宋体" w:cs="宋体" w:eastAsia="宋体" w:hint="default"/>
                <w:sz w:val="18"/>
                <w:szCs w:val="18"/>
              </w:rPr>
              <w:t>科技有限公 司</w:t>
            </w:r>
          </w:p>
        </w:tc>
        <w:tc>
          <w:tcPr>
            <w:tcW w:w="1097" w:type="dxa"/>
            <w:tcBorders>
              <w:top w:val="single" w:sz="4" w:space="0" w:color="000000"/>
              <w:left w:val="single" w:sz="4" w:space="0" w:color="000000"/>
              <w:bottom w:val="single" w:sz="4" w:space="0" w:color="000000"/>
              <w:right w:val="single" w:sz="4" w:space="0" w:color="000000"/>
            </w:tcBorders>
          </w:tcPr>
          <w:p>
            <w:pP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网广告、游 戏发行等 业务</w:t>
            </w:r>
          </w:p>
        </w:tc>
        <w:tc>
          <w:tcPr>
            <w:tcW w:w="9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8"/>
              <w:jc w:val="both"/>
              <w:rPr>
                <w:rFonts w:ascii="宋体" w:hAnsi="宋体" w:cs="宋体" w:eastAsia="宋体" w:hint="default"/>
                <w:sz w:val="18"/>
                <w:szCs w:val="18"/>
              </w:rPr>
            </w:pPr>
            <w:r>
              <w:rPr>
                <w:rFonts w:ascii="宋体" w:hAnsi="宋体" w:cs="宋体" w:eastAsia="宋体" w:hint="default"/>
                <w:sz w:val="18"/>
                <w:szCs w:val="18"/>
              </w:rPr>
              <w:t>北京华夏电 通科技有限 公司</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9"/>
              <w:jc w:val="both"/>
              <w:rPr>
                <w:rFonts w:ascii="宋体" w:hAnsi="宋体" w:cs="宋体" w:eastAsia="宋体" w:hint="default"/>
                <w:sz w:val="18"/>
                <w:szCs w:val="18"/>
              </w:rPr>
            </w:pPr>
            <w:r>
              <w:rPr>
                <w:rFonts w:ascii="宋体" w:hAnsi="宋体" w:cs="宋体" w:eastAsia="宋体" w:hint="default"/>
                <w:sz w:val="18"/>
                <w:szCs w:val="18"/>
              </w:rPr>
              <w:t>提供专业 的视讯应 用产品及 解决方案</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51,300,000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339,598,281.21</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162,698,018.69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164,239,001.44</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28,542,508.58</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45,245,294.01</w:t>
            </w:r>
          </w:p>
        </w:tc>
      </w:tr>
      <w:tr>
        <w:trPr>
          <w:trHeight w:val="2898" w:hRule="exact"/>
        </w:trPr>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2" w:right="28"/>
              <w:jc w:val="both"/>
              <w:rPr>
                <w:rFonts w:ascii="宋体" w:hAnsi="宋体" w:cs="宋体" w:eastAsia="宋体" w:hint="default"/>
                <w:sz w:val="18"/>
                <w:szCs w:val="18"/>
              </w:rPr>
            </w:pPr>
            <w:r>
              <w:rPr>
                <w:rFonts w:ascii="宋体" w:hAnsi="宋体" w:cs="宋体" w:eastAsia="宋体" w:hint="default"/>
                <w:sz w:val="18"/>
                <w:szCs w:val="18"/>
              </w:rPr>
              <w:t>广东同望科 技股份有限 公司</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
              <w:jc w:val="left"/>
              <w:rPr>
                <w:rFonts w:ascii="宋体" w:hAnsi="宋体" w:cs="宋体" w:eastAsia="宋体" w:hint="default"/>
                <w:sz w:val="18"/>
                <w:szCs w:val="18"/>
              </w:rPr>
            </w:pPr>
            <w:r>
              <w:rPr>
                <w:rFonts w:ascii="宋体" w:hAnsi="宋体" w:cs="宋体" w:eastAsia="宋体" w:hint="default"/>
                <w:sz w:val="18"/>
                <w:szCs w:val="18"/>
              </w:rPr>
              <w:t>项目管理、 协同办公、 系统集成 三大领域 相关业务 的管理研 究和信息 化技术开</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发</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23" w:right="0"/>
              <w:jc w:val="left"/>
              <w:rPr>
                <w:rFonts w:ascii="Times New Roman" w:hAnsi="Times New Roman" w:cs="Times New Roman" w:eastAsia="Times New Roman" w:hint="default"/>
                <w:sz w:val="18"/>
                <w:szCs w:val="18"/>
              </w:rPr>
            </w:pPr>
            <w:r>
              <w:rPr>
                <w:rFonts w:ascii="Times New Roman"/>
                <w:sz w:val="18"/>
              </w:rPr>
              <w:t>56,290,000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0"/>
              <w:jc w:val="right"/>
              <w:rPr>
                <w:rFonts w:ascii="Times New Roman" w:hAnsi="Times New Roman" w:cs="Times New Roman" w:eastAsia="Times New Roman" w:hint="default"/>
                <w:sz w:val="18"/>
                <w:szCs w:val="18"/>
              </w:rPr>
            </w:pPr>
            <w:r>
              <w:rPr>
                <w:rFonts w:ascii="Times New Roman"/>
                <w:spacing w:val="-1"/>
                <w:sz w:val="18"/>
              </w:rPr>
              <w:t>167,846,258.40</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0"/>
              <w:jc w:val="right"/>
              <w:rPr>
                <w:rFonts w:ascii="Times New Roman" w:hAnsi="Times New Roman" w:cs="Times New Roman" w:eastAsia="Times New Roman" w:hint="default"/>
                <w:sz w:val="18"/>
                <w:szCs w:val="18"/>
              </w:rPr>
            </w:pPr>
            <w:r>
              <w:rPr>
                <w:rFonts w:ascii="Times New Roman"/>
                <w:spacing w:val="-1"/>
                <w:sz w:val="18"/>
              </w:rPr>
              <w:t>125,221,530.73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0"/>
              <w:jc w:val="right"/>
              <w:rPr>
                <w:rFonts w:ascii="Times New Roman" w:hAnsi="Times New Roman" w:cs="Times New Roman" w:eastAsia="Times New Roman" w:hint="default"/>
                <w:sz w:val="18"/>
                <w:szCs w:val="18"/>
              </w:rPr>
            </w:pPr>
            <w:r>
              <w:rPr>
                <w:rFonts w:ascii="Times New Roman"/>
                <w:spacing w:val="-1"/>
                <w:sz w:val="18"/>
              </w:rPr>
              <w:t>80,851,808.64</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0"/>
              <w:jc w:val="right"/>
              <w:rPr>
                <w:rFonts w:ascii="Times New Roman" w:hAnsi="Times New Roman" w:cs="Times New Roman" w:eastAsia="Times New Roman" w:hint="default"/>
                <w:sz w:val="18"/>
                <w:szCs w:val="18"/>
              </w:rPr>
            </w:pPr>
            <w:r>
              <w:rPr>
                <w:rFonts w:ascii="Times New Roman"/>
                <w:w w:val="95"/>
                <w:sz w:val="18"/>
              </w:rPr>
              <w:t>-73,229.67</w:t>
            </w:r>
            <w:r>
              <w:rPr>
                <w:rFonts w:ascii="Times New Roman"/>
                <w:sz w:val="18"/>
              </w:rPr>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0"/>
              <w:jc w:val="right"/>
              <w:rPr>
                <w:rFonts w:ascii="Times New Roman" w:hAnsi="Times New Roman" w:cs="Times New Roman" w:eastAsia="Times New Roman" w:hint="default"/>
                <w:sz w:val="18"/>
                <w:szCs w:val="18"/>
              </w:rPr>
            </w:pPr>
            <w:r>
              <w:rPr>
                <w:rFonts w:ascii="Times New Roman"/>
                <w:spacing w:val="-1"/>
                <w:sz w:val="18"/>
              </w:rPr>
              <w:t>7,864,668.33</w:t>
            </w:r>
          </w:p>
        </w:tc>
      </w:tr>
    </w:tbl>
    <w:p>
      <w:pPr>
        <w:pStyle w:val="BodyText"/>
        <w:spacing w:line="240" w:lineRule="auto" w:before="51"/>
        <w:ind w:left="154" w:right="0"/>
        <w:jc w:val="left"/>
      </w:pPr>
      <w:r>
        <w:rPr/>
        <w:t>报告期内取得和处置子公司的情况</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pStyle w:val="BodyText"/>
        <w:spacing w:line="240" w:lineRule="auto" w:before="44"/>
        <w:ind w:left="0" w:right="1139"/>
        <w:jc w:val="right"/>
      </w:pPr>
      <w:r>
        <w:rPr/>
        <w:pict>
          <v:shape style="position:absolute;margin-left:56.459999pt;margin-top:-112.468269pt;width:479.25pt;height:254.9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北京北邮中望信息科技有限责任公司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北京亿起联科技有限公司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进军数字营销领域，报告期内为公司贡 献利润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5,125.30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北京久其龙信数据科技有限公司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合资设立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深化大数据业务布局，尚处于投入期， 报告期略有盈利</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北京久其互联网金融信息服务有限公司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合资设立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2"/>
                          <w:jc w:val="left"/>
                          <w:rPr>
                            <w:rFonts w:ascii="宋体" w:hAnsi="宋体" w:cs="宋体" w:eastAsia="宋体" w:hint="default"/>
                            <w:sz w:val="18"/>
                            <w:szCs w:val="18"/>
                          </w:rPr>
                        </w:pPr>
                        <w:r>
                          <w:rPr>
                            <w:rFonts w:ascii="宋体" w:hAnsi="宋体" w:cs="宋体" w:eastAsia="宋体" w:hint="default"/>
                            <w:spacing w:val="-1"/>
                            <w:sz w:val="18"/>
                            <w:szCs w:val="18"/>
                          </w:rPr>
                          <w:t>布局互联网金融新业务，尚处于投入期</w:t>
                        </w:r>
                        <w:r>
                          <w:rPr>
                            <w:rFonts w:ascii="宋体" w:hAnsi="宋体" w:cs="宋体" w:eastAsia="宋体" w:hint="default"/>
                            <w:sz w:val="18"/>
                            <w:szCs w:val="18"/>
                          </w:rPr>
                          <w:t> 报告期业绩亏损</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北京蜂语网络科技有限公司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合资设立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13"/>
                          <w:jc w:val="left"/>
                          <w:rPr>
                            <w:rFonts w:ascii="宋体" w:hAnsi="宋体" w:cs="宋体" w:eastAsia="宋体" w:hint="default"/>
                            <w:sz w:val="18"/>
                            <w:szCs w:val="18"/>
                          </w:rPr>
                        </w:pPr>
                        <w:r>
                          <w:rPr>
                            <w:rFonts w:ascii="宋体" w:hAnsi="宋体" w:cs="宋体" w:eastAsia="宋体" w:hint="default"/>
                            <w:sz w:val="18"/>
                            <w:szCs w:val="18"/>
                          </w:rPr>
                          <w:t>布局</w:t>
                        </w:r>
                        <w:r>
                          <w:rPr>
                            <w:rFonts w:ascii="宋体" w:hAnsi="宋体" w:cs="宋体" w:eastAsia="宋体" w:hint="default"/>
                            <w:spacing w:val="-53"/>
                            <w:sz w:val="18"/>
                            <w:szCs w:val="18"/>
                          </w:rPr>
                          <w:t> </w:t>
                        </w:r>
                        <w:r>
                          <w:rPr>
                            <w:rFonts w:ascii="Times New Roman" w:hAnsi="Times New Roman" w:cs="Times New Roman" w:eastAsia="Times New Roman" w:hint="default"/>
                            <w:w w:val="99"/>
                            <w:sz w:val="18"/>
                            <w:szCs w:val="18"/>
                          </w:rPr>
                          <w:t>PaaS</w:t>
                        </w:r>
                        <w:r>
                          <w:rPr>
                            <w:rFonts w:ascii="Times New Roman" w:hAnsi="Times New Roman" w:cs="Times New Roman" w:eastAsia="Times New Roman" w:hint="default"/>
                            <w:spacing w:val="-8"/>
                            <w:w w:val="99"/>
                            <w:sz w:val="18"/>
                            <w:szCs w:val="18"/>
                          </w:rPr>
                          <w:t> </w:t>
                        </w:r>
                        <w:r>
                          <w:rPr>
                            <w:rFonts w:ascii="宋体" w:hAnsi="宋体" w:cs="宋体" w:eastAsia="宋体" w:hint="default"/>
                            <w:spacing w:val="-7"/>
                            <w:sz w:val="18"/>
                            <w:szCs w:val="18"/>
                          </w:rPr>
                          <w:t>云服务新业务，尚处于投入期</w:t>
                        </w:r>
                        <w:r>
                          <w:rPr>
                            <w:rFonts w:ascii="宋体" w:hAnsi="宋体" w:cs="宋体" w:eastAsia="宋体" w:hint="default"/>
                            <w:sz w:val="18"/>
                            <w:szCs w:val="18"/>
                          </w:rPr>
                          <w:t> 报告期业绩亏损</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北京华夏电通科技有限公司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强化司法领域业务拓展，报告期内为公 司贡献利润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734.22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北京中民颐养科技服务有限公司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合资设立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0"/>
                          <w:jc w:val="left"/>
                          <w:rPr>
                            <w:rFonts w:ascii="宋体" w:hAnsi="宋体" w:cs="宋体" w:eastAsia="宋体" w:hint="default"/>
                            <w:sz w:val="18"/>
                            <w:szCs w:val="18"/>
                          </w:rPr>
                        </w:pPr>
                        <w:r>
                          <w:rPr>
                            <w:rFonts w:ascii="宋体" w:hAnsi="宋体" w:cs="宋体" w:eastAsia="宋体" w:hint="default"/>
                            <w:spacing w:val="-2"/>
                            <w:sz w:val="18"/>
                            <w:szCs w:val="18"/>
                          </w:rPr>
                          <w:t>布局互联网</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养老新业务，报告期尚处于</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筹建阶段</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spacing w:line="240" w:lineRule="auto"/>
        <w:ind w:left="0" w:right="1139"/>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pStyle w:val="BodyText"/>
        <w:spacing w:line="240" w:lineRule="auto" w:before="44"/>
        <w:ind w:left="154" w:right="0"/>
        <w:jc w:val="left"/>
      </w:pPr>
      <w:r>
        <w:rPr/>
        <w:t>主要控股参股公司情况说明</w:t>
      </w:r>
    </w:p>
    <w:p>
      <w:pPr>
        <w:pStyle w:val="BodyText"/>
        <w:spacing w:line="312" w:lineRule="auto" w:before="116"/>
        <w:ind w:right="1033"/>
        <w:jc w:val="left"/>
      </w:pPr>
      <w:r>
        <w:rPr>
          <w:rFonts w:ascii="Times New Roman" w:hAnsi="Times New Roman" w:cs="Times New Roman" w:eastAsia="Times New Roman" w:hint="default"/>
        </w:rPr>
        <w:t>1</w:t>
      </w:r>
      <w:r>
        <w:rPr/>
        <w:t>、亿起联科技 北京亿起联科技有限公司成立于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02</w:t>
      </w:r>
      <w:r>
        <w:rPr/>
        <w:t>月</w:t>
      </w:r>
      <w:r>
        <w:rPr>
          <w:rFonts w:ascii="Times New Roman" w:hAnsi="Times New Roman" w:cs="Times New Roman" w:eastAsia="Times New Roman" w:hint="default"/>
        </w:rPr>
        <w:t>09</w:t>
      </w:r>
      <w:r>
        <w:rPr/>
        <w:t>日，注册资本</w:t>
      </w:r>
      <w:r>
        <w:rPr>
          <w:rFonts w:ascii="Times New Roman" w:hAnsi="Times New Roman" w:cs="Times New Roman" w:eastAsia="Times New Roman" w:hint="default"/>
        </w:rPr>
        <w:t>3,100</w:t>
      </w:r>
      <w:r>
        <w:rPr/>
        <w:t>万元，住所为北京市怀柔区渤海镇怀沙路</w:t>
      </w:r>
      <w:r>
        <w:rPr>
          <w:rFonts w:ascii="Times New Roman" w:hAnsi="Times New Roman" w:cs="Times New Roman" w:eastAsia="Times New Roman" w:hint="default"/>
        </w:rPr>
        <w:t>536</w:t>
      </w:r>
      <w:r>
        <w:rPr/>
        <w:t>号</w:t>
      </w:r>
      <w:r>
        <w:rPr>
          <w:rFonts w:ascii="Times New Roman" w:hAnsi="Times New Roman" w:cs="Times New Roman" w:eastAsia="Times New Roman" w:hint="default"/>
        </w:rPr>
        <w:t>110</w:t>
      </w:r>
      <w:r>
        <w:rPr/>
        <w:t>门，经</w:t>
      </w:r>
      <w:r>
        <w:rPr>
          <w:spacing w:val="-42"/>
        </w:rPr>
        <w:t> </w:t>
      </w:r>
      <w:r>
        <w:rPr>
          <w:spacing w:val="-4"/>
        </w:rPr>
        <w:t>营范围为科技开发；网络技术服务；信息咨询（不含中介服务）；承办展览展示；会议服务；设计、制作、代理、发布广告；</w:t>
      </w:r>
      <w:r>
        <w:rPr>
          <w:spacing w:val="-45"/>
        </w:rPr>
        <w:t> </w:t>
      </w:r>
      <w:r>
        <w:rPr>
          <w:spacing w:val="-45"/>
        </w:rPr>
      </w:r>
      <w:r>
        <w:rPr/>
        <w:t>货物进入口、技术进入口、代理进出口；投资管理；投资咨询。 </w:t>
      </w:r>
      <w:r>
        <w:rPr>
          <w:spacing w:val="-2"/>
        </w:rPr>
        <w:t>报告期内，亿起联科技全年共实现营业收入</w:t>
      </w:r>
      <w:r>
        <w:rPr>
          <w:rFonts w:ascii="宋体" w:hAnsi="宋体" w:cs="宋体" w:eastAsia="宋体" w:hint="default"/>
          <w:spacing w:val="-2"/>
        </w:rPr>
        <w:t>29,482.97</w:t>
      </w:r>
      <w:r>
        <w:rPr>
          <w:spacing w:val="-2"/>
        </w:rPr>
        <w:t>万元，同比增长</w:t>
      </w:r>
      <w:r>
        <w:rPr>
          <w:rFonts w:ascii="宋体" w:hAnsi="宋体" w:cs="宋体" w:eastAsia="宋体" w:hint="default"/>
          <w:spacing w:val="-2"/>
        </w:rPr>
        <w:t>112.53%</w:t>
      </w:r>
      <w:r>
        <w:rPr>
          <w:spacing w:val="-2"/>
        </w:rPr>
        <w:t>，净利润</w:t>
      </w:r>
      <w:r>
        <w:rPr>
          <w:rFonts w:ascii="宋体" w:hAnsi="宋体" w:cs="宋体" w:eastAsia="宋体" w:hint="default"/>
          <w:spacing w:val="-2"/>
        </w:rPr>
        <w:t>5,043.53</w:t>
      </w:r>
      <w:r>
        <w:rPr>
          <w:spacing w:val="-2"/>
        </w:rPr>
        <w:t>万元，同比增长</w:t>
      </w:r>
      <w:r>
        <w:rPr>
          <w:rFonts w:ascii="宋体" w:hAnsi="宋体" w:cs="宋体" w:eastAsia="宋体" w:hint="default"/>
          <w:spacing w:val="-2"/>
        </w:rPr>
        <w:t>52.34%</w:t>
      </w:r>
      <w:r>
        <w:rPr>
          <w:spacing w:val="-2"/>
        </w:rPr>
        <w:t>，其</w:t>
      </w:r>
      <w:r>
        <w:rPr>
          <w:spacing w:val="-54"/>
        </w:rPr>
        <w:t> </w:t>
      </w:r>
      <w:r>
        <w:rPr/>
        <w:t>主营业务收入主要来自三方面，一是国内广告平台，二是海外业务平台，三是游戏发行，其中，国内广告收入</w:t>
      </w:r>
      <w:r>
        <w:rPr>
          <w:rFonts w:ascii="宋体" w:hAnsi="宋体" w:cs="宋体" w:eastAsia="宋体" w:hint="default"/>
        </w:rPr>
        <w:t>22,522.72</w:t>
      </w:r>
      <w:r>
        <w:rPr/>
        <w:t>万</w:t>
      </w:r>
      <w:r>
        <w:rPr>
          <w:spacing w:val="-81"/>
        </w:rPr>
        <w:t> </w:t>
      </w:r>
      <w:r>
        <w:rPr>
          <w:spacing w:val="-2"/>
        </w:rPr>
        <w:t>元，同比增长</w:t>
      </w:r>
      <w:r>
        <w:rPr>
          <w:rFonts w:ascii="宋体" w:hAnsi="宋体" w:cs="宋体" w:eastAsia="宋体" w:hint="default"/>
          <w:spacing w:val="-2"/>
        </w:rPr>
        <w:t>62.36%</w:t>
      </w:r>
      <w:r>
        <w:rPr>
          <w:spacing w:val="-2"/>
        </w:rPr>
        <w:t>；</w:t>
      </w:r>
      <w:r>
        <w:rPr>
          <w:rFonts w:ascii="宋体" w:hAnsi="宋体" w:cs="宋体" w:eastAsia="宋体" w:hint="default"/>
          <w:spacing w:val="-2"/>
        </w:rPr>
        <w:t>PandaMobo</w:t>
      </w:r>
      <w:r>
        <w:rPr>
          <w:spacing w:val="-2"/>
        </w:rPr>
        <w:t>海外业务平台自</w:t>
      </w:r>
      <w:r>
        <w:rPr>
          <w:rFonts w:ascii="宋体" w:hAnsi="宋体" w:cs="宋体" w:eastAsia="宋体" w:hint="default"/>
          <w:spacing w:val="-2"/>
        </w:rPr>
        <w:t>2015</w:t>
      </w:r>
      <w:r>
        <w:rPr>
          <w:spacing w:val="-2"/>
        </w:rPr>
        <w:t>年</w:t>
      </w:r>
      <w:r>
        <w:rPr>
          <w:rFonts w:ascii="宋体" w:hAnsi="宋体" w:cs="宋体" w:eastAsia="宋体" w:hint="default"/>
          <w:spacing w:val="-2"/>
        </w:rPr>
        <w:t>5</w:t>
      </w:r>
      <w:r>
        <w:rPr>
          <w:spacing w:val="-2"/>
        </w:rPr>
        <w:t>月正式运营至报告期末，共实现海外广告收入</w:t>
      </w:r>
      <w:r>
        <w:rPr>
          <w:rFonts w:ascii="宋体" w:hAnsi="宋体" w:cs="宋体" w:eastAsia="宋体" w:hint="default"/>
          <w:spacing w:val="-2"/>
        </w:rPr>
        <w:t>6,781.60</w:t>
      </w:r>
      <w:r>
        <w:rPr>
          <w:spacing w:val="-2"/>
        </w:rPr>
        <w:t>万元，报告</w:t>
      </w:r>
      <w:r>
        <w:rPr>
          <w:spacing w:val="-38"/>
        </w:rPr>
        <w:t> </w:t>
      </w:r>
      <w:r>
        <w:rPr>
          <w:spacing w:val="-38"/>
        </w:rPr>
      </w:r>
      <w:r>
        <w:rPr/>
        <w:t>期新增的游戏发行收入</w:t>
      </w:r>
      <w:r>
        <w:rPr>
          <w:rFonts w:ascii="宋体" w:hAnsi="宋体" w:cs="宋体" w:eastAsia="宋体" w:hint="default"/>
        </w:rPr>
        <w:t>178.64</w:t>
      </w:r>
      <w:r>
        <w:rPr/>
        <w:t>万元。</w:t>
      </w:r>
    </w:p>
    <w:p>
      <w:pPr>
        <w:spacing w:after="0" w:line="312"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4" w:lineRule="auto" w:before="44"/>
        <w:ind w:right="1033"/>
        <w:jc w:val="left"/>
      </w:pPr>
      <w:r>
        <w:rPr>
          <w:rFonts w:ascii="Times New Roman" w:hAnsi="Times New Roman" w:cs="Times New Roman" w:eastAsia="Times New Roman" w:hint="default"/>
        </w:rPr>
        <w:t>2</w:t>
      </w:r>
      <w:r>
        <w:rPr/>
        <w:t>、华夏电通 北京华夏电通科技有限公司成立于</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09</w:t>
      </w:r>
      <w:r>
        <w:rPr/>
        <w:t>月</w:t>
      </w:r>
      <w:r>
        <w:rPr>
          <w:rFonts w:ascii="Times New Roman" w:hAnsi="Times New Roman" w:cs="Times New Roman" w:eastAsia="Times New Roman" w:hint="default"/>
        </w:rPr>
        <w:t>14</w:t>
      </w:r>
      <w:r>
        <w:rPr/>
        <w:t>日，注册资本</w:t>
      </w:r>
      <w:r>
        <w:rPr>
          <w:rFonts w:ascii="Times New Roman" w:hAnsi="Times New Roman" w:cs="Times New Roman" w:eastAsia="Times New Roman" w:hint="default"/>
        </w:rPr>
        <w:t>5,130</w:t>
      </w:r>
      <w:r>
        <w:rPr/>
        <w:t>万元，住所为北京市海淀区上地三街</w:t>
      </w:r>
      <w:r>
        <w:rPr>
          <w:rFonts w:ascii="Times New Roman" w:hAnsi="Times New Roman" w:cs="Times New Roman" w:eastAsia="Times New Roman" w:hint="default"/>
        </w:rPr>
        <w:t>9</w:t>
      </w:r>
      <w:r>
        <w:rPr/>
        <w:t>号</w:t>
      </w:r>
      <w:r>
        <w:rPr>
          <w:rFonts w:ascii="Times New Roman" w:hAnsi="Times New Roman" w:cs="Times New Roman" w:eastAsia="Times New Roman" w:hint="default"/>
        </w:rPr>
        <w:t>A</w:t>
      </w:r>
      <w:r>
        <w:rPr/>
        <w:t>座</w:t>
      </w:r>
      <w:r>
        <w:rPr>
          <w:rFonts w:ascii="Times New Roman" w:hAnsi="Times New Roman" w:cs="Times New Roman" w:eastAsia="Times New Roman" w:hint="default"/>
        </w:rPr>
        <w:t>A301</w:t>
      </w:r>
      <w:r>
        <w:rPr/>
        <w:t>室，经 </w:t>
      </w:r>
      <w:r>
        <w:rPr>
          <w:spacing w:val="-4"/>
        </w:rPr>
        <w:t>营范围为技术开发、技术转让、技术培训、技术咨询、技术服务；设计、生产计算机软硬件；销售计算机软硬件及辅助设备、</w:t>
      </w:r>
      <w:r>
        <w:rPr>
          <w:spacing w:val="-46"/>
        </w:rPr>
        <w:t> </w:t>
      </w:r>
      <w:r>
        <w:rPr>
          <w:spacing w:val="-46"/>
        </w:rPr>
      </w:r>
      <w:r>
        <w:rPr/>
        <w:t>电子产品；计算机系统集成；维修计算机；承接计算机网络工程。 </w:t>
      </w:r>
      <w:r>
        <w:rPr>
          <w:spacing w:val="-2"/>
        </w:rPr>
        <w:t>报告期内，华夏电通结合市场需求继续对数字法庭软硬件产品功能完善升级，同时相继推出庭审核查、互联网直播及统一管</w:t>
      </w:r>
      <w:r>
        <w:rPr>
          <w:spacing w:val="-66"/>
        </w:rPr>
        <w:t> </w:t>
      </w:r>
      <w:r>
        <w:rPr>
          <w:spacing w:val="-66"/>
        </w:rPr>
      </w:r>
      <w:r>
        <w:rPr>
          <w:spacing w:val="-2"/>
        </w:rPr>
        <w:t>理平台等新型产品与解决方案，依托多年来在数字法庭业务领域积累的竞争优势与市场资源，积极推进新业务在各地区法院</w:t>
      </w:r>
      <w:r>
        <w:rPr>
          <w:spacing w:val="-64"/>
        </w:rPr>
        <w:t> </w:t>
      </w:r>
      <w:r>
        <w:rPr>
          <w:spacing w:val="-64"/>
        </w:rPr>
      </w:r>
      <w:r>
        <w:rPr>
          <w:spacing w:val="-2"/>
        </w:rPr>
        <w:t>的推广与应用，在市场实践中得到用户的认可，并且在东北及西北地区业务取得突破性进展，市场占有率进一步提高。华夏</w:t>
      </w:r>
      <w:r>
        <w:rPr>
          <w:spacing w:val="-66"/>
        </w:rPr>
        <w:t> </w:t>
      </w:r>
      <w:r>
        <w:rPr>
          <w:spacing w:val="-66"/>
        </w:rPr>
      </w:r>
      <w:r>
        <w:rPr>
          <w:spacing w:val="-2"/>
        </w:rPr>
        <w:t>电通在报告期共实现营业收入</w:t>
      </w:r>
      <w:r>
        <w:rPr>
          <w:rFonts w:ascii="宋体" w:hAnsi="宋体" w:cs="宋体" w:eastAsia="宋体" w:hint="default"/>
          <w:spacing w:val="-2"/>
        </w:rPr>
        <w:t>16,423.90</w:t>
      </w:r>
      <w:r>
        <w:rPr>
          <w:spacing w:val="-2"/>
        </w:rPr>
        <w:t>万元，同比增长</w:t>
      </w:r>
      <w:r>
        <w:rPr>
          <w:rFonts w:ascii="宋体" w:hAnsi="宋体" w:cs="宋体" w:eastAsia="宋体" w:hint="default"/>
          <w:spacing w:val="-2"/>
        </w:rPr>
        <w:t>10.63%</w:t>
      </w:r>
      <w:r>
        <w:rPr>
          <w:spacing w:val="-2"/>
        </w:rPr>
        <w:t>，净利润</w:t>
      </w:r>
      <w:r>
        <w:rPr>
          <w:rFonts w:ascii="宋体" w:hAnsi="宋体" w:cs="宋体" w:eastAsia="宋体" w:hint="default"/>
          <w:spacing w:val="-2"/>
        </w:rPr>
        <w:t>4,524.53</w:t>
      </w:r>
      <w:r>
        <w:rPr>
          <w:spacing w:val="-2"/>
        </w:rPr>
        <w:t>万元，同比增长</w:t>
      </w:r>
      <w:r>
        <w:rPr>
          <w:rFonts w:ascii="宋体" w:hAnsi="宋体" w:cs="宋体" w:eastAsia="宋体" w:hint="default"/>
          <w:spacing w:val="-2"/>
        </w:rPr>
        <w:t>111.68%</w:t>
      </w:r>
      <w:r>
        <w:rPr>
          <w:spacing w:val="-2"/>
        </w:rPr>
        <w:t>，其中，数字庭讯</w:t>
      </w:r>
      <w:r>
        <w:rPr>
          <w:spacing w:val="-37"/>
        </w:rPr>
        <w:t> </w:t>
      </w:r>
      <w:r>
        <w:rPr>
          <w:spacing w:val="-37"/>
        </w:rPr>
      </w:r>
      <w:r>
        <w:rPr/>
        <w:t>产品及解决方案实现收入</w:t>
      </w:r>
      <w:r>
        <w:rPr>
          <w:rFonts w:ascii="宋体" w:hAnsi="宋体" w:cs="宋体" w:eastAsia="宋体" w:hint="default"/>
        </w:rPr>
        <w:t>14,325.58</w:t>
      </w:r>
      <w:r>
        <w:rPr/>
        <w:t>万元，同比增长</w:t>
      </w:r>
      <w:r>
        <w:rPr>
          <w:rFonts w:ascii="宋体" w:hAnsi="宋体" w:cs="宋体" w:eastAsia="宋体" w:hint="default"/>
        </w:rPr>
        <w:t>21.06%</w:t>
      </w:r>
      <w:r>
        <w:rPr/>
        <w:t>。</w:t>
      </w:r>
    </w:p>
    <w:p>
      <w:pPr>
        <w:spacing w:line="240" w:lineRule="auto" w:before="12"/>
        <w:rPr>
          <w:rFonts w:ascii="宋体" w:hAnsi="宋体" w:cs="宋体" w:eastAsia="宋体" w:hint="default"/>
          <w:sz w:val="20"/>
          <w:szCs w:val="20"/>
        </w:rPr>
      </w:pPr>
    </w:p>
    <w:p>
      <w:pPr>
        <w:pStyle w:val="Heading2"/>
        <w:spacing w:line="240" w:lineRule="auto"/>
        <w:ind w:left="154" w:right="0"/>
        <w:jc w:val="left"/>
        <w:rPr>
          <w:b w:val="0"/>
          <w:bCs w:val="0"/>
        </w:rPr>
      </w:pPr>
      <w:bookmarkStart w:name="八、公司控制的结构化主体情况" w:id="57"/>
      <w:bookmarkEnd w:id="57"/>
      <w:r>
        <w:rPr>
          <w:b w:val="0"/>
          <w:bCs w:val="0"/>
        </w:rPr>
      </w:r>
      <w:r>
        <w:rPr/>
        <w:t>八、公司控制的结构化主体情况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九、公司未来发展的展望" w:id="58"/>
      <w:bookmarkEnd w:id="58"/>
      <w:r>
        <w:rPr>
          <w:b w:val="0"/>
          <w:bCs w:val="0"/>
        </w:rPr>
      </w:r>
      <w:r>
        <w:rPr/>
        <w:t>九、公司未来发展的展望</w:t>
      </w:r>
      <w:r>
        <w:rPr>
          <w:b w:val="0"/>
          <w:bCs w:val="0"/>
        </w:rPr>
      </w:r>
    </w:p>
    <w:p>
      <w:pPr>
        <w:spacing w:line="240" w:lineRule="auto" w:before="7"/>
        <w:rPr>
          <w:rFonts w:ascii="宋体" w:hAnsi="宋体" w:cs="宋体" w:eastAsia="宋体" w:hint="default"/>
          <w:b/>
          <w:bCs/>
          <w:sz w:val="26"/>
          <w:szCs w:val="26"/>
        </w:rPr>
      </w:pPr>
    </w:p>
    <w:p>
      <w:pPr>
        <w:pStyle w:val="BodyText"/>
        <w:spacing w:line="307" w:lineRule="auto"/>
        <w:ind w:right="1033"/>
        <w:jc w:val="left"/>
      </w:pPr>
      <w:r>
        <w:rPr/>
        <w:t>（一）行业前景 据工业和信息化部发布数据显示，</w:t>
      </w:r>
      <w:r>
        <w:rPr>
          <w:rFonts w:ascii="Times New Roman" w:hAnsi="Times New Roman" w:cs="Times New Roman" w:eastAsia="Times New Roman" w:hint="default"/>
        </w:rPr>
        <w:t>2015</w:t>
      </w:r>
      <w:r>
        <w:rPr/>
        <w:t>年我国软件和信息技术服务业共实现软件业务收入</w:t>
      </w:r>
      <w:r>
        <w:rPr>
          <w:rFonts w:ascii="Times New Roman" w:hAnsi="Times New Roman" w:cs="Times New Roman" w:eastAsia="Times New Roman" w:hint="default"/>
        </w:rPr>
        <w:t>4.3</w:t>
      </w:r>
      <w:r>
        <w:rPr/>
        <w:t>万亿元，同比增长</w:t>
      </w:r>
      <w:r>
        <w:rPr>
          <w:rFonts w:ascii="Times New Roman" w:hAnsi="Times New Roman" w:cs="Times New Roman" w:eastAsia="Times New Roman" w:hint="default"/>
        </w:rPr>
        <w:t>16.6%</w:t>
      </w:r>
      <w:r>
        <w:rPr/>
        <w:t>，行业 </w:t>
      </w:r>
      <w:r>
        <w:rPr>
          <w:spacing w:val="-2"/>
        </w:rPr>
        <w:t>整体继续保持平稳发展态势。</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10</w:t>
      </w:r>
      <w:r>
        <w:rPr>
          <w:spacing w:val="-2"/>
        </w:rPr>
        <w:t>月，《中共中央关于制定国民经济和社会发展第十三个五年规划的建议》颁布，明确</w:t>
      </w:r>
      <w:r>
        <w:rPr>
          <w:spacing w:val="-60"/>
        </w:rPr>
        <w:t> </w:t>
      </w:r>
      <w:r>
        <w:rPr>
          <w:spacing w:val="-60"/>
        </w:rPr>
      </w:r>
      <w:r>
        <w:rPr/>
        <w:t>指出</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规划要坚持创新发展，着力提高发展质量和效益；拓展网络经济空间，实施</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行动计划；发展物联网</w:t>
      </w:r>
      <w:r>
        <w:rPr>
          <w:spacing w:val="-59"/>
        </w:rPr>
        <w:t> </w:t>
      </w:r>
      <w:r>
        <w:rPr>
          <w:spacing w:val="-59"/>
        </w:rPr>
      </w:r>
      <w:r>
        <w:rPr/>
        <w:t>技术和应用，发展分享经济，促进互联网和经济社会融合发展；实施国家大数据战略，推进数据资源开放共享。报告期末， 国务院、工业和信息化部、中国人民银行、财政部等十多个国家政府部门先后同步出台了多项关于互联网</w:t>
      </w:r>
      <w:r>
        <w:rPr>
          <w:rFonts w:ascii="Times New Roman" w:hAnsi="Times New Roman" w:cs="Times New Roman" w:eastAsia="Times New Roman" w:hint="default"/>
        </w:rPr>
        <w:t>+</w:t>
      </w:r>
      <w:r>
        <w:rPr/>
        <w:t>、大数据、云计 算、互联网金融等行业的指导意见或行动计划。 </w:t>
      </w:r>
      <w:r>
        <w:rPr>
          <w:spacing w:val="-2"/>
        </w:rPr>
        <w:t>在国家高度重视和大力扶持下，软件行业在国民经济中的战略地位不断提升，行业规模不断扩大。随着</w:t>
      </w:r>
      <w:r>
        <w:rPr>
          <w:rFonts w:ascii="Times New Roman" w:hAnsi="Times New Roman" w:cs="Times New Roman" w:eastAsia="Times New Roman" w:hint="default"/>
          <w:spacing w:val="-2"/>
        </w:rPr>
        <w:t>“</w:t>
      </w:r>
      <w:r>
        <w:rPr>
          <w:spacing w:val="-2"/>
        </w:rPr>
        <w:t>十三五</w:t>
      </w:r>
      <w:r>
        <w:rPr>
          <w:rFonts w:ascii="Times New Roman" w:hAnsi="Times New Roman" w:cs="Times New Roman" w:eastAsia="Times New Roman" w:hint="default"/>
          <w:spacing w:val="-2"/>
        </w:rPr>
        <w:t>”</w:t>
      </w:r>
      <w:r>
        <w:rPr>
          <w:spacing w:val="-2"/>
        </w:rPr>
        <w:t>规划即将出</w:t>
      </w:r>
      <w:r>
        <w:rPr>
          <w:spacing w:val="-43"/>
        </w:rPr>
        <w:t> </w:t>
      </w:r>
      <w:r>
        <w:rPr>
          <w:spacing w:val="-2"/>
        </w:rPr>
        <w:t>台，大数据、移动互联网、云计算、物联网等技术飞速发展，以及互联网对实体经济创新力和生产力的驱动作用，软件信息</w:t>
      </w:r>
      <w:r>
        <w:rPr>
          <w:spacing w:val="-67"/>
        </w:rPr>
        <w:t> </w:t>
      </w:r>
      <w:r>
        <w:rPr>
          <w:spacing w:val="-67"/>
        </w:rPr>
      </w:r>
      <w:r>
        <w:rPr/>
        <w:t>服务行业将迎来更大的发展机遇。</w:t>
      </w:r>
    </w:p>
    <w:p>
      <w:pPr>
        <w:spacing w:line="240" w:lineRule="auto" w:before="11"/>
        <w:rPr>
          <w:rFonts w:ascii="宋体" w:hAnsi="宋体" w:cs="宋体" w:eastAsia="宋体" w:hint="default"/>
          <w:sz w:val="25"/>
          <w:szCs w:val="25"/>
        </w:rPr>
      </w:pPr>
    </w:p>
    <w:p>
      <w:pPr>
        <w:pStyle w:val="BodyText"/>
        <w:spacing w:line="309" w:lineRule="auto"/>
        <w:ind w:right="1111"/>
        <w:jc w:val="left"/>
      </w:pPr>
      <w:r>
        <w:rPr/>
        <w:t>（二）发展规划 </w:t>
      </w:r>
      <w:r>
        <w:rPr>
          <w:spacing w:val="-2"/>
        </w:rPr>
        <w:t>机遇亦是挑战，如何在愈演愈烈的产业革命，变幻莫测的市场竞争，以及巨头称雄、新秀辈出的新兴业态中继续保持自身的</w:t>
      </w:r>
      <w:r>
        <w:rPr>
          <w:spacing w:val="-66"/>
        </w:rPr>
        <w:t> </w:t>
      </w:r>
      <w:r>
        <w:rPr>
          <w:spacing w:val="-66"/>
        </w:rPr>
      </w:r>
      <w:r>
        <w:rPr/>
        <w:t>优势与核心竞争力，是上市公司转型发展所面临的首要困难。未来，公司将深入贯彻国家</w:t>
      </w:r>
      <w:r>
        <w:rPr>
          <w:rFonts w:ascii="Times New Roman" w:hAnsi="Times New Roman" w:cs="Times New Roman" w:eastAsia="Times New Roman" w:hint="default"/>
        </w:rPr>
        <w:t>“</w:t>
      </w:r>
      <w:r>
        <w:rPr/>
        <w:t>大数据战略</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战略</w:t>
      </w:r>
      <w:r>
        <w:rPr>
          <w:rFonts w:ascii="Times New Roman" w:hAnsi="Times New Roman" w:cs="Times New Roman" w:eastAsia="Times New Roman" w:hint="default"/>
        </w:rPr>
        <w:t>”</w:t>
      </w:r>
      <w:r>
        <w:rPr/>
        <w:t>的</w:t>
      </w:r>
      <w:r>
        <w:rPr>
          <w:spacing w:val="-58"/>
        </w:rPr>
        <w:t> </w:t>
      </w:r>
      <w:r>
        <w:rPr>
          <w:spacing w:val="-2"/>
        </w:rPr>
        <w:t>指导方针，逐步落实各项战略转型规划，坚持内生增长与外延拓展相结合的道路，以集团化视角，立足于电子政务、集团管</w:t>
      </w:r>
      <w:r>
        <w:rPr>
          <w:spacing w:val="-66"/>
        </w:rPr>
        <w:t> </w:t>
      </w:r>
      <w:r>
        <w:rPr>
          <w:spacing w:val="-66"/>
        </w:rPr>
      </w:r>
      <w:r>
        <w:rPr/>
        <w:t>控、互联网</w:t>
      </w:r>
      <w:r>
        <w:rPr>
          <w:rFonts w:ascii="Times New Roman" w:hAnsi="Times New Roman" w:cs="Times New Roman" w:eastAsia="Times New Roman" w:hint="default"/>
        </w:rPr>
        <w:t>+</w:t>
      </w:r>
      <w:r>
        <w:rPr/>
        <w:t>的业务布局，利用公司大数据技术平台，创造性地探索合作共享模式与市场交易模式，并凭借数据资源管理方 面的经验与优势，在促进公司各业务体系协同发展的基础上，打造开放、共享的</w:t>
      </w:r>
      <w:r>
        <w:rPr>
          <w:rFonts w:ascii="Times New Roman" w:hAnsi="Times New Roman" w:cs="Times New Roman" w:eastAsia="Times New Roman" w:hint="default"/>
        </w:rPr>
        <w:t>“</w:t>
      </w:r>
      <w:r>
        <w:rPr/>
        <w:t>久其</w:t>
      </w:r>
      <w:r>
        <w:rPr>
          <w:rFonts w:ascii="Times New Roman" w:hAnsi="Times New Roman" w:cs="Times New Roman" w:eastAsia="Times New Roman" w:hint="default"/>
        </w:rPr>
        <w:t>+”</w:t>
      </w:r>
      <w:r>
        <w:rPr/>
        <w:t>信息化生态体系和大数据平台，为</w:t>
      </w:r>
      <w:r>
        <w:rPr>
          <w:spacing w:val="-77"/>
        </w:rPr>
        <w:t> </w:t>
      </w:r>
      <w:r>
        <w:rPr>
          <w:spacing w:val="-77"/>
        </w:rPr>
      </w:r>
      <w:r>
        <w:rPr/>
        <w:t>服务客户、服务社会、服务国家创造价值。</w:t>
      </w:r>
    </w:p>
    <w:p>
      <w:pPr>
        <w:spacing w:line="240" w:lineRule="auto" w:before="9"/>
        <w:rPr>
          <w:rFonts w:ascii="宋体" w:hAnsi="宋体" w:cs="宋体" w:eastAsia="宋体" w:hint="default"/>
          <w:sz w:val="25"/>
          <w:szCs w:val="25"/>
        </w:rPr>
      </w:pPr>
    </w:p>
    <w:p>
      <w:pPr>
        <w:pStyle w:val="BodyText"/>
        <w:spacing w:line="307" w:lineRule="auto"/>
        <w:ind w:right="1130"/>
        <w:jc w:val="left"/>
      </w:pPr>
      <w:r>
        <w:rPr/>
        <w:t>（三）经营计划 </w:t>
      </w:r>
      <w:r>
        <w:rPr>
          <w:spacing w:val="-2"/>
        </w:rPr>
        <w:t>为进一步推进公司的战略规划，落实各业务领域的协同发展，</w:t>
      </w:r>
      <w:r>
        <w:rPr>
          <w:rFonts w:ascii="Times New Roman" w:hAnsi="Times New Roman" w:cs="Times New Roman" w:eastAsia="Times New Roman" w:hint="default"/>
          <w:spacing w:val="-2"/>
        </w:rPr>
        <w:t>2016</w:t>
      </w:r>
      <w:r>
        <w:rPr>
          <w:spacing w:val="-2"/>
        </w:rPr>
        <w:t>年将通过持续推动业务融合创新、聚焦行业领域，以及优</w:t>
      </w:r>
      <w:r>
        <w:rPr>
          <w:spacing w:val="-61"/>
        </w:rPr>
        <w:t> </w:t>
      </w:r>
      <w:r>
        <w:rPr>
          <w:spacing w:val="-61"/>
        </w:rPr>
      </w:r>
      <w:r>
        <w:rPr/>
        <w:t>化内部管理等举措，提升客户满意度，保障公司稳健经营，促进业绩持续增长。 </w:t>
      </w:r>
      <w:r>
        <w:rPr>
          <w:rFonts w:ascii="Times New Roman" w:hAnsi="Times New Roman" w:cs="Times New Roman" w:eastAsia="Times New Roman" w:hint="default"/>
        </w:rPr>
        <w:t>1</w:t>
      </w:r>
      <w:r>
        <w:rPr/>
        <w:t>、促进大数据业务发展，设立大数据研究院。围绕公司大数据战略规划，在数据分析模型构建、大数据资源中心建设、大</w:t>
      </w:r>
      <w:r>
        <w:rPr>
          <w:spacing w:val="-83"/>
        </w:rPr>
        <w:t> </w:t>
      </w:r>
      <w:r>
        <w:rPr>
          <w:spacing w:val="-83"/>
        </w:rPr>
      </w:r>
      <w:r>
        <w:rPr>
          <w:spacing w:val="-2"/>
        </w:rPr>
        <w:t>数据人才培养、各控股、参股企业在大数据领域的战略协同，以及对外合作等方面加强资源投入，推动建立久其大数据生态</w:t>
      </w:r>
      <w:r>
        <w:rPr>
          <w:spacing w:val="-66"/>
        </w:rPr>
        <w:t> </w:t>
      </w:r>
      <w:r>
        <w:rPr>
          <w:spacing w:val="-66"/>
        </w:rPr>
      </w:r>
      <w:r>
        <w:rPr/>
        <w:t>体系。久其智通以</w:t>
      </w:r>
      <w:r>
        <w:rPr>
          <w:rFonts w:ascii="Times New Roman" w:hAnsi="Times New Roman" w:cs="Times New Roman" w:eastAsia="Times New Roman" w:hint="default"/>
        </w:rPr>
        <w:t>Darwin</w:t>
      </w:r>
      <w:r>
        <w:rPr/>
        <w:t>作为底层支撑，重点研发、推广面向采用集群技术企业的</w:t>
      </w:r>
      <w:r>
        <w:rPr>
          <w:rFonts w:ascii="Times New Roman" w:hAnsi="Times New Roman" w:cs="Times New Roman" w:eastAsia="Times New Roman" w:hint="default"/>
        </w:rPr>
        <w:t>LogV</w:t>
      </w:r>
      <w:r>
        <w:rPr/>
        <w:t>产品（一款基于机器大数据分析的</w:t>
      </w:r>
      <w:r>
        <w:rPr>
          <w:spacing w:val="-57"/>
        </w:rPr>
        <w:t> </w:t>
      </w:r>
      <w:r>
        <w:rPr>
          <w:spacing w:val="-57"/>
        </w:rPr>
      </w:r>
      <w:r>
        <w:rPr/>
        <w:t>产品），针对媒体互联网化融合发展所必备的</w:t>
      </w:r>
      <w:r>
        <w:rPr>
          <w:rFonts w:ascii="Times New Roman" w:hAnsi="Times New Roman" w:cs="Times New Roman" w:eastAsia="Times New Roman" w:hint="default"/>
        </w:rPr>
        <w:t>“</w:t>
      </w:r>
      <w:r>
        <w:rPr/>
        <w:t>两微一端</w:t>
      </w:r>
      <w:r>
        <w:rPr>
          <w:rFonts w:ascii="Times New Roman" w:hAnsi="Times New Roman" w:cs="Times New Roman" w:eastAsia="Times New Roman" w:hint="default"/>
        </w:rPr>
        <w:t>”</w:t>
      </w:r>
      <w:r>
        <w:rPr/>
        <w:t>（微信、微博和</w:t>
      </w:r>
      <w:r>
        <w:rPr>
          <w:rFonts w:ascii="Times New Roman" w:hAnsi="Times New Roman" w:cs="Times New Roman" w:eastAsia="Times New Roman" w:hint="default"/>
        </w:rPr>
        <w:t>APP</w:t>
      </w:r>
      <w:r>
        <w:rPr/>
        <w:t>客户端）分析与个性化融合推荐以及</w:t>
      </w:r>
      <w:r>
        <w:rPr>
          <w:rFonts w:ascii="Times New Roman" w:hAnsi="Times New Roman" w:cs="Times New Roman" w:eastAsia="Times New Roman" w:hint="default"/>
        </w:rPr>
        <w:t>DMP</w:t>
      </w:r>
      <w:r>
        <w:rPr/>
        <w:t>、</w:t>
      </w:r>
      <w:r>
        <w:rPr>
          <w:spacing w:val="8"/>
        </w:rPr>
        <w:t> </w:t>
      </w:r>
      <w:r>
        <w:rPr>
          <w:rFonts w:ascii="Times New Roman" w:hAnsi="Times New Roman" w:cs="Times New Roman" w:eastAsia="Times New Roman" w:hint="default"/>
          <w:spacing w:val="-2"/>
        </w:rPr>
        <w:t>DSP</w:t>
      </w:r>
      <w:r>
        <w:rPr>
          <w:spacing w:val="-2"/>
        </w:rPr>
        <w:t>技术平台的</w:t>
      </w:r>
      <w:r>
        <w:rPr>
          <w:rFonts w:ascii="Times New Roman" w:hAnsi="Times New Roman" w:cs="Times New Roman" w:eastAsia="Times New Roman" w:hint="default"/>
          <w:spacing w:val="-2"/>
        </w:rPr>
        <w:t>M-Targeting</w:t>
      </w:r>
      <w:r>
        <w:rPr>
          <w:spacing w:val="-2"/>
        </w:rPr>
        <w:t>解决方案（一款精准营销大数据产品）。久其龙信将整合龙信数据原有数据资源和分析方法，构</w:t>
      </w:r>
      <w:r>
        <w:rPr>
          <w:spacing w:val="-46"/>
        </w:rPr>
        <w:t> </w:t>
      </w:r>
      <w:r>
        <w:rPr>
          <w:spacing w:val="-46"/>
        </w:rPr>
      </w:r>
      <w:r>
        <w:rPr>
          <w:spacing w:val="-2"/>
        </w:rPr>
        <w:t>建融合宏观经济、产业发展、重点税源、财政收支和招商引资为一体的区域经济发展分析预测产品，同时，积极推进财政系</w:t>
      </w:r>
      <w:r>
        <w:rPr>
          <w:spacing w:val="-66"/>
        </w:rPr>
        <w:t> </w:t>
      </w:r>
      <w:r>
        <w:rPr>
          <w:spacing w:val="-66"/>
        </w:rPr>
      </w:r>
      <w:r>
        <w:rPr/>
        <w:t>统大数据分析应用平台解决方案建设。</w:t>
      </w:r>
    </w:p>
    <w:p>
      <w:pPr>
        <w:spacing w:after="0" w:line="307"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2" w:lineRule="auto" w:before="44"/>
        <w:ind w:right="1033"/>
        <w:jc w:val="left"/>
      </w:pPr>
      <w:r>
        <w:rPr>
          <w:rFonts w:ascii="Times New Roman" w:hAnsi="Times New Roman" w:cs="Times New Roman" w:eastAsia="Times New Roman" w:hint="default"/>
        </w:rPr>
        <w:t>2</w:t>
      </w:r>
      <w:r>
        <w:rPr/>
        <w:t>、推进</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及云应用的技术研发与业务拓展。以</w:t>
      </w:r>
      <w:r>
        <w:rPr>
          <w:rFonts w:ascii="Times New Roman" w:hAnsi="Times New Roman" w:cs="Times New Roman" w:eastAsia="Times New Roman" w:hint="default"/>
        </w:rPr>
        <w:t>“</w:t>
      </w:r>
      <w:r>
        <w:rPr/>
        <w:t>在线供应链金融</w:t>
      </w:r>
      <w:r>
        <w:rPr>
          <w:rFonts w:ascii="Times New Roman" w:hAnsi="Times New Roman" w:cs="Times New Roman" w:eastAsia="Times New Roman" w:hint="default"/>
        </w:rPr>
        <w:t>”</w:t>
      </w:r>
      <w:r>
        <w:rPr/>
        <w:t>服务为核心，久金所将逐步构建</w:t>
      </w:r>
      <w:r>
        <w:rPr>
          <w:rFonts w:ascii="Times New Roman" w:hAnsi="Times New Roman" w:cs="Times New Roman" w:eastAsia="Times New Roman" w:hint="default"/>
        </w:rPr>
        <w:t>“</w:t>
      </w:r>
      <w:r>
        <w:rPr/>
        <w:t>供应链管理服务</w:t>
      </w:r>
      <w:r>
        <w:rPr>
          <w:rFonts w:ascii="Times New Roman" w:hAnsi="Times New Roman" w:cs="Times New Roman" w:eastAsia="Times New Roman" w:hint="default"/>
        </w:rPr>
        <w:t>+ </w:t>
      </w:r>
      <w:r>
        <w:rPr/>
        <w:t>供应链平台服务</w:t>
      </w:r>
      <w:r>
        <w:rPr>
          <w:rFonts w:ascii="Times New Roman" w:hAnsi="Times New Roman" w:cs="Times New Roman" w:eastAsia="Times New Roman" w:hint="default"/>
        </w:rPr>
        <w:t>”</w:t>
      </w:r>
      <w:r>
        <w:rPr/>
        <w:t>的双通道发展模式。司机驿站则在打造无车承运人平台的基础上，通过与久金所的合作，以物流产业链金</w:t>
      </w:r>
      <w:r>
        <w:rPr>
          <w:spacing w:val="-77"/>
        </w:rPr>
        <w:t> </w:t>
      </w:r>
      <w:r>
        <w:rPr>
          <w:spacing w:val="-77"/>
        </w:rPr>
      </w:r>
      <w:r>
        <w:rPr>
          <w:spacing w:val="-2"/>
        </w:rPr>
        <w:t>融服务增强客户粘性。中民颐养将继续深化与民政部的战略合作，加速颐养天年养老服务产品的上线进程，并强化多途径产</w:t>
      </w:r>
      <w:r>
        <w:rPr>
          <w:spacing w:val="-66"/>
        </w:rPr>
        <w:t> </w:t>
      </w:r>
      <w:r>
        <w:rPr>
          <w:spacing w:val="-66"/>
        </w:rPr>
      </w:r>
      <w:r>
        <w:rPr>
          <w:spacing w:val="-2"/>
        </w:rPr>
        <w:t>品推广和品牌宣传。蜂语网络继续加大对蜂语</w:t>
      </w:r>
      <w:r>
        <w:rPr>
          <w:rFonts w:ascii="Times New Roman" w:hAnsi="Times New Roman" w:cs="Times New Roman" w:eastAsia="Times New Roman" w:hint="default"/>
          <w:spacing w:val="-2"/>
        </w:rPr>
        <w:t>PaaS</w:t>
      </w:r>
      <w:r>
        <w:rPr>
          <w:spacing w:val="-2"/>
        </w:rPr>
        <w:t>云平台的测试及推广工作。通过产品的升级完善与资源整合，稳步打造久</w:t>
      </w:r>
      <w:r>
        <w:rPr>
          <w:spacing w:val="-63"/>
        </w:rPr>
        <w:t> </w:t>
      </w:r>
      <w:r>
        <w:rPr>
          <w:spacing w:val="-63"/>
        </w:rPr>
      </w:r>
      <w:r>
        <w:rPr/>
        <w:t>其</w:t>
      </w:r>
      <w:r>
        <w:rPr>
          <w:rFonts w:ascii="Times New Roman" w:hAnsi="Times New Roman" w:cs="Times New Roman" w:eastAsia="Times New Roman" w:hint="default"/>
        </w:rPr>
        <w:t>SaaS</w:t>
      </w:r>
      <w:r>
        <w:rPr/>
        <w:t>企业级云服务。 </w:t>
      </w:r>
      <w:r>
        <w:rPr>
          <w:rFonts w:ascii="宋体" w:hAnsi="宋体" w:cs="宋体" w:eastAsia="宋体" w:hint="default"/>
        </w:rPr>
        <w:t>3</w:t>
      </w:r>
      <w:r>
        <w:rPr/>
        <w:t>、坚持研发与业务双驱动，推进大数据精准营销。报告期末，亿起联科技组织架构实现了事业部制升级改造，国内广告事</w:t>
      </w:r>
      <w:r>
        <w:rPr>
          <w:spacing w:val="-83"/>
        </w:rPr>
        <w:t> </w:t>
      </w:r>
      <w:r>
        <w:rPr>
          <w:spacing w:val="-83"/>
        </w:rPr>
      </w:r>
      <w:r>
        <w:rPr>
          <w:spacing w:val="-4"/>
        </w:rPr>
        <w:t>业部、自媒体事业部、海外移动事业部及点入游戏事业部构成其核心业务体系，奠定其未来业务快速发展的基础，与此同时，</w:t>
      </w:r>
      <w:r>
        <w:rPr>
          <w:spacing w:val="-46"/>
        </w:rPr>
        <w:t> </w:t>
      </w:r>
      <w:r>
        <w:rPr>
          <w:spacing w:val="-46"/>
        </w:rPr>
      </w:r>
      <w:r>
        <w:rPr>
          <w:spacing w:val="-2"/>
        </w:rPr>
        <w:t>通过加强</w:t>
      </w:r>
      <w:r>
        <w:rPr>
          <w:rFonts w:ascii="Times New Roman" w:hAnsi="Times New Roman" w:cs="Times New Roman" w:eastAsia="Times New Roman" w:hint="default"/>
          <w:spacing w:val="-2"/>
        </w:rPr>
        <w:t>DSP</w:t>
      </w:r>
      <w:r>
        <w:rPr>
          <w:spacing w:val="-2"/>
        </w:rPr>
        <w:t>、</w:t>
      </w:r>
      <w:r>
        <w:rPr>
          <w:rFonts w:ascii="Times New Roman" w:hAnsi="Times New Roman" w:cs="Times New Roman" w:eastAsia="Times New Roman" w:hint="default"/>
          <w:spacing w:val="-2"/>
        </w:rPr>
        <w:t>DMP</w:t>
      </w:r>
      <w:r>
        <w:rPr>
          <w:spacing w:val="-2"/>
        </w:rPr>
        <w:t>平台的研发投入力度，不断提升广告投放效果及用户体验。亿起联科技将重点建设第三方需求平台，进</w:t>
      </w:r>
      <w:r>
        <w:rPr>
          <w:spacing w:val="-67"/>
        </w:rPr>
        <w:t> </w:t>
      </w:r>
      <w:r>
        <w:rPr>
          <w:spacing w:val="-67"/>
        </w:rPr>
      </w:r>
      <w:r>
        <w:rPr/>
        <w:t>一步拓展品牌客户和海外市场，打造以大数据技术为基础的国内领先的数字营销平台。 </w:t>
      </w:r>
      <w:r>
        <w:rPr>
          <w:rFonts w:ascii="宋体" w:hAnsi="宋体" w:cs="宋体" w:eastAsia="宋体" w:hint="default"/>
        </w:rPr>
        <w:t>4</w:t>
      </w:r>
      <w:r>
        <w:rPr/>
        <w:t>、横向拓展市场，深度聚焦行业。作为业务发展之根基，公司将继续加大对电子政务、集团管控的市场拓展力度，不仅要</w:t>
      </w:r>
      <w:r>
        <w:rPr>
          <w:spacing w:val="-83"/>
        </w:rPr>
        <w:t> </w:t>
      </w:r>
      <w:r>
        <w:rPr>
          <w:spacing w:val="-83"/>
        </w:rPr>
      </w:r>
      <w:r>
        <w:rPr>
          <w:spacing w:val="-4"/>
        </w:rPr>
        <w:t>深挖市场需求、加强资源整合，还要基于交付能力的提升和业务与研发创新，围绕各行业十三五规划，深度聚焦交通、卫生、</w:t>
      </w:r>
      <w:r>
        <w:rPr>
          <w:spacing w:val="-44"/>
        </w:rPr>
        <w:t> </w:t>
      </w:r>
      <w:r>
        <w:rPr>
          <w:spacing w:val="-44"/>
        </w:rPr>
      </w:r>
      <w:r>
        <w:rPr>
          <w:spacing w:val="-4"/>
        </w:rPr>
        <w:t>建筑地产、教育、军工、烟草等行业领域，不断推动公司在典型行业领域的业务由管理域向业务域的转移和深入。与此同时，</w:t>
      </w:r>
      <w:r>
        <w:rPr>
          <w:spacing w:val="-44"/>
        </w:rPr>
        <w:t> </w:t>
      </w:r>
      <w:r>
        <w:rPr>
          <w:spacing w:val="-44"/>
        </w:rPr>
      </w:r>
      <w:r>
        <w:rPr>
          <w:spacing w:val="-2"/>
        </w:rPr>
        <w:t>华夏电通要巩固自身优势，把握“依法治国、司法改革”指引下的法院信息化建设机遇，融合公司大数据、云计算技术，深</w:t>
      </w:r>
      <w:r>
        <w:rPr>
          <w:spacing w:val="-71"/>
        </w:rPr>
        <w:t> </w:t>
      </w:r>
      <w:r>
        <w:rPr>
          <w:spacing w:val="-71"/>
        </w:rPr>
      </w:r>
      <w:r>
        <w:rPr>
          <w:spacing w:val="-2"/>
        </w:rPr>
        <w:t>耕司法领域，着重发力数字法庭、庭审核查、互联网法庭及直播、司法系统财务一体化、法院大数据等业务方向，进一步提</w:t>
      </w:r>
      <w:r>
        <w:rPr>
          <w:spacing w:val="-68"/>
        </w:rPr>
        <w:t> </w:t>
      </w:r>
      <w:r>
        <w:rPr>
          <w:spacing w:val="-68"/>
        </w:rPr>
      </w:r>
      <w:r>
        <w:rPr/>
        <w:t>升在司法领域的综合竞争力。 </w:t>
      </w:r>
      <w:r>
        <w:rPr>
          <w:rFonts w:ascii="宋体" w:hAnsi="宋体" w:cs="宋体" w:eastAsia="宋体" w:hint="default"/>
        </w:rPr>
        <w:t>5</w:t>
      </w:r>
      <w:r>
        <w:rPr/>
        <w:t>、持续强化项目交付能力，提升客户满意度。公司基于现行事业部和责任中心组织架构，按照业务特性，以提升客户满意</w:t>
      </w:r>
      <w:r>
        <w:rPr>
          <w:spacing w:val="-82"/>
        </w:rPr>
        <w:t> </w:t>
      </w:r>
      <w:r>
        <w:rPr>
          <w:spacing w:val="-82"/>
        </w:rPr>
      </w:r>
      <w:r>
        <w:rPr/>
        <w:t>度为目标，重构技术服务和研发团队，设立电子政务交付中心、大数据交付中心和集团管控交付中心，强化项目交付能力， 进而带动交付质量和交付效率的提升，有效降低项目实施成本。 </w:t>
      </w:r>
      <w:r>
        <w:rPr>
          <w:rFonts w:ascii="宋体" w:hAnsi="宋体" w:cs="宋体" w:eastAsia="宋体" w:hint="default"/>
        </w:rPr>
        <w:t>6</w:t>
      </w:r>
      <w:r>
        <w:rPr/>
        <w:t>、围绕资源共享构建集团化管控服务体系。着眼久其</w:t>
      </w:r>
      <w:r>
        <w:rPr>
          <w:rFonts w:ascii="Times New Roman" w:hAnsi="Times New Roman" w:cs="Times New Roman" w:eastAsia="Times New Roman" w:hint="default"/>
        </w:rPr>
        <w:t>+</w:t>
      </w:r>
      <w:r>
        <w:rPr/>
        <w:t>集团化战略，以融合创新、合作共赢为目标，推进集团范围内的资</w:t>
      </w:r>
      <w:r>
        <w:rPr>
          <w:spacing w:val="-17"/>
        </w:rPr>
        <w:t> </w:t>
      </w:r>
      <w:r>
        <w:rPr>
          <w:spacing w:val="-17"/>
        </w:rPr>
      </w:r>
      <w:r>
        <w:rPr>
          <w:spacing w:val="-4"/>
        </w:rPr>
        <w:t>源共享与管理服务，通过投后管理服务机制的建立，促进集团内部各成员单位文化的协同、执行力的提升，加强协作与互助，</w:t>
      </w:r>
      <w:r>
        <w:rPr>
          <w:spacing w:val="-46"/>
        </w:rPr>
        <w:t> </w:t>
      </w:r>
      <w:r>
        <w:rPr>
          <w:spacing w:val="-46"/>
        </w:rPr>
      </w:r>
      <w:r>
        <w:rPr>
          <w:spacing w:val="-2"/>
        </w:rPr>
        <w:t>保障集团价值最大化。与此同时，结合有关法律法规，并结合集团发展战略和业务特性，继续完善集团的内部管控，尤其加</w:t>
      </w:r>
      <w:r>
        <w:rPr>
          <w:spacing w:val="-66"/>
        </w:rPr>
        <w:t> </w:t>
      </w:r>
      <w:r>
        <w:rPr>
          <w:spacing w:val="-66"/>
        </w:rPr>
      </w:r>
      <w:r>
        <w:rPr/>
        <w:t>强风险管理能力，充分落实岗位职责，确保企业稳定、健康、可持续发展。</w:t>
      </w:r>
    </w:p>
    <w:p>
      <w:pPr>
        <w:spacing w:line="240" w:lineRule="auto" w:before="8"/>
        <w:rPr>
          <w:rFonts w:ascii="宋体" w:hAnsi="宋体" w:cs="宋体" w:eastAsia="宋体" w:hint="default"/>
          <w:sz w:val="25"/>
          <w:szCs w:val="25"/>
        </w:rPr>
      </w:pPr>
    </w:p>
    <w:p>
      <w:pPr>
        <w:pStyle w:val="BodyText"/>
        <w:spacing w:line="316" w:lineRule="auto"/>
        <w:ind w:left="154" w:right="1131"/>
        <w:jc w:val="both"/>
      </w:pPr>
      <w:r>
        <w:rPr>
          <w:spacing w:val="-2"/>
        </w:rPr>
        <w:t>公司历来重视现金净流量情况，良好的现金流情况基本能够满足公司执行并落实日常经营计划的需求，然而随着外部投资合</w:t>
      </w:r>
      <w:r>
        <w:rPr>
          <w:spacing w:val="-64"/>
        </w:rPr>
        <w:t> </w:t>
      </w:r>
      <w:r>
        <w:rPr>
          <w:spacing w:val="-64"/>
        </w:rPr>
      </w:r>
      <w:r>
        <w:rPr>
          <w:spacing w:val="-2"/>
        </w:rPr>
        <w:t>作事项的增多，公司对大额资金的需求亦有所提升，因此公司将在积极发展主营业务、合理分配资金用途的同时，通过融资</w:t>
      </w:r>
      <w:r>
        <w:rPr>
          <w:spacing w:val="-66"/>
        </w:rPr>
        <w:t> </w:t>
      </w:r>
      <w:r>
        <w:rPr>
          <w:spacing w:val="-66"/>
        </w:rPr>
      </w:r>
      <w:r>
        <w:rPr/>
        <w:t>方式来改善公司的资产负债结构，满足运营资金需求。</w:t>
      </w:r>
    </w:p>
    <w:p>
      <w:pPr>
        <w:spacing w:line="240" w:lineRule="auto" w:before="4"/>
        <w:rPr>
          <w:rFonts w:ascii="宋体" w:hAnsi="宋体" w:cs="宋体" w:eastAsia="宋体" w:hint="default"/>
          <w:sz w:val="25"/>
          <w:szCs w:val="25"/>
        </w:rPr>
      </w:pPr>
    </w:p>
    <w:p>
      <w:pPr>
        <w:pStyle w:val="BodyText"/>
        <w:spacing w:line="312" w:lineRule="auto"/>
        <w:ind w:right="1113"/>
        <w:jc w:val="left"/>
      </w:pPr>
      <w:r>
        <w:rPr/>
        <w:t>（四）可能面对的风险 </w:t>
      </w:r>
      <w:r>
        <w:rPr>
          <w:spacing w:val="-2"/>
        </w:rPr>
        <w:t>公司经营过程中可能面对的业绩季节性波动风险、新业务发展风险、并购效益未达预期的风险、商誉减值风险，以及针对前</w:t>
      </w:r>
      <w:r>
        <w:rPr>
          <w:spacing w:val="-66"/>
        </w:rPr>
        <w:t> </w:t>
      </w:r>
      <w:r>
        <w:rPr>
          <w:spacing w:val="-66"/>
        </w:rPr>
      </w:r>
      <w:r>
        <w:rPr/>
        <w:t>述风险计划采取的应对措施已在本报告</w:t>
      </w:r>
      <w:r>
        <w:rPr>
          <w:rFonts w:ascii="Times New Roman" w:hAnsi="Times New Roman" w:cs="Times New Roman" w:eastAsia="Times New Roman" w:hint="default"/>
        </w:rPr>
        <w:t>“</w:t>
      </w:r>
      <w:r>
        <w:rPr/>
        <w:t>第一节</w:t>
      </w:r>
      <w:r>
        <w:rPr>
          <w:spacing w:val="-50"/>
        </w:rPr>
        <w:t> </w:t>
      </w:r>
      <w:r>
        <w:rPr/>
        <w:t>重要提示、目录和释义</w:t>
      </w:r>
      <w:r>
        <w:rPr>
          <w:rFonts w:ascii="Times New Roman" w:hAnsi="Times New Roman" w:cs="Times New Roman" w:eastAsia="Times New Roman" w:hint="default"/>
        </w:rPr>
        <w:t>”</w:t>
      </w:r>
      <w:r>
        <w:rPr/>
        <w:t>之</w:t>
      </w:r>
      <w:r>
        <w:rPr>
          <w:rFonts w:ascii="Times New Roman" w:hAnsi="Times New Roman" w:cs="Times New Roman" w:eastAsia="Times New Roman" w:hint="default"/>
        </w:rPr>
        <w:t>“</w:t>
      </w:r>
      <w:r>
        <w:rPr/>
        <w:t>对年度报告涉及未来计划等前瞻性陈述的风险提 示</w:t>
      </w:r>
      <w:r>
        <w:rPr>
          <w:rFonts w:ascii="Times New Roman" w:hAnsi="Times New Roman" w:cs="Times New Roman" w:eastAsia="Times New Roman" w:hint="default"/>
        </w:rPr>
        <w:t>”</w:t>
      </w:r>
      <w:r>
        <w:rPr/>
        <w:t>中进行了阐述。其中，商誉减值风险系本报告期新增的风险因素，增加的原因是公司并购的亿起联科技和华夏电通在报</w:t>
      </w:r>
      <w:r>
        <w:rPr>
          <w:spacing w:val="-77"/>
        </w:rPr>
        <w:t> </w:t>
      </w:r>
      <w:r>
        <w:rPr>
          <w:spacing w:val="-77"/>
        </w:rPr>
      </w:r>
      <w:r>
        <w:rPr>
          <w:spacing w:val="-2"/>
        </w:rPr>
        <w:t>告期相继纳入合并范围而形成了合并报表中较大规模的商誉。报告期，上述两家企业的经营情况及盈利能力较好，公司暂不</w:t>
      </w:r>
      <w:r>
        <w:rPr>
          <w:spacing w:val="-66"/>
        </w:rPr>
        <w:t> </w:t>
      </w:r>
      <w:r>
        <w:rPr>
          <w:spacing w:val="-66"/>
        </w:rPr>
      </w:r>
      <w:r>
        <w:rPr/>
        <w:t>存在商誉减值的风险。</w:t>
      </w:r>
    </w:p>
    <w:p>
      <w:pPr>
        <w:spacing w:line="240" w:lineRule="auto" w:before="0"/>
        <w:rPr>
          <w:rFonts w:ascii="宋体" w:hAnsi="宋体" w:cs="宋体" w:eastAsia="宋体" w:hint="default"/>
          <w:sz w:val="21"/>
          <w:szCs w:val="21"/>
        </w:rPr>
      </w:pPr>
    </w:p>
    <w:p>
      <w:pPr>
        <w:pStyle w:val="Heading2"/>
        <w:spacing w:line="240" w:lineRule="auto"/>
        <w:ind w:left="154" w:right="0"/>
        <w:jc w:val="left"/>
        <w:rPr>
          <w:b w:val="0"/>
          <w:bCs w:val="0"/>
        </w:rPr>
      </w:pPr>
      <w:bookmarkStart w:name="十、接待调研、沟通、采访等活动" w:id="59"/>
      <w:bookmarkEnd w:id="59"/>
      <w:r>
        <w:rPr>
          <w:b w:val="0"/>
          <w:bCs w:val="0"/>
        </w:rPr>
      </w:r>
      <w:r>
        <w:rPr/>
        <w:t>十、接待调研、沟通、采访等活动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报告期内接待调研、沟通、采访等活动登记表" w:id="60"/>
      <w:bookmarkEnd w:id="60"/>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178"/>
        <w:gridCol w:w="1650"/>
        <w:gridCol w:w="1702"/>
        <w:gridCol w:w="4040"/>
      </w:tblGrid>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59"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0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4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互动易平台</w:t>
            </w:r>
          </w:p>
          <w:p>
            <w:pPr>
              <w:pStyle w:val="TableParagraph"/>
              <w:spacing w:line="240" w:lineRule="auto" w:before="116"/>
              <w:ind w:left="22" w:right="0"/>
              <w:jc w:val="left"/>
              <w:rPr>
                <w:rFonts w:ascii="Times New Roman" w:hAnsi="Times New Roman" w:cs="Times New Roman" w:eastAsia="Times New Roman" w:hint="default"/>
                <w:sz w:val="18"/>
                <w:szCs w:val="18"/>
              </w:rPr>
            </w:pPr>
            <w:hyperlink r:id="rId18">
              <w:r>
                <w:rPr>
                  <w:rFonts w:ascii="Times New Roman"/>
                  <w:sz w:val="18"/>
                </w:rPr>
                <w:t>http://irm.cninfo.com.cn/ssessgs/S002279/index.html</w:t>
              </w:r>
            </w:hyperlink>
          </w:p>
        </w:tc>
      </w:tr>
      <w:tr>
        <w:trPr>
          <w:trHeight w:val="403"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互动易平台</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178"/>
        <w:gridCol w:w="1650"/>
        <w:gridCol w:w="1702"/>
        <w:gridCol w:w="4040"/>
      </w:tblGrid>
      <w:tr>
        <w:trPr>
          <w:trHeight w:val="362" w:hRule="exact"/>
        </w:trPr>
        <w:tc>
          <w:tcPr>
            <w:tcW w:w="2178"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hyperlink r:id="rId18">
              <w:r>
                <w:rPr>
                  <w:rFonts w:ascii="Times New Roman"/>
                  <w:sz w:val="18"/>
                </w:rPr>
                <w:t>http://irm.cninfo.com.cn/ssessgs/S002279/index.html</w:t>
              </w:r>
            </w:hyperlink>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互动易平台</w:t>
            </w:r>
          </w:p>
          <w:p>
            <w:pPr>
              <w:pStyle w:val="TableParagraph"/>
              <w:spacing w:line="240" w:lineRule="auto" w:before="116"/>
              <w:ind w:left="22" w:right="0"/>
              <w:jc w:val="left"/>
              <w:rPr>
                <w:rFonts w:ascii="Times New Roman" w:hAnsi="Times New Roman" w:cs="Times New Roman" w:eastAsia="Times New Roman" w:hint="default"/>
                <w:sz w:val="18"/>
                <w:szCs w:val="18"/>
              </w:rPr>
            </w:pPr>
            <w:hyperlink r:id="rId18">
              <w:r>
                <w:rPr>
                  <w:rFonts w:ascii="Times New Roman"/>
                  <w:sz w:val="18"/>
                </w:rPr>
                <w:t>http://irm.cninfo.com.cn/ssessgs/S002279/index.html</w:t>
              </w:r>
            </w:hyperlink>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互动易平台</w:t>
            </w:r>
          </w:p>
          <w:p>
            <w:pPr>
              <w:pStyle w:val="TableParagraph"/>
              <w:spacing w:line="240" w:lineRule="auto" w:before="116"/>
              <w:ind w:left="22" w:right="0"/>
              <w:jc w:val="left"/>
              <w:rPr>
                <w:rFonts w:ascii="Times New Roman" w:hAnsi="Times New Roman" w:cs="Times New Roman" w:eastAsia="Times New Roman" w:hint="default"/>
                <w:sz w:val="18"/>
                <w:szCs w:val="18"/>
              </w:rPr>
            </w:pPr>
            <w:hyperlink r:id="rId18">
              <w:r>
                <w:rPr>
                  <w:rFonts w:ascii="Times New Roman"/>
                  <w:sz w:val="18"/>
                </w:rPr>
                <w:t>http://irm.cninfo.com.cn/ssessgs/S002279/index.html</w:t>
              </w:r>
            </w:hyperlink>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互动易平台</w:t>
            </w:r>
          </w:p>
          <w:p>
            <w:pPr>
              <w:pStyle w:val="TableParagraph"/>
              <w:spacing w:line="240" w:lineRule="auto" w:before="116"/>
              <w:ind w:left="22" w:right="0"/>
              <w:jc w:val="left"/>
              <w:rPr>
                <w:rFonts w:ascii="Times New Roman" w:hAnsi="Times New Roman" w:cs="Times New Roman" w:eastAsia="Times New Roman" w:hint="default"/>
                <w:sz w:val="18"/>
                <w:szCs w:val="18"/>
              </w:rPr>
            </w:pPr>
            <w:hyperlink r:id="rId18">
              <w:r>
                <w:rPr>
                  <w:rFonts w:ascii="Times New Roman"/>
                  <w:sz w:val="18"/>
                </w:rPr>
                <w:t>http://irm.cninfo.com.cn/ssessgs/S002279/index.html</w:t>
              </w:r>
            </w:hyperlink>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互动易平台</w:t>
            </w:r>
          </w:p>
          <w:p>
            <w:pPr>
              <w:pStyle w:val="TableParagraph"/>
              <w:spacing w:line="240" w:lineRule="auto" w:before="116"/>
              <w:ind w:left="22" w:right="0"/>
              <w:jc w:val="left"/>
              <w:rPr>
                <w:rFonts w:ascii="Times New Roman" w:hAnsi="Times New Roman" w:cs="Times New Roman" w:eastAsia="Times New Roman" w:hint="default"/>
                <w:sz w:val="18"/>
                <w:szCs w:val="18"/>
              </w:rPr>
            </w:pPr>
            <w:hyperlink r:id="rId18">
              <w:r>
                <w:rPr>
                  <w:rFonts w:ascii="Times New Roman"/>
                  <w:sz w:val="18"/>
                </w:rPr>
                <w:t>http://irm.cninfo.com.cn/ssessgs/S002279/index.html</w:t>
              </w:r>
            </w:hyperlink>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互动易平台</w:t>
            </w:r>
          </w:p>
          <w:p>
            <w:pPr>
              <w:pStyle w:val="TableParagraph"/>
              <w:spacing w:line="240" w:lineRule="auto" w:before="116"/>
              <w:ind w:left="22" w:right="0"/>
              <w:jc w:val="left"/>
              <w:rPr>
                <w:rFonts w:ascii="Times New Roman" w:hAnsi="Times New Roman" w:cs="Times New Roman" w:eastAsia="Times New Roman" w:hint="default"/>
                <w:sz w:val="18"/>
                <w:szCs w:val="18"/>
              </w:rPr>
            </w:pPr>
            <w:hyperlink r:id="rId18">
              <w:r>
                <w:rPr>
                  <w:rFonts w:ascii="Times New Roman"/>
                  <w:sz w:val="18"/>
                </w:rPr>
                <w:t>http://irm.cninfo.com.cn/ssessgs/S002279/index.html</w:t>
              </w:r>
            </w:hyperlink>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互动易平台</w:t>
            </w:r>
          </w:p>
          <w:p>
            <w:pPr>
              <w:pStyle w:val="TableParagraph"/>
              <w:spacing w:line="240" w:lineRule="auto" w:before="116"/>
              <w:ind w:left="22" w:right="0"/>
              <w:jc w:val="left"/>
              <w:rPr>
                <w:rFonts w:ascii="Times New Roman" w:hAnsi="Times New Roman" w:cs="Times New Roman" w:eastAsia="Times New Roman" w:hint="default"/>
                <w:sz w:val="18"/>
                <w:szCs w:val="18"/>
              </w:rPr>
            </w:pPr>
            <w:hyperlink r:id="rId18">
              <w:r>
                <w:rPr>
                  <w:rFonts w:ascii="Times New Roman"/>
                  <w:sz w:val="18"/>
                </w:rPr>
                <w:t>http://irm.cninfo.com.cn/ssessgs/S002279/index.html</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right="4248"/>
        <w:jc w:val="center"/>
        <w:rPr>
          <w:b w:val="0"/>
          <w:bCs w:val="0"/>
        </w:rPr>
      </w:pPr>
      <w:bookmarkStart w:name="第五节 重要事项" w:id="61"/>
      <w:bookmarkEnd w:id="61"/>
      <w:r>
        <w:rPr>
          <w:b w:val="0"/>
          <w:bCs w:val="0"/>
        </w:rPr>
      </w:r>
      <w:bookmarkStart w:name="_bookmark4" w:id="62"/>
      <w:bookmarkEnd w:id="62"/>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3"/>
      <w:bookmarkEnd w:id="63"/>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报告期内普通股利润分配政策，特别是现金分红政策的制定、执行或调整情况</w:t>
      </w:r>
    </w:p>
    <w:p>
      <w:pPr>
        <w:pStyle w:val="BodyText"/>
        <w:spacing w:line="314"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报告期内，公司的利润分配及现金分红政策未发生调整及变化。根据《上市公司证券发行管理办法》、《关于修改上市公司</w:t>
      </w:r>
      <w:r>
        <w:rPr>
          <w:spacing w:val="-67"/>
        </w:rPr>
        <w:t> </w:t>
      </w:r>
      <w:r>
        <w:rPr>
          <w:spacing w:val="-67"/>
        </w:rPr>
      </w:r>
      <w:r>
        <w:rPr>
          <w:spacing w:val="-2"/>
        </w:rPr>
        <w:t>现金分红若干规定的决定》（证监会令第</w:t>
      </w:r>
      <w:r>
        <w:rPr>
          <w:rFonts w:ascii="Times New Roman" w:hAnsi="Times New Roman" w:cs="Times New Roman" w:eastAsia="Times New Roman" w:hint="default"/>
          <w:spacing w:val="-2"/>
        </w:rPr>
        <w:t>57</w:t>
      </w:r>
      <w:r>
        <w:rPr>
          <w:spacing w:val="-2"/>
        </w:rPr>
        <w:t>号）以及《公司章程》的规定，公司</w:t>
      </w:r>
      <w:r>
        <w:rPr>
          <w:rFonts w:ascii="Times New Roman" w:hAnsi="Times New Roman" w:cs="Times New Roman" w:eastAsia="Times New Roman" w:hint="default"/>
          <w:spacing w:val="-2"/>
        </w:rPr>
        <w:t>2014</w:t>
      </w:r>
      <w:r>
        <w:rPr>
          <w:spacing w:val="-2"/>
        </w:rPr>
        <w:t>年度股东大会审议通过了《</w:t>
      </w:r>
      <w:r>
        <w:rPr>
          <w:rFonts w:ascii="Times New Roman" w:hAnsi="Times New Roman" w:cs="Times New Roman" w:eastAsia="Times New Roman" w:hint="default"/>
          <w:spacing w:val="-2"/>
        </w:rPr>
        <w:t>2014</w:t>
      </w:r>
      <w:r>
        <w:rPr>
          <w:spacing w:val="-2"/>
        </w:rPr>
        <w:t>年度利</w:t>
      </w:r>
      <w:r>
        <w:rPr>
          <w:spacing w:val="-60"/>
        </w:rPr>
        <w:t> </w:t>
      </w:r>
      <w:r>
        <w:rPr>
          <w:spacing w:val="-60"/>
        </w:rPr>
      </w:r>
      <w:r>
        <w:rPr>
          <w:spacing w:val="-2"/>
        </w:rPr>
        <w:t>润分配方案》，即以公司</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20</w:t>
      </w:r>
      <w:r>
        <w:rPr>
          <w:spacing w:val="-2"/>
        </w:rPr>
        <w:t>日的总股本</w:t>
      </w:r>
      <w:r>
        <w:rPr>
          <w:rFonts w:ascii="Times New Roman" w:hAnsi="Times New Roman" w:cs="Times New Roman" w:eastAsia="Times New Roman" w:hint="default"/>
          <w:spacing w:val="-2"/>
        </w:rPr>
        <w:t>198,198,737</w:t>
      </w:r>
      <w:r>
        <w:rPr>
          <w:spacing w:val="-2"/>
        </w:rPr>
        <w:t>股为基数，向全体股东每</w:t>
      </w:r>
      <w:r>
        <w:rPr>
          <w:rFonts w:ascii="Times New Roman" w:hAnsi="Times New Roman" w:cs="Times New Roman" w:eastAsia="Times New Roman" w:hint="default"/>
          <w:spacing w:val="-2"/>
        </w:rPr>
        <w:t>10</w:t>
      </w:r>
      <w:r>
        <w:rPr>
          <w:spacing w:val="-2"/>
        </w:rPr>
        <w:t>股派发现金股利</w:t>
      </w:r>
      <w:r>
        <w:rPr>
          <w:rFonts w:ascii="Times New Roman" w:hAnsi="Times New Roman" w:cs="Times New Roman" w:eastAsia="Times New Roman" w:hint="default"/>
          <w:spacing w:val="-2"/>
        </w:rPr>
        <w:t>1</w:t>
      </w:r>
      <w:r>
        <w:rPr>
          <w:spacing w:val="-2"/>
        </w:rPr>
        <w:t>元（含税）。在上</w:t>
      </w:r>
      <w:r>
        <w:rPr>
          <w:spacing w:val="-47"/>
        </w:rPr>
        <w:t> </w:t>
      </w:r>
      <w:r>
        <w:rPr>
          <w:spacing w:val="-47"/>
        </w:rPr>
      </w:r>
      <w:r>
        <w:rPr>
          <w:spacing w:val="-2"/>
        </w:rPr>
        <w:t>述分派方案公布后，公司完成了对业绩补偿股份的定向回购和注销事宜，致使公司总股本在方案公布日至实施日期间发生了</w:t>
      </w:r>
      <w:r>
        <w:rPr>
          <w:spacing w:val="-64"/>
        </w:rPr>
        <w:t> </w:t>
      </w:r>
      <w:r>
        <w:rPr>
          <w:spacing w:val="-64"/>
        </w:rPr>
      </w:r>
      <w:r>
        <w:rPr/>
        <w:t>变化，即由</w:t>
      </w:r>
      <w:r>
        <w:rPr>
          <w:rFonts w:ascii="Times New Roman" w:hAnsi="Times New Roman" w:cs="Times New Roman" w:eastAsia="Times New Roman" w:hint="default"/>
        </w:rPr>
        <w:t>198,198,737</w:t>
      </w:r>
      <w:r>
        <w:rPr/>
        <w:t>股减至</w:t>
      </w:r>
      <w:r>
        <w:rPr>
          <w:rFonts w:ascii="Times New Roman" w:hAnsi="Times New Roman" w:cs="Times New Roman" w:eastAsia="Times New Roman" w:hint="default"/>
        </w:rPr>
        <w:t>197,810,840</w:t>
      </w:r>
      <w:r>
        <w:rPr/>
        <w:t>股。因此，按照</w:t>
      </w:r>
      <w:r>
        <w:rPr>
          <w:rFonts w:ascii="Times New Roman" w:hAnsi="Times New Roman" w:cs="Times New Roman" w:eastAsia="Times New Roman" w:hint="default"/>
        </w:rPr>
        <w:t>“</w:t>
      </w:r>
      <w:r>
        <w:rPr/>
        <w:t>现金分红总额、送红股总额、转增总额固定不变</w:t>
      </w:r>
      <w:r>
        <w:rPr>
          <w:rFonts w:ascii="Times New Roman" w:hAnsi="Times New Roman" w:cs="Times New Roman" w:eastAsia="Times New Roman" w:hint="default"/>
        </w:rPr>
        <w:t>”</w:t>
      </w:r>
      <w:r>
        <w:rPr/>
        <w:t>的原则，公司将</w:t>
      </w:r>
    </w:p>
    <w:p>
      <w:pPr>
        <w:pStyle w:val="BodyText"/>
        <w:spacing w:line="300" w:lineRule="auto" w:before="1"/>
        <w:ind w:right="0"/>
        <w:jc w:val="left"/>
      </w:pPr>
      <w:r>
        <w:rPr>
          <w:rFonts w:ascii="Times New Roman" w:hAnsi="Times New Roman" w:cs="Times New Roman" w:eastAsia="Times New Roman" w:hint="default"/>
          <w:spacing w:val="-5"/>
        </w:rPr>
        <w:t>2014</w:t>
      </w:r>
      <w:r>
        <w:rPr>
          <w:spacing w:val="-5"/>
        </w:rPr>
        <w:t>年度权益分派方案调整为：以公司现有总股本</w:t>
      </w:r>
      <w:r>
        <w:rPr>
          <w:rFonts w:ascii="Times New Roman" w:hAnsi="Times New Roman" w:cs="Times New Roman" w:eastAsia="Times New Roman" w:hint="default"/>
          <w:spacing w:val="-5"/>
        </w:rPr>
        <w:t>197,810,840</w:t>
      </w:r>
      <w:r>
        <w:rPr>
          <w:spacing w:val="-5"/>
        </w:rPr>
        <w:t>股为基数，向全体股东每</w:t>
      </w:r>
      <w:r>
        <w:rPr>
          <w:rFonts w:ascii="Times New Roman" w:hAnsi="Times New Roman" w:cs="Times New Roman" w:eastAsia="Times New Roman" w:hint="default"/>
          <w:spacing w:val="-5"/>
        </w:rPr>
        <w:t>10</w:t>
      </w:r>
      <w:r>
        <w:rPr>
          <w:spacing w:val="-5"/>
        </w:rPr>
        <w:t>股派发现金股利</w:t>
      </w:r>
      <w:r>
        <w:rPr>
          <w:rFonts w:ascii="Times New Roman" w:hAnsi="Times New Roman" w:cs="Times New Roman" w:eastAsia="Times New Roman" w:hint="default"/>
          <w:spacing w:val="-5"/>
        </w:rPr>
        <w:t>1.001960</w:t>
      </w:r>
      <w:r>
        <w:rPr>
          <w:spacing w:val="-5"/>
        </w:rPr>
        <w:t>元（含税）。</w:t>
      </w:r>
      <w:r>
        <w:rPr>
          <w:spacing w:val="-54"/>
        </w:rPr>
        <w:t> </w:t>
      </w:r>
      <w:r>
        <w:rPr>
          <w:spacing w:val="-54"/>
        </w:rPr>
      </w:r>
      <w:r>
        <w:rPr/>
        <w:t>前述方案已于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25</w:t>
      </w:r>
      <w:r>
        <w:rPr/>
        <w:t>日实施完毕。</w:t>
      </w: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3"/>
        <w:ind w:left="154" w:right="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1"/>
        </w:rPr>
        <w:t>（</w:t>
      </w:r>
      <w:r>
        <w:rPr/>
        <w:t>包括本报告期）的普通股股利分配方案（预案</w:t>
      </w:r>
      <w:r>
        <w:rPr>
          <w:spacing w:val="-90"/>
        </w:rPr>
        <w:t>）</w:t>
      </w:r>
      <w:r>
        <w:rPr/>
        <w:t>、资本公积金转增股本方案（预案）情况</w:t>
      </w:r>
    </w:p>
    <w:p>
      <w:pPr>
        <w:pStyle w:val="BodyText"/>
        <w:spacing w:line="300" w:lineRule="auto" w:before="102"/>
        <w:ind w:right="0"/>
        <w:jc w:val="left"/>
      </w:pPr>
      <w:r>
        <w:rPr>
          <w:spacing w:val="-1"/>
        </w:rPr>
        <w:t>（</w:t>
      </w: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2013</w:t>
      </w:r>
      <w:r>
        <w:rPr>
          <w:spacing w:val="-1"/>
        </w:rPr>
        <w:t>年度利润分配预案：以截至</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日公司总股本</w:t>
      </w:r>
      <w:r>
        <w:rPr>
          <w:rFonts w:ascii="Times New Roman" w:hAnsi="Times New Roman" w:cs="Times New Roman" w:eastAsia="Times New Roman" w:hint="default"/>
          <w:spacing w:val="-1"/>
        </w:rPr>
        <w:t>175,795,305</w:t>
      </w:r>
      <w:r>
        <w:rPr>
          <w:spacing w:val="-1"/>
        </w:rPr>
        <w:t>股为基数，拟向全体股东每</w:t>
      </w:r>
      <w:r>
        <w:rPr>
          <w:rFonts w:ascii="Times New Roman" w:hAnsi="Times New Roman" w:cs="Times New Roman" w:eastAsia="Times New Roman" w:hint="default"/>
          <w:spacing w:val="-1"/>
        </w:rPr>
        <w:t>10</w:t>
      </w:r>
      <w:r>
        <w:rPr>
          <w:spacing w:val="-1"/>
        </w:rPr>
        <w:t>股派</w:t>
      </w:r>
      <w:r>
        <w:rPr>
          <w:rFonts w:ascii="Times New Roman" w:hAnsi="Times New Roman" w:cs="Times New Roman" w:eastAsia="Times New Roman" w:hint="default"/>
          <w:spacing w:val="-1"/>
        </w:rPr>
        <w:t>1.8</w:t>
      </w:r>
      <w:r>
        <w:rPr>
          <w:spacing w:val="-1"/>
        </w:rPr>
        <w:t>元人民币</w:t>
      </w:r>
      <w:r>
        <w:rPr>
          <w:spacing w:val="-64"/>
        </w:rPr>
        <w:t> </w:t>
      </w:r>
      <w:r>
        <w:rPr/>
        <w:t>现金（含税），共计派发现金股利</w:t>
      </w:r>
      <w:r>
        <w:rPr>
          <w:rFonts w:ascii="Times New Roman" w:hAnsi="Times New Roman" w:cs="Times New Roman" w:eastAsia="Times New Roman" w:hint="default"/>
        </w:rPr>
        <w:t>31,643,154.90</w:t>
      </w:r>
      <w:r>
        <w:rPr/>
        <w:t>元。</w:t>
      </w:r>
    </w:p>
    <w:p>
      <w:pPr>
        <w:pStyle w:val="BodyText"/>
        <w:spacing w:line="300" w:lineRule="auto" w:before="13"/>
        <w:ind w:right="1130"/>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2014</w:t>
      </w:r>
      <w:r>
        <w:rPr/>
        <w:t>年度利润分配预案：以截至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日公司总股本</w:t>
      </w:r>
      <w:r>
        <w:rPr>
          <w:rFonts w:ascii="Times New Roman" w:hAnsi="Times New Roman" w:cs="Times New Roman" w:eastAsia="Times New Roman" w:hint="default"/>
        </w:rPr>
        <w:t>198,198,737</w:t>
      </w:r>
      <w:r>
        <w:rPr/>
        <w:t>股为基数，拟向全体股东每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1</w:t>
      </w:r>
      <w:r>
        <w:rPr/>
        <w:t>元人民币现</w:t>
      </w:r>
      <w:r>
        <w:rPr>
          <w:spacing w:val="-85"/>
        </w:rPr>
        <w:t> </w:t>
      </w:r>
      <w:r>
        <w:rPr>
          <w:spacing w:val="-85"/>
        </w:rPr>
      </w:r>
      <w:r>
        <w:rPr>
          <w:spacing w:val="-7"/>
        </w:rPr>
        <w:t>金（含税），由于公司总股本在方案公布日至实施日期间发生了变化，</w:t>
      </w:r>
      <w:r>
        <w:rPr>
          <w:rFonts w:ascii="Times New Roman" w:hAnsi="Times New Roman" w:cs="Times New Roman" w:eastAsia="Times New Roman" w:hint="default"/>
          <w:spacing w:val="-7"/>
        </w:rPr>
        <w:t>2014</w:t>
      </w:r>
      <w:r>
        <w:rPr>
          <w:spacing w:val="-7"/>
        </w:rPr>
        <w:t>年度权益分派方案调整为：以公司总股本</w:t>
      </w:r>
      <w:r>
        <w:rPr>
          <w:rFonts w:ascii="Times New Roman" w:hAnsi="Times New Roman" w:cs="Times New Roman" w:eastAsia="Times New Roman" w:hint="default"/>
          <w:spacing w:val="-7"/>
        </w:rPr>
        <w:t>197,810,840</w:t>
      </w:r>
      <w:r>
        <w:rPr>
          <w:rFonts w:ascii="Times New Roman" w:hAnsi="Times New Roman" w:cs="Times New Roman" w:eastAsia="Times New Roman" w:hint="default"/>
          <w:spacing w:val="-41"/>
        </w:rPr>
        <w:t> </w:t>
      </w:r>
      <w:r>
        <w:rPr>
          <w:rFonts w:ascii="Times New Roman" w:hAnsi="Times New Roman" w:cs="Times New Roman" w:eastAsia="Times New Roman" w:hint="default"/>
          <w:spacing w:val="-41"/>
        </w:rPr>
      </w:r>
      <w:r>
        <w:rPr/>
        <w:t>股为基数，向全体股东每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1.001960</w:t>
      </w:r>
      <w:r>
        <w:rPr/>
        <w:t>元（含税），共计派发现金股利</w:t>
      </w:r>
      <w:r>
        <w:rPr>
          <w:rFonts w:ascii="Times New Roman" w:hAnsi="Times New Roman" w:cs="Times New Roman" w:eastAsia="Times New Roman" w:hint="default"/>
        </w:rPr>
        <w:t>19,819,873.70</w:t>
      </w:r>
      <w:r>
        <w:rPr/>
        <w:t>元。</w:t>
      </w:r>
    </w:p>
    <w:p>
      <w:pPr>
        <w:pStyle w:val="BodyText"/>
        <w:spacing w:line="319" w:lineRule="auto" w:before="13"/>
        <w:ind w:left="154" w:right="0"/>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2015</w:t>
      </w:r>
      <w:r>
        <w:rPr/>
        <w:t>年度利润分配预案：以截至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216,596,780</w:t>
      </w:r>
      <w:r>
        <w:rPr/>
        <w:t>股为基数，向全体股东每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1</w:t>
      </w:r>
      <w:r>
        <w:rPr>
          <w:rFonts w:ascii="Times New Roman" w:hAnsi="Times New Roman" w:cs="Times New Roman" w:eastAsia="Times New Roman" w:hint="default"/>
          <w:spacing w:val="40"/>
        </w:rPr>
        <w:t> </w:t>
      </w:r>
      <w:r>
        <w:rPr/>
        <w:t>元（含税），以资本公积金向全体股东每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15</w:t>
      </w:r>
      <w:r>
        <w:rPr/>
        <w:t>股，预计派发现金股利</w:t>
      </w:r>
      <w:r>
        <w:rPr>
          <w:rFonts w:ascii="Times New Roman" w:hAnsi="Times New Roman" w:cs="Times New Roman" w:eastAsia="Times New Roman" w:hint="default"/>
        </w:rPr>
        <w:t>21,659,678.00</w:t>
      </w:r>
      <w:r>
        <w:rPr/>
        <w:t>元，新增股份</w:t>
      </w:r>
      <w:r>
        <w:rPr>
          <w:rFonts w:ascii="Times New Roman" w:hAnsi="Times New Roman" w:cs="Times New Roman" w:eastAsia="Times New Roman" w:hint="default"/>
        </w:rPr>
        <w:t>324,895,170</w:t>
      </w:r>
      <w:r>
        <w:rPr/>
        <w:t>股。 公司近三年（包括本报告期）普通股现金分红情况表</w:t>
      </w:r>
    </w:p>
    <w:p>
      <w:pPr>
        <w:pStyle w:val="BodyText"/>
        <w:spacing w:line="240" w:lineRule="auto" w:before="58"/>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4"/>
        <w:gridCol w:w="1583"/>
        <w:gridCol w:w="1605"/>
        <w:gridCol w:w="1595"/>
      </w:tblGrid>
      <w:tr>
        <w:trPr>
          <w:trHeight w:val="317"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2" w:right="69"/>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8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2" w:right="58"/>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60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612" w:right="70"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4" w:type="dxa"/>
            <w:vMerge/>
            <w:tcBorders>
              <w:left w:val="single" w:sz="4" w:space="0" w:color="000000"/>
              <w:right w:val="single" w:sz="4" w:space="0" w:color="000000"/>
            </w:tcBorders>
            <w:shd w:val="clear" w:color="auto" w:fill="D2D2D2"/>
          </w:tcPr>
          <w:p>
            <w:pPr/>
          </w:p>
        </w:tc>
        <w:tc>
          <w:tcPr>
            <w:tcW w:w="1583" w:type="dxa"/>
            <w:vMerge/>
            <w:tcBorders>
              <w:left w:val="single" w:sz="4" w:space="0" w:color="000000"/>
              <w:right w:val="single" w:sz="4" w:space="0" w:color="000000"/>
            </w:tcBorders>
            <w:shd w:val="clear" w:color="auto" w:fill="D2D2D2"/>
          </w:tcPr>
          <w:p>
            <w:pPr/>
          </w:p>
        </w:tc>
        <w:tc>
          <w:tcPr>
            <w:tcW w:w="160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43"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83" w:type="dxa"/>
            <w:vMerge/>
            <w:tcBorders>
              <w:left w:val="single" w:sz="4" w:space="0" w:color="000000"/>
              <w:right w:val="single" w:sz="4" w:space="0" w:color="000000"/>
            </w:tcBorders>
            <w:shd w:val="clear" w:color="auto" w:fill="D2D2D2"/>
          </w:tcPr>
          <w:p>
            <w:pPr/>
          </w:p>
        </w:tc>
        <w:tc>
          <w:tcPr>
            <w:tcW w:w="1605"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83" w:type="dxa"/>
            <w:vMerge/>
            <w:tcBorders>
              <w:left w:val="single" w:sz="4" w:space="0" w:color="000000"/>
              <w:right w:val="single" w:sz="4" w:space="0" w:color="000000"/>
            </w:tcBorders>
            <w:shd w:val="clear" w:color="auto" w:fill="D2D2D2"/>
          </w:tcPr>
          <w:p>
            <w:pPr/>
          </w:p>
        </w:tc>
        <w:tc>
          <w:tcPr>
            <w:tcW w:w="1605"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83" w:type="dxa"/>
            <w:vMerge/>
            <w:tcBorders>
              <w:left w:val="single" w:sz="4" w:space="0" w:color="000000"/>
              <w:bottom w:val="single" w:sz="4" w:space="0" w:color="000000"/>
              <w:right w:val="single" w:sz="4" w:space="0" w:color="000000"/>
            </w:tcBorders>
            <w:shd w:val="clear" w:color="auto" w:fill="D2D2D2"/>
          </w:tcPr>
          <w:p>
            <w:pPr/>
          </w:p>
        </w:tc>
        <w:tc>
          <w:tcPr>
            <w:tcW w:w="160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21,659,678.00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134,979,385.42</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16.05%</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19,819,873.70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72,679,211.46</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27.27%</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6" w:right="0"/>
              <w:jc w:val="left"/>
              <w:rPr>
                <w:rFonts w:ascii="Times New Roman" w:hAnsi="Times New Roman" w:cs="Times New Roman" w:eastAsia="Times New Roman" w:hint="default"/>
                <w:sz w:val="18"/>
                <w:szCs w:val="18"/>
              </w:rPr>
            </w:pPr>
            <w:r>
              <w:rPr>
                <w:rFonts w:ascii="Times New Roman"/>
                <w:sz w:val="18"/>
              </w:rPr>
              <w:t>31,643,154.90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8" w:right="0"/>
              <w:jc w:val="left"/>
              <w:rPr>
                <w:rFonts w:ascii="Times New Roman" w:hAnsi="Times New Roman" w:cs="Times New Roman" w:eastAsia="Times New Roman" w:hint="default"/>
                <w:sz w:val="18"/>
                <w:szCs w:val="18"/>
              </w:rPr>
            </w:pPr>
            <w:r>
              <w:rPr>
                <w:rFonts w:ascii="Times New Roman"/>
                <w:sz w:val="18"/>
              </w:rPr>
              <w:t>59,433,902.96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6" w:right="0"/>
              <w:jc w:val="left"/>
              <w:rPr>
                <w:rFonts w:ascii="Times New Roman" w:hAnsi="Times New Roman" w:cs="Times New Roman" w:eastAsia="Times New Roman" w:hint="default"/>
                <w:sz w:val="18"/>
                <w:szCs w:val="18"/>
              </w:rPr>
            </w:pPr>
            <w:r>
              <w:rPr>
                <w:rFonts w:ascii="Times New Roman"/>
                <w:sz w:val="18"/>
              </w:rPr>
              <w:t>53.24%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0"/>
        <w:jc w:val="left"/>
      </w:pPr>
      <w:r>
        <w:rPr/>
        <w:t>公司报告期内盈利且母公司可供普通股股东分配利润为正但未提出普通股现金红利分配预案</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二、本报告期利润分配及资本公积金转增股本预案" w:id="64"/>
      <w:bookmarkEnd w:id="64"/>
      <w:r>
        <w:rPr>
          <w:b w:val="0"/>
          <w:bCs w:val="0"/>
        </w:rPr>
      </w:r>
      <w:r>
        <w:rPr/>
        <w:t>二、本报告期利润分配及资本公积金转增股本预案</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773"/>
        <w:gridCol w:w="5784"/>
      </w:tblGrid>
      <w:tr>
        <w:trPr>
          <w:trHeight w:val="403"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216,596,780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21,659,678.00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255,302,769.02</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7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16"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以截至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w:t>
            </w:r>
            <w:r>
              <w:rPr>
                <w:rFonts w:ascii="宋体" w:hAnsi="宋体" w:cs="宋体" w:eastAsia="宋体" w:hint="default"/>
                <w:spacing w:val="1"/>
                <w:sz w:val="18"/>
                <w:szCs w:val="18"/>
              </w:rPr>
              <w:t>司</w:t>
            </w:r>
            <w:r>
              <w:rPr>
                <w:rFonts w:ascii="宋体" w:hAnsi="宋体" w:cs="宋体" w:eastAsia="宋体" w:hint="default"/>
                <w:sz w:val="18"/>
                <w:szCs w:val="18"/>
              </w:rPr>
              <w:t>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216,596</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780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股为基数</w:t>
            </w:r>
            <w:r>
              <w:rPr>
                <w:rFonts w:ascii="宋体" w:hAnsi="宋体" w:cs="宋体" w:eastAsia="宋体" w:hint="default"/>
                <w:spacing w:val="-9"/>
                <w:sz w:val="18"/>
                <w:szCs w:val="18"/>
              </w:rPr>
              <w:t>，</w:t>
            </w:r>
            <w:r>
              <w:rPr>
                <w:rFonts w:ascii="宋体" w:hAnsi="宋体" w:cs="宋体" w:eastAsia="宋体" w:hint="default"/>
                <w:sz w:val="18"/>
                <w:szCs w:val="18"/>
              </w:rPr>
              <w:t>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股派发现金股利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元</w:t>
            </w:r>
            <w:r>
              <w:rPr>
                <w:rFonts w:ascii="宋体" w:hAnsi="宋体" w:cs="宋体" w:eastAsia="宋体" w:hint="default"/>
                <w:sz w:val="18"/>
                <w:szCs w:val="18"/>
              </w:rPr>
              <w:t>（含税</w:t>
            </w:r>
            <w:r>
              <w:rPr>
                <w:rFonts w:ascii="宋体" w:hAnsi="宋体" w:cs="宋体" w:eastAsia="宋体" w:hint="default"/>
                <w:spacing w:val="-89"/>
                <w:sz w:val="18"/>
                <w:szCs w:val="18"/>
              </w:rPr>
              <w:t>）</w:t>
            </w:r>
            <w:r>
              <w:rPr>
                <w:rFonts w:ascii="宋体" w:hAnsi="宋体" w:cs="宋体" w:eastAsia="宋体" w:hint="default"/>
                <w:spacing w:val="-10"/>
                <w:sz w:val="18"/>
                <w:szCs w:val="18"/>
              </w:rPr>
              <w:t>，</w:t>
            </w:r>
            <w:r>
              <w:rPr>
                <w:rFonts w:ascii="宋体" w:hAnsi="宋体" w:cs="宋体" w:eastAsia="宋体" w:hint="default"/>
                <w:sz w:val="18"/>
                <w:szCs w:val="18"/>
              </w:rPr>
              <w:t>以资</w:t>
            </w:r>
            <w:r>
              <w:rPr>
                <w:rFonts w:ascii="宋体" w:hAnsi="宋体" w:cs="宋体" w:eastAsia="宋体" w:hint="default"/>
                <w:spacing w:val="1"/>
                <w:sz w:val="18"/>
                <w:szCs w:val="18"/>
              </w:rPr>
              <w:t>本公</w:t>
            </w:r>
            <w:r>
              <w:rPr>
                <w:rFonts w:ascii="宋体" w:hAnsi="宋体" w:cs="宋体" w:eastAsia="宋体" w:hint="default"/>
                <w:sz w:val="18"/>
                <w:szCs w:val="18"/>
              </w:rPr>
              <w:t>积</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金向全体股东每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股转增</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股，共计派发现金股利</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21,659,678.00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元，新增股份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324,895,170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pStyle w:val="Heading2"/>
        <w:spacing w:line="240" w:lineRule="auto" w:before="30"/>
        <w:ind w:left="400" w:right="0"/>
        <w:jc w:val="left"/>
        <w:rPr>
          <w:b w:val="0"/>
          <w:bCs w:val="0"/>
        </w:rPr>
      </w:pPr>
      <w:r>
        <w:rPr/>
        <w:pict>
          <v:shape style="position:absolute;margin-left:216.266006pt;margin-top:408.300018pt;width:75.2pt;height:38pt;mso-position-horizontal-relative:page;mso-position-vertical-relative:page;z-index:-882928" type="#_x0000_t202" filled="false" stroked="false">
            <v:textbox inset="0,0,0,0">
              <w:txbxContent>
                <w:p>
                  <w:pPr>
                    <w:pStyle w:val="BodyText"/>
                    <w:spacing w:line="240" w:lineRule="auto" w:before="51"/>
                    <w:ind w:left="0" w:right="0"/>
                    <w:jc w:val="left"/>
                  </w:pPr>
                  <w:r>
                    <w:rPr/>
                    <w:t>蒋国兴、</w:t>
                  </w:r>
                </w:p>
              </w:txbxContent>
            </v:textbox>
            <w10:wrap type="none"/>
          </v:shape>
        </w:pict>
      </w:r>
      <w:r>
        <w:rPr/>
        <w:pict>
          <v:group style="position:absolute;margin-left:70.5pt;margin-top:2.255627pt;width:701pt;height:.1pt;mso-position-horizontal-relative:page;mso-position-vertical-relative:paragraph;z-index:-882904" coordorigin="1410,45" coordsize="14020,2">
            <v:shape style="position:absolute;left:1410;top:45;width:14020;height:2" coordorigin="1410,45" coordsize="14020,0" path="m1410,45l15430,45e" filled="false" stroked="true" strokeweight=".72pt" strokecolor="#000000">
              <v:path arrowok="t"/>
            </v:shape>
            <w10:wrap type="none"/>
          </v:group>
        </w:pict>
      </w:r>
      <w:r>
        <w:rPr/>
        <w:pict>
          <v:group style="position:absolute;margin-left:249.440002pt;margin-top:408.300018pt;width:42pt;height:55.6pt;mso-position-horizontal-relative:page;mso-position-vertical-relative:page;z-index:-882880" coordorigin="4989,8166" coordsize="840,1112">
            <v:group style="position:absolute;left:4989;top:8166;width:840;height:760" coordorigin="4989,8166" coordsize="840,760">
              <v:shape style="position:absolute;left:4989;top:8166;width:840;height:760" coordorigin="4989,8166" coordsize="840,760" path="m4989,8926l5829,8926,5829,8166,4989,8166,4989,8926xe" filled="true" fillcolor="#ffffff" stroked="false">
                <v:path arrowok="t"/>
                <v:fill type="solid"/>
              </v:shape>
            </v:group>
            <v:group style="position:absolute;left:5013;top:8926;width:794;height:352" coordorigin="5013,8926" coordsize="794,352">
              <v:shape style="position:absolute;left:5013;top:8926;width:794;height:352" coordorigin="5013,8926" coordsize="794,352" path="m5013,9277l5806,9277,5806,8926,5013,8926,5013,9277xe" filled="true" fillcolor="#ffffff" stroked="false">
                <v:path arrowok="t"/>
                <v:fill type="solid"/>
              </v:shape>
            </v:group>
            <w10:wrap type="none"/>
          </v:group>
        </w:pict>
      </w:r>
      <w:r>
        <w:rPr/>
        <w:pict>
          <v:group style="position:absolute;margin-left:249.440002pt;margin-top:481.5pt;width:42pt;height:38pt;mso-position-horizontal-relative:page;mso-position-vertical-relative:page;z-index:-882856" coordorigin="4989,9630" coordsize="840,760">
            <v:shape style="position:absolute;left:4989;top:9630;width:840;height:760" coordorigin="4989,9630" coordsize="840,760" path="m4989,10390l5829,10390,5829,9630,4989,9630,4989,10390xe" filled="true" fillcolor="#ffffff" stroked="false">
              <v:path arrowok="t"/>
              <v:fill type="solid"/>
            </v:shape>
            <w10:wrap type="none"/>
          </v:group>
        </w:pict>
      </w:r>
      <w:bookmarkStart w:name="三、承诺事项履行情况" w:id="65"/>
      <w:bookmarkEnd w:id="65"/>
      <w:r>
        <w:rPr>
          <w:b w:val="0"/>
          <w:bCs w:val="0"/>
        </w:rPr>
      </w:r>
      <w:r>
        <w:rPr/>
        <w:t>三、承诺事项履行情况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400" w:right="0"/>
        <w:jc w:val="left"/>
        <w:rPr>
          <w:b w:val="0"/>
          <w:bCs w:val="0"/>
        </w:rPr>
      </w:pPr>
      <w:bookmarkStart w:name="1、公司、股东、实际控制人、收购人、董事、监事、高级管理人员或其他关联方在报告期" w:id="66"/>
      <w:bookmarkEnd w:id="66"/>
      <w:r>
        <w:rPr>
          <w:b w:val="0"/>
          <w:bCs w:val="0"/>
        </w:rPr>
      </w:r>
      <w:r>
        <w:rPr>
          <w:rFonts w:ascii="Times New Roman" w:hAnsi="Times New Roman" w:cs="Times New Roman" w:eastAsia="Times New Roman" w:hint="default"/>
        </w:rPr>
        <w:t>1</w:t>
      </w:r>
      <w:r>
        <w:rPr/>
        <w:t>、公司、股东、实际控制人、收购人、董事、监事、高级管理人员或其他关联方在报告期内履行完毕及截至报告期末尚未履行完毕的承诺事项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40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1" w:type="dxa"/>
        <w:tblLayout w:type="fixed"/>
        <w:tblCellMar>
          <w:top w:w="0" w:type="dxa"/>
          <w:left w:w="0" w:type="dxa"/>
          <w:bottom w:w="0" w:type="dxa"/>
          <w:right w:w="0" w:type="dxa"/>
        </w:tblCellMar>
        <w:tblLook w:val="01E0"/>
      </w:tblPr>
      <w:tblGrid>
        <w:gridCol w:w="1843"/>
        <w:gridCol w:w="1985"/>
        <w:gridCol w:w="851"/>
        <w:gridCol w:w="6597"/>
        <w:gridCol w:w="1127"/>
        <w:gridCol w:w="1121"/>
        <w:gridCol w:w="1106"/>
      </w:tblGrid>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6"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6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985" w:type="dxa"/>
            <w:tcBorders>
              <w:top w:val="single" w:sz="4" w:space="0" w:color="000000"/>
              <w:left w:val="single" w:sz="9" w:space="0" w:color="D2D2D2"/>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6597"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 w:right="189"/>
              <w:jc w:val="left"/>
              <w:rPr>
                <w:rFonts w:ascii="宋体" w:hAnsi="宋体" w:cs="宋体" w:eastAsia="宋体" w:hint="default"/>
                <w:sz w:val="18"/>
                <w:szCs w:val="18"/>
              </w:rPr>
            </w:pPr>
            <w:r>
              <w:rPr>
                <w:rFonts w:ascii="宋体" w:hAnsi="宋体" w:cs="宋体" w:eastAsia="宋体" w:hint="default"/>
                <w:sz w:val="18"/>
                <w:szCs w:val="18"/>
              </w:rPr>
              <w:t>收购报告书或权益变 动报告书中所作承诺</w:t>
            </w:r>
          </w:p>
        </w:tc>
        <w:tc>
          <w:tcPr>
            <w:tcW w:w="1985" w:type="dxa"/>
            <w:tcBorders>
              <w:top w:val="single" w:sz="4" w:space="0" w:color="000000"/>
              <w:left w:val="single" w:sz="9" w:space="0" w:color="D2D2D2"/>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6597"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1843" w:type="dxa"/>
            <w:vMerge w:val="restart"/>
            <w:tcBorders>
              <w:top w:val="single" w:sz="4" w:space="0" w:color="000000"/>
              <w:left w:val="single" w:sz="4" w:space="0" w:color="000000"/>
              <w:right w:val="single" w:sz="4" w:space="0" w:color="000000"/>
            </w:tcBorders>
            <w:shd w:val="clear" w:color="auto" w:fill="D2D2D2"/>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赵福君</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3" w:right="95"/>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6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09" w:lineRule="auto"/>
              <w:ind w:left="22" w:right="37"/>
              <w:jc w:val="both"/>
              <w:rPr>
                <w:rFonts w:ascii="宋体" w:hAnsi="宋体" w:cs="宋体" w:eastAsia="宋体" w:hint="default"/>
                <w:sz w:val="18"/>
                <w:szCs w:val="18"/>
              </w:rPr>
            </w:pPr>
            <w:r>
              <w:rPr>
                <w:rFonts w:ascii="宋体" w:hAnsi="宋体" w:cs="宋体" w:eastAsia="宋体" w:hint="default"/>
                <w:sz w:val="18"/>
                <w:szCs w:val="18"/>
              </w:rPr>
              <w:t>承诺自控股股东久其科技所认购的华夏电通并购项目配套融资对应的新增股份上市 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个月内，不转让或通过二级市场减持其持有的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股高管股和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75,000 </w:t>
            </w:r>
            <w:r>
              <w:rPr>
                <w:rFonts w:ascii="宋体" w:hAnsi="宋体" w:cs="宋体" w:eastAsia="宋体" w:hint="default"/>
                <w:sz w:val="18"/>
                <w:szCs w:val="18"/>
              </w:rPr>
              <w:t>股无限售条件流通股</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截至报告期 </w:t>
            </w:r>
            <w:r>
              <w:rPr>
                <w:rFonts w:ascii="宋体" w:hAnsi="宋体" w:cs="宋体" w:eastAsia="宋体" w:hint="default"/>
                <w:spacing w:val="-5"/>
                <w:sz w:val="18"/>
                <w:szCs w:val="18"/>
              </w:rPr>
              <w:t>末，承诺方严</w:t>
            </w:r>
            <w:r>
              <w:rPr>
                <w:rFonts w:ascii="宋体" w:hAnsi="宋体" w:cs="宋体" w:eastAsia="宋体" w:hint="default"/>
                <w:sz w:val="18"/>
                <w:szCs w:val="18"/>
              </w:rPr>
              <w:t> 格遵守该承 </w:t>
            </w:r>
            <w:r>
              <w:rPr>
                <w:rFonts w:ascii="宋体" w:hAnsi="宋体" w:cs="宋体" w:eastAsia="宋体" w:hint="default"/>
                <w:spacing w:val="-5"/>
                <w:sz w:val="18"/>
                <w:szCs w:val="18"/>
              </w:rPr>
              <w:t>诺，未有违反</w:t>
            </w:r>
            <w:r>
              <w:rPr>
                <w:rFonts w:ascii="宋体" w:hAnsi="宋体" w:cs="宋体" w:eastAsia="宋体" w:hint="default"/>
                <w:sz w:val="18"/>
                <w:szCs w:val="18"/>
              </w:rPr>
              <w:t> 该承诺的情 况</w:t>
            </w:r>
          </w:p>
        </w:tc>
      </w:tr>
      <w:tr>
        <w:trPr>
          <w:trHeight w:val="922" w:hRule="exact"/>
        </w:trPr>
        <w:tc>
          <w:tcPr>
            <w:tcW w:w="1843" w:type="dxa"/>
            <w:vMerge/>
            <w:tcBorders>
              <w:left w:val="single" w:sz="4" w:space="0" w:color="000000"/>
              <w:bottom w:val="nil" w:sz="6" w:space="0" w:color="auto"/>
              <w:right w:val="single" w:sz="4" w:space="0" w:color="000000"/>
            </w:tcBorders>
            <w:shd w:val="clear" w:color="auto" w:fill="D2D2D2"/>
          </w:tcPr>
          <w:p>
            <w:pPr/>
          </w:p>
        </w:tc>
        <w:tc>
          <w:tcPr>
            <w:tcW w:w="1985" w:type="dxa"/>
            <w:vMerge w:val="restart"/>
            <w:tcBorders>
              <w:top w:val="single" w:sz="4" w:space="0" w:color="000000"/>
              <w:left w:val="single" w:sz="9" w:space="0" w:color="D2D2D2"/>
              <w:right w:val="single" w:sz="4" w:space="0" w:color="000000"/>
            </w:tcBorders>
          </w:tcPr>
          <w:p>
            <w:pPr>
              <w:pStyle w:val="TableParagraph"/>
              <w:spacing w:line="316" w:lineRule="auto" w:before="52"/>
              <w:ind w:left="16" w:right="20"/>
              <w:jc w:val="left"/>
              <w:rPr>
                <w:rFonts w:ascii="宋体" w:hAnsi="宋体" w:cs="宋体" w:eastAsia="宋体" w:hint="default"/>
                <w:sz w:val="18"/>
                <w:szCs w:val="18"/>
              </w:rPr>
            </w:pPr>
            <w:r>
              <w:rPr>
                <w:rFonts w:ascii="宋体" w:hAnsi="宋体" w:cs="宋体" w:eastAsia="宋体" w:hint="default"/>
                <w:sz w:val="18"/>
                <w:szCs w:val="18"/>
              </w:rPr>
              <w:t>北京久其科技投资有限 </w:t>
            </w:r>
            <w:r>
              <w:rPr>
                <w:rFonts w:ascii="宋体" w:hAnsi="宋体" w:cs="宋体" w:eastAsia="宋体" w:hint="default"/>
                <w:spacing w:val="-5"/>
                <w:sz w:val="18"/>
                <w:szCs w:val="18"/>
              </w:rPr>
              <w:t>公司、北京鼎新成长创业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9"/>
                <w:sz w:val="18"/>
                <w:szCs w:val="18"/>
              </w:rPr>
              <w:t>投资中心（有限合伙）、</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5"/>
                <w:sz w:val="18"/>
                <w:szCs w:val="18"/>
              </w:rPr>
              <w:t>屈庆超、党毅、石磊、吴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鹏翎、肖兴喜、钱晖、刘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文佳</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95"/>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65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82"/>
              <w:jc w:val="left"/>
              <w:rPr>
                <w:rFonts w:ascii="宋体" w:hAnsi="宋体" w:cs="宋体" w:eastAsia="宋体" w:hint="default"/>
                <w:sz w:val="18"/>
                <w:szCs w:val="18"/>
              </w:rPr>
            </w:pPr>
            <w:r>
              <w:rPr>
                <w:rFonts w:ascii="宋体" w:hAnsi="宋体" w:cs="宋体" w:eastAsia="宋体" w:hint="default"/>
                <w:sz w:val="18"/>
                <w:szCs w:val="18"/>
              </w:rPr>
              <w:t>承诺以非公开发行股份方式认购的华夏电通重组项目募集配套资金对应的股票锁定 期为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6"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截至报告期 </w:t>
            </w:r>
            <w:r>
              <w:rPr>
                <w:rFonts w:ascii="宋体" w:hAnsi="宋体" w:cs="宋体" w:eastAsia="宋体" w:hint="default"/>
                <w:spacing w:val="-5"/>
                <w:sz w:val="18"/>
                <w:szCs w:val="18"/>
              </w:rPr>
              <w:t>末，承诺方严</w:t>
            </w:r>
            <w:r>
              <w:rPr>
                <w:rFonts w:ascii="宋体" w:hAnsi="宋体" w:cs="宋体" w:eastAsia="宋体" w:hint="default"/>
                <w:sz w:val="18"/>
                <w:szCs w:val="18"/>
              </w:rPr>
              <w:t> 格遵守该承 </w:t>
            </w:r>
            <w:r>
              <w:rPr>
                <w:rFonts w:ascii="宋体" w:hAnsi="宋体" w:cs="宋体" w:eastAsia="宋体" w:hint="default"/>
                <w:spacing w:val="-5"/>
                <w:sz w:val="18"/>
                <w:szCs w:val="18"/>
              </w:rPr>
              <w:t>诺，未有违反</w:t>
            </w:r>
            <w:r>
              <w:rPr>
                <w:rFonts w:ascii="宋体" w:hAnsi="宋体" w:cs="宋体" w:eastAsia="宋体" w:hint="default"/>
                <w:sz w:val="18"/>
                <w:szCs w:val="18"/>
              </w:rPr>
              <w:t> 该承诺的情 况</w:t>
            </w:r>
          </w:p>
        </w:tc>
      </w:tr>
      <w:tr>
        <w:trPr>
          <w:trHeight w:val="392" w:hRule="exact"/>
        </w:trPr>
        <w:tc>
          <w:tcPr>
            <w:tcW w:w="184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985" w:type="dxa"/>
            <w:vMerge/>
            <w:tcBorders>
              <w:left w:val="single" w:sz="9" w:space="0" w:color="D2D2D2"/>
              <w:right w:val="single" w:sz="4" w:space="0" w:color="000000"/>
            </w:tcBorders>
          </w:tcPr>
          <w:p>
            <w:pPr/>
          </w:p>
        </w:tc>
        <w:tc>
          <w:tcPr>
            <w:tcW w:w="851" w:type="dxa"/>
            <w:vMerge/>
            <w:tcBorders>
              <w:left w:val="single" w:sz="4" w:space="0" w:color="000000"/>
              <w:right w:val="single" w:sz="4" w:space="0" w:color="000000"/>
            </w:tcBorders>
          </w:tcPr>
          <w:p>
            <w:pPr/>
          </w:p>
        </w:tc>
        <w:tc>
          <w:tcPr>
            <w:tcW w:w="6597"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648" w:hRule="exact"/>
        </w:trPr>
        <w:tc>
          <w:tcPr>
            <w:tcW w:w="1843" w:type="dxa"/>
            <w:vMerge w:val="restart"/>
            <w:tcBorders>
              <w:top w:val="nil" w:sz="6" w:space="0" w:color="auto"/>
              <w:left w:val="single" w:sz="4" w:space="0" w:color="000000"/>
              <w:right w:val="single" w:sz="4" w:space="0" w:color="000000"/>
            </w:tcBorders>
            <w:shd w:val="clear" w:color="auto" w:fill="D2D2D2"/>
          </w:tcPr>
          <w:p>
            <w:pPr/>
          </w:p>
        </w:tc>
        <w:tc>
          <w:tcPr>
            <w:tcW w:w="1985" w:type="dxa"/>
            <w:vMerge/>
            <w:tcBorders>
              <w:left w:val="single" w:sz="9" w:space="0" w:color="D2D2D2"/>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6597" w:type="dxa"/>
            <w:vMerge/>
            <w:tcBorders>
              <w:left w:val="single" w:sz="4" w:space="0" w:color="000000"/>
              <w:bottom w:val="single" w:sz="4" w:space="0" w:color="000000"/>
              <w:right w:val="single" w:sz="4" w:space="0" w:color="000000"/>
            </w:tcBorders>
          </w:tcPr>
          <w:p>
            <w:pPr/>
          </w:p>
        </w:tc>
        <w:tc>
          <w:tcPr>
            <w:tcW w:w="1127"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r>
        <w:trPr>
          <w:trHeight w:val="2234" w:hRule="exact"/>
        </w:trPr>
        <w:tc>
          <w:tcPr>
            <w:tcW w:w="1843" w:type="dxa"/>
            <w:vMerge/>
            <w:tcBorders>
              <w:left w:val="single" w:sz="4" w:space="0" w:color="000000"/>
              <w:bottom w:val="single" w:sz="4" w:space="0" w:color="000000"/>
              <w:right w:val="single" w:sz="4" w:space="0" w:color="000000"/>
            </w:tcBorders>
            <w:shd w:val="clear" w:color="auto" w:fill="D2D2D2"/>
          </w:tcPr>
          <w:p>
            <w:pPr/>
          </w:p>
        </w:tc>
        <w:tc>
          <w:tcPr>
            <w:tcW w:w="1985"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2"/>
              <w:ind w:left="22" w:right="-40"/>
              <w:jc w:val="left"/>
              <w:rPr>
                <w:rFonts w:ascii="宋体" w:hAnsi="宋体" w:cs="宋体" w:eastAsia="宋体" w:hint="default"/>
                <w:sz w:val="18"/>
                <w:szCs w:val="18"/>
              </w:rPr>
            </w:pPr>
            <w:r>
              <w:rPr>
                <w:rFonts w:ascii="宋体" w:hAnsi="宋体" w:cs="宋体" w:eastAsia="宋体" w:hint="default"/>
                <w:spacing w:val="-9"/>
                <w:sz w:val="18"/>
                <w:szCs w:val="18"/>
              </w:rPr>
              <w:t>李俊峰、张思必、</w:t>
            </w:r>
            <w:r>
              <w:rPr>
                <w:rFonts w:ascii="宋体" w:hAnsi="宋体" w:cs="宋体" w:eastAsia="宋体" w:hint="default"/>
                <w:sz w:val="18"/>
                <w:szCs w:val="18"/>
              </w:rPr>
              <w:t> 贾瑞明、谢泳江、李建、 </w:t>
            </w:r>
            <w:r>
              <w:rPr>
                <w:rFonts w:ascii="宋体" w:hAnsi="宋体" w:cs="宋体" w:eastAsia="宋体" w:hint="default"/>
                <w:spacing w:val="-13"/>
                <w:sz w:val="18"/>
                <w:szCs w:val="18"/>
              </w:rPr>
              <w:t>贾高勇、周明浩、夏郁葱</w:t>
            </w:r>
            <w:r>
              <w:rPr>
                <w:rFonts w:ascii="宋体" w:hAnsi="宋体" w:cs="宋体" w:eastAsia="宋体" w:hint="default"/>
                <w:sz w:val="18"/>
                <w:szCs w:val="18"/>
              </w:rPr>
              <w:t> 孙莉、赵月军、单衍景、 王瑞宾、王平、房兰花、 </w:t>
            </w:r>
            <w:r>
              <w:rPr>
                <w:rFonts w:ascii="宋体" w:hAnsi="宋体" w:cs="宋体" w:eastAsia="宋体" w:hint="default"/>
                <w:spacing w:val="-5"/>
                <w:sz w:val="18"/>
                <w:szCs w:val="18"/>
              </w:rPr>
              <w:t>杨建军、胡雷、刘枫、曹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艳中、李行、郭武、张锐</w:t>
            </w:r>
          </w:p>
        </w:tc>
        <w:tc>
          <w:tcPr>
            <w:tcW w:w="851"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186" w:lineRule="exact"/>
              <w:ind w:left="-13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6" w:lineRule="exact"/>
              <w:ind w:left="11" w:right="0"/>
              <w:jc w:val="left"/>
              <w:rPr>
                <w:rFonts w:ascii="宋体" w:hAnsi="宋体" w:cs="宋体" w:eastAsia="宋体" w:hint="default"/>
                <w:sz w:val="18"/>
                <w:szCs w:val="18"/>
              </w:rPr>
            </w:pPr>
            <w:r>
              <w:rPr>
                <w:rFonts w:ascii="宋体" w:hAnsi="宋体" w:cs="宋体" w:eastAsia="宋体" w:hint="default"/>
                <w:sz w:val="18"/>
                <w:szCs w:val="18"/>
              </w:rPr>
              <w:t>股份限售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承诺</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tc>
        <w:tc>
          <w:tcPr>
            <w:tcW w:w="6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00" w:lineRule="auto"/>
              <w:ind w:left="22"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类交易对方因本次交易而取得的上市公司股份，以及栗军因本次交易而取得的除 栗军需锁定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个月的股份数以外的剩余股份，自股份发行结束之日起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 进行转让。</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个月后，</w:t>
            </w:r>
            <w:r>
              <w:rPr>
                <w:rFonts w:ascii="Times New Roman" w:hAnsi="Times New Roman" w:cs="Times New Roman" w:eastAsia="Times New Roman" w:hint="default"/>
                <w:sz w:val="18"/>
                <w:szCs w:val="18"/>
              </w:rPr>
              <w:t>A </w:t>
            </w:r>
            <w:r>
              <w:rPr>
                <w:rFonts w:ascii="宋体" w:hAnsi="宋体" w:cs="宋体" w:eastAsia="宋体" w:hint="default"/>
                <w:sz w:val="18"/>
                <w:szCs w:val="18"/>
              </w:rPr>
              <w:t>类交易对方因本次交易而取得的上市公司股份按照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 </w:t>
            </w:r>
            <w:r>
              <w:rPr>
                <w:rFonts w:ascii="Times New Roman" w:hAnsi="Times New Roman" w:cs="Times New Roman" w:eastAsia="Times New Roman" w:hint="default"/>
                <w:spacing w:val="-2"/>
                <w:sz w:val="18"/>
                <w:szCs w:val="18"/>
              </w:rPr>
              <w:t>30%</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30%</w:t>
            </w:r>
            <w:r>
              <w:rPr>
                <w:rFonts w:ascii="宋体" w:hAnsi="宋体" w:cs="宋体" w:eastAsia="宋体" w:hint="default"/>
                <w:spacing w:val="-2"/>
                <w:sz w:val="18"/>
                <w:szCs w:val="18"/>
              </w:rPr>
              <w:t>分三期按照交易协议的约定解除限售，栗军在本次交易所取得的上市公司</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除需锁定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个月的股份数以外的剩余股份按照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宋体" w:hAnsi="宋体" w:cs="宋体" w:eastAsia="宋体" w:hint="default"/>
                <w:sz w:val="18"/>
                <w:szCs w:val="18"/>
              </w:rPr>
              <w:t>、</w:t>
            </w:r>
            <w:r>
              <w:rPr>
                <w:rFonts w:ascii="Times New Roman" w:hAnsi="Times New Roman" w:cs="Times New Roman" w:eastAsia="Times New Roman" w:hint="default"/>
                <w:sz w:val="18"/>
                <w:szCs w:val="18"/>
              </w:rPr>
              <w:t>32%</w:t>
            </w:r>
            <w:r>
              <w:rPr>
                <w:rFonts w:ascii="宋体" w:hAnsi="宋体" w:cs="宋体" w:eastAsia="宋体" w:hint="default"/>
                <w:sz w:val="18"/>
                <w:szCs w:val="18"/>
              </w:rPr>
              <w:t>、</w:t>
            </w:r>
            <w:r>
              <w:rPr>
                <w:rFonts w:ascii="Times New Roman" w:hAnsi="Times New Roman" w:cs="Times New Roman" w:eastAsia="Times New Roman" w:hint="default"/>
                <w:sz w:val="18"/>
                <w:szCs w:val="18"/>
              </w:rPr>
              <w:t>45%</w:t>
            </w:r>
            <w:r>
              <w:rPr>
                <w:rFonts w:ascii="宋体" w:hAnsi="宋体" w:cs="宋体" w:eastAsia="宋体" w:hint="default"/>
                <w:sz w:val="18"/>
                <w:szCs w:val="18"/>
              </w:rPr>
              <w:t>分三期解除限售。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类交易对方和栗军应同时应遵守交易协议中关于延长股份锁定期的其他相关规定</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截至报告期 </w:t>
            </w:r>
            <w:r>
              <w:rPr>
                <w:rFonts w:ascii="宋体" w:hAnsi="宋体" w:cs="宋体" w:eastAsia="宋体" w:hint="default"/>
                <w:spacing w:val="-5"/>
                <w:sz w:val="18"/>
                <w:szCs w:val="18"/>
              </w:rPr>
              <w:t>末，承诺方严</w:t>
            </w:r>
            <w:r>
              <w:rPr>
                <w:rFonts w:ascii="宋体" w:hAnsi="宋体" w:cs="宋体" w:eastAsia="宋体" w:hint="default"/>
                <w:sz w:val="18"/>
                <w:szCs w:val="18"/>
              </w:rPr>
              <w:t> 格遵守该承 </w:t>
            </w:r>
            <w:r>
              <w:rPr>
                <w:rFonts w:ascii="宋体" w:hAnsi="宋体" w:cs="宋体" w:eastAsia="宋体" w:hint="default"/>
                <w:spacing w:val="-5"/>
                <w:sz w:val="18"/>
                <w:szCs w:val="18"/>
              </w:rPr>
              <w:t>诺，未有违反</w:t>
            </w:r>
            <w:r>
              <w:rPr>
                <w:rFonts w:ascii="宋体" w:hAnsi="宋体" w:cs="宋体" w:eastAsia="宋体" w:hint="default"/>
                <w:sz w:val="18"/>
                <w:szCs w:val="18"/>
              </w:rPr>
              <w:t> 该承诺的情 况</w:t>
            </w:r>
          </w:p>
        </w:tc>
      </w:tr>
    </w:tbl>
    <w:p>
      <w:pPr>
        <w:spacing w:after="0" w:line="316" w:lineRule="auto"/>
        <w:jc w:val="left"/>
        <w:rPr>
          <w:rFonts w:ascii="宋体" w:hAnsi="宋体" w:cs="宋体" w:eastAsia="宋体" w:hint="default"/>
          <w:sz w:val="18"/>
          <w:szCs w:val="18"/>
        </w:rPr>
        <w:sectPr>
          <w:headerReference w:type="default" r:id="rId19"/>
          <w:footerReference w:type="default" r:id="rId20"/>
          <w:pgSz w:w="16840" w:h="11910" w:orient="landscape"/>
          <w:pgMar w:header="867" w:footer="979" w:top="1060" w:bottom="1160" w:left="1040" w:right="0"/>
          <w:pgNumType w:start="35"/>
        </w:sectPr>
      </w:pPr>
    </w:p>
    <w:p>
      <w:pPr>
        <w:spacing w:line="240" w:lineRule="auto" w:before="4"/>
        <w:rPr>
          <w:rFonts w:ascii="Times New Roman" w:hAnsi="Times New Roman" w:cs="Times New Roman" w:eastAsia="Times New Roman" w:hint="default"/>
          <w:sz w:val="3"/>
          <w:szCs w:val="3"/>
        </w:rPr>
      </w:pPr>
      <w:r>
        <w:rPr/>
        <w:pict>
          <v:shape style="position:absolute;margin-left:225.320007pt;margin-top:294.460022pt;width:66.150pt;height:70.2pt;mso-position-horizontal-relative:page;mso-position-vertical-relative:page;z-index:-882808" type="#_x0000_t202" filled="false" stroked="false">
            <v:textbox inset="0,0,0,0">
              <w:txbxContent>
                <w:p>
                  <w:pPr>
                    <w:pStyle w:val="BodyText"/>
                    <w:spacing w:line="240" w:lineRule="auto" w:before="125"/>
                    <w:ind w:left="0" w:right="0"/>
                    <w:jc w:val="left"/>
                  </w:pPr>
                  <w:r>
                    <w:rPr/>
                    <w:t>郭辉、</w:t>
                  </w:r>
                </w:p>
              </w:txbxContent>
            </v:textbox>
            <w10:wrap type="none"/>
          </v:shape>
        </w:pict>
      </w:r>
      <w:r>
        <w:rPr/>
        <w:pict>
          <v:shape style="position:absolute;margin-left:216.266006pt;margin-top:365.140015pt;width:75.2pt;height:53.6pt;mso-position-horizontal-relative:page;mso-position-vertical-relative:page;z-index:-88278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5"/>
                    <w:ind w:left="0" w:right="0"/>
                    <w:jc w:val="left"/>
                  </w:pPr>
                  <w:r>
                    <w:rPr/>
                    <w:t>谢泳江、</w:t>
                  </w:r>
                </w:p>
              </w:txbxContent>
            </v:textbox>
            <w10:wrap type="none"/>
          </v:shape>
        </w:pict>
      </w:r>
      <w:r>
        <w:rPr/>
        <w:pict>
          <v:shape style="position:absolute;margin-left:225.320007pt;margin-top:469.559998pt;width:66.150pt;height:53.6pt;mso-position-horizontal-relative:page;mso-position-vertical-relative:page;z-index:-882760" type="#_x0000_t202" filled="false" stroked="false">
            <v:textbox inset="0,0,0,0">
              <w:txbxContent>
                <w:p>
                  <w:pPr>
                    <w:pStyle w:val="BodyText"/>
                    <w:spacing w:line="240" w:lineRule="auto" w:before="146"/>
                    <w:ind w:left="0" w:right="0"/>
                    <w:jc w:val="left"/>
                  </w:pPr>
                  <w:r>
                    <w:rPr/>
                    <w:t>杨颖、</w:t>
                  </w:r>
                </w:p>
              </w:txbxContent>
            </v:textbox>
            <w10:wrap type="none"/>
          </v:shape>
        </w:pict>
      </w:r>
      <w:r>
        <w:rPr/>
        <w:pict>
          <v:group style="position:absolute;margin-left:249.440002pt;margin-top:90.920006pt;width:42pt;height:31.2pt;mso-position-horizontal-relative:page;mso-position-vertical-relative:page;z-index:-882736" coordorigin="4989,1818" coordsize="840,624">
            <v:shape style="position:absolute;left:4989;top:1818;width:840;height:624" coordorigin="4989,1818" coordsize="840,624" path="m4989,2442l5829,2442,5829,1818,4989,1818,4989,2442xe" filled="true" fillcolor="#ffffff" stroked="false">
              <v:path arrowok="t"/>
              <v:fill type="solid"/>
            </v:shape>
            <w10:wrap type="none"/>
          </v:group>
        </w:pict>
      </w:r>
      <w:r>
        <w:rPr/>
        <w:pict>
          <v:group style="position:absolute;margin-left:622.960022pt;margin-top:122.12001pt;width:53.55pt;height:17.6pt;mso-position-horizontal-relative:page;mso-position-vertical-relative:page;z-index:-882712" coordorigin="12459,2442" coordsize="1071,352">
            <v:shape style="position:absolute;left:12459;top:2442;width:1071;height:352" coordorigin="12459,2442" coordsize="1071,352" path="m12459,2794l13530,2794,13530,2442,12459,2442,12459,2794xe" filled="true" fillcolor="#ffffff" stroked="false">
              <v:path arrowok="t"/>
              <v:fill type="solid"/>
            </v:shape>
            <w10:wrap type="none"/>
          </v:group>
        </w:pict>
      </w:r>
      <w:r>
        <w:rPr/>
        <w:pict>
          <v:group style="position:absolute;margin-left:249.440002pt;margin-top:276.820007pt;width:42pt;height:141.950pt;mso-position-horizontal-relative:page;mso-position-vertical-relative:page;z-index:-882688" coordorigin="4989,5536" coordsize="840,2839">
            <v:group style="position:absolute;left:4989;top:5889;width:840;height:1404" coordorigin="4989,5889" coordsize="840,1404">
              <v:shape style="position:absolute;left:4989;top:5889;width:840;height:1404" coordorigin="4989,5889" coordsize="840,1404" path="m4989,7293l5829,7293,5829,5889,4989,5889,4989,7293xe" filled="true" fillcolor="#ffffff" stroked="false">
                <v:path arrowok="t"/>
                <v:fill type="solid"/>
              </v:shape>
            </v:group>
            <v:group style="position:absolute;left:5013;top:5536;width:794;height:353" coordorigin="5013,5536" coordsize="794,353">
              <v:shape style="position:absolute;left:5013;top:5536;width:794;height:353" coordorigin="5013,5536" coordsize="794,353" path="m5013,5889l5806,5889,5806,5536,5013,5536,5013,5889xe" filled="true" fillcolor="#ffffff" stroked="false">
                <v:path arrowok="t"/>
                <v:fill type="solid"/>
              </v:shape>
            </v:group>
            <v:group style="position:absolute;left:4989;top:7303;width:840;height:1072" coordorigin="4989,7303" coordsize="840,1072">
              <v:shape style="position:absolute;left:4989;top:7303;width:840;height:1072" coordorigin="4989,7303" coordsize="840,1072" path="m4989,8375l5829,8375,5829,7303,4989,7303,4989,8375xe" filled="true" fillcolor="#ffffff" stroked="false">
                <v:path arrowok="t"/>
                <v:fill type="solid"/>
              </v:shape>
            </v:group>
            <w10:wrap type="none"/>
          </v:group>
        </w:pict>
      </w:r>
      <w:r>
        <w:rPr/>
        <w:pict>
          <v:group style="position:absolute;margin-left:249.440002pt;margin-top:469.559998pt;width:42pt;height:53.6pt;mso-position-horizontal-relative:page;mso-position-vertical-relative:page;z-index:-882664" coordorigin="4989,9391" coordsize="840,1072">
            <v:shape style="position:absolute;left:4989;top:9391;width:840;height:1072" coordorigin="4989,9391" coordsize="840,1072" path="m4989,10463l5829,10463,5829,9391,4989,9391,4989,10463xe" filled="true" fillcolor="#ffffff" stroked="false">
              <v:path arrowok="t"/>
              <v:fill type="solid"/>
            </v:shape>
            <w10:wrap type="none"/>
          </v:group>
        </w:pict>
      </w:r>
    </w:p>
    <w:tbl>
      <w:tblPr>
        <w:tblW w:w="0" w:type="auto"/>
        <w:jc w:val="left"/>
        <w:tblInd w:w="111" w:type="dxa"/>
        <w:tblLayout w:type="fixed"/>
        <w:tblCellMar>
          <w:top w:w="0" w:type="dxa"/>
          <w:left w:w="0" w:type="dxa"/>
          <w:bottom w:w="0" w:type="dxa"/>
          <w:right w:w="0" w:type="dxa"/>
        </w:tblCellMar>
        <w:tblLook w:val="01E0"/>
      </w:tblPr>
      <w:tblGrid>
        <w:gridCol w:w="1843"/>
        <w:gridCol w:w="1985"/>
        <w:gridCol w:w="851"/>
        <w:gridCol w:w="6597"/>
        <w:gridCol w:w="1127"/>
        <w:gridCol w:w="1121"/>
        <w:gridCol w:w="1106"/>
      </w:tblGrid>
      <w:tr>
        <w:trPr>
          <w:trHeight w:val="689" w:hRule="exact"/>
        </w:trPr>
        <w:tc>
          <w:tcPr>
            <w:tcW w:w="1843" w:type="dxa"/>
            <w:vMerge w:val="restart"/>
            <w:tcBorders>
              <w:top w:val="single" w:sz="15" w:space="0" w:color="000000"/>
              <w:left w:val="single" w:sz="4" w:space="0" w:color="000000"/>
              <w:right w:val="single" w:sz="4" w:space="0" w:color="000000"/>
            </w:tcBorders>
            <w:shd w:val="clear" w:color="auto" w:fill="D2D2D2"/>
          </w:tcPr>
          <w:p>
            <w:pPr/>
          </w:p>
        </w:tc>
        <w:tc>
          <w:tcPr>
            <w:tcW w:w="198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0"/>
                <w:sz w:val="18"/>
                <w:szCs w:val="18"/>
              </w:rPr>
              <w:t>锋、高翔、杨颖、邹康（即</w:t>
            </w:r>
          </w:p>
          <w:p>
            <w:pPr>
              <w:pStyle w:val="TableParagraph"/>
              <w:spacing w:line="240" w:lineRule="auto" w:before="78"/>
              <w:ind w:left="22" w:right="0"/>
              <w:jc w:val="left"/>
              <w:rPr>
                <w:rFonts w:ascii="宋体" w:hAnsi="宋体" w:cs="宋体" w:eastAsia="宋体" w:hint="default"/>
                <w:sz w:val="18"/>
                <w:szCs w:val="18"/>
              </w:rPr>
            </w:pPr>
            <w:r>
              <w:rPr>
                <w:rFonts w:ascii="Times New Roman" w:hAnsi="Times New Roman" w:cs="Times New Roman" w:eastAsia="Times New Roman" w:hint="default"/>
                <w:w w:val="99"/>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类交易对方</w:t>
            </w:r>
            <w:r>
              <w:rPr>
                <w:rFonts w:ascii="宋体" w:hAnsi="宋体" w:cs="宋体" w:eastAsia="宋体" w:hint="default"/>
                <w:spacing w:val="-89"/>
                <w:sz w:val="18"/>
                <w:szCs w:val="18"/>
              </w:rPr>
              <w:t>）</w:t>
            </w:r>
            <w:r>
              <w:rPr>
                <w:rFonts w:ascii="宋体" w:hAnsi="宋体" w:cs="宋体" w:eastAsia="宋体" w:hint="default"/>
                <w:sz w:val="18"/>
                <w:szCs w:val="18"/>
              </w:rPr>
              <w:t>、栗军</w:t>
            </w:r>
          </w:p>
        </w:tc>
        <w:tc>
          <w:tcPr>
            <w:tcW w:w="851" w:type="dxa"/>
            <w:tcBorders>
              <w:top w:val="single" w:sz="15" w:space="0" w:color="000000"/>
              <w:left w:val="single" w:sz="4" w:space="0" w:color="000000"/>
              <w:bottom w:val="single" w:sz="4" w:space="0" w:color="000000"/>
              <w:right w:val="single" w:sz="4" w:space="0" w:color="000000"/>
            </w:tcBorders>
          </w:tcPr>
          <w:p>
            <w:pPr/>
          </w:p>
        </w:tc>
        <w:tc>
          <w:tcPr>
            <w:tcW w:w="6597" w:type="dxa"/>
            <w:tcBorders>
              <w:top w:val="single" w:sz="15" w:space="0" w:color="000000"/>
              <w:left w:val="single" w:sz="4" w:space="0" w:color="000000"/>
              <w:bottom w:val="single" w:sz="4" w:space="0" w:color="000000"/>
              <w:right w:val="single" w:sz="4" w:space="0" w:color="000000"/>
            </w:tcBorders>
          </w:tcPr>
          <w:p>
            <w:pPr/>
          </w:p>
        </w:tc>
        <w:tc>
          <w:tcPr>
            <w:tcW w:w="1127" w:type="dxa"/>
            <w:tcBorders>
              <w:top w:val="single" w:sz="15" w:space="0" w:color="000000"/>
              <w:left w:val="single" w:sz="4" w:space="0" w:color="000000"/>
              <w:bottom w:val="single" w:sz="4" w:space="0" w:color="000000"/>
              <w:right w:val="single" w:sz="4" w:space="0" w:color="000000"/>
            </w:tcBorders>
          </w:tcPr>
          <w:p>
            <w:pPr/>
          </w:p>
        </w:tc>
        <w:tc>
          <w:tcPr>
            <w:tcW w:w="1121" w:type="dxa"/>
            <w:tcBorders>
              <w:top w:val="single" w:sz="15" w:space="0" w:color="000000"/>
              <w:left w:val="single" w:sz="4" w:space="0" w:color="000000"/>
              <w:bottom w:val="single" w:sz="4" w:space="0" w:color="000000"/>
              <w:right w:val="single" w:sz="4" w:space="0" w:color="000000"/>
            </w:tcBorders>
          </w:tcPr>
          <w:p>
            <w:pPr/>
          </w:p>
        </w:tc>
        <w:tc>
          <w:tcPr>
            <w:tcW w:w="1106" w:type="dxa"/>
            <w:tcBorders>
              <w:top w:val="single" w:sz="15" w:space="0" w:color="000000"/>
              <w:left w:val="single" w:sz="4" w:space="0" w:color="000000"/>
              <w:bottom w:val="single" w:sz="4" w:space="0" w:color="000000"/>
              <w:right w:val="single" w:sz="4" w:space="0" w:color="000000"/>
            </w:tcBorders>
          </w:tcPr>
          <w:p>
            <w:pPr/>
          </w:p>
        </w:tc>
      </w:tr>
      <w:tr>
        <w:trPr>
          <w:trHeight w:val="1962" w:hRule="exact"/>
        </w:trPr>
        <w:tc>
          <w:tcPr>
            <w:tcW w:w="1843" w:type="dxa"/>
            <w:vMerge/>
            <w:tcBorders>
              <w:left w:val="single" w:sz="4" w:space="0" w:color="000000"/>
              <w:right w:val="single" w:sz="4" w:space="0" w:color="000000"/>
            </w:tcBorders>
            <w:shd w:val="clear" w:color="auto" w:fill="D2D2D2"/>
          </w:tcPr>
          <w:p>
            <w:pPr/>
          </w:p>
        </w:tc>
        <w:tc>
          <w:tcPr>
            <w:tcW w:w="1985"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40"/>
              <w:jc w:val="both"/>
              <w:rPr>
                <w:rFonts w:ascii="宋体" w:hAnsi="宋体" w:cs="宋体" w:eastAsia="宋体" w:hint="default"/>
                <w:sz w:val="18"/>
                <w:szCs w:val="18"/>
              </w:rPr>
            </w:pPr>
            <w:r>
              <w:rPr>
                <w:rFonts w:ascii="宋体" w:hAnsi="宋体" w:cs="宋体" w:eastAsia="宋体" w:hint="default"/>
                <w:sz w:val="18"/>
                <w:szCs w:val="18"/>
              </w:rPr>
              <w:t>姚立生、陈皞玥、卢昌、 </w:t>
            </w:r>
            <w:r>
              <w:rPr>
                <w:rFonts w:ascii="宋体" w:hAnsi="宋体" w:cs="宋体" w:eastAsia="宋体" w:hint="default"/>
                <w:spacing w:val="-20"/>
                <w:sz w:val="18"/>
                <w:szCs w:val="18"/>
              </w:rPr>
              <w:t>白锐、于大泳、仝敬明（即</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Times New Roman" w:hAnsi="Times New Roman" w:cs="Times New Roman" w:eastAsia="Times New Roman" w:hint="default"/>
                <w:sz w:val="18"/>
                <w:szCs w:val="18"/>
              </w:rPr>
              <w:t>B </w:t>
            </w:r>
            <w:r>
              <w:rPr>
                <w:rFonts w:ascii="宋体" w:hAnsi="宋体" w:cs="宋体" w:eastAsia="宋体" w:hint="default"/>
                <w:sz w:val="18"/>
                <w:szCs w:val="18"/>
              </w:rPr>
              <w:t>类交易对方）</w:t>
            </w:r>
          </w:p>
        </w:tc>
        <w:tc>
          <w:tcPr>
            <w:tcW w:w="851"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11" w:right="95"/>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6597"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6"/>
              <w:ind w:left="22" w:right="8"/>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类交易对方因本次交易而取得的上市公司股份自股份发行结束之日起</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个月内不 进行转让。</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个月后， </w:t>
            </w:r>
            <w:r>
              <w:rPr>
                <w:rFonts w:ascii="Times New Roman" w:hAnsi="Times New Roman" w:cs="Times New Roman" w:eastAsia="Times New Roman" w:hint="default"/>
                <w:sz w:val="18"/>
                <w:szCs w:val="18"/>
              </w:rPr>
              <w:t>B </w:t>
            </w:r>
            <w:r>
              <w:rPr>
                <w:rFonts w:ascii="宋体" w:hAnsi="宋体" w:cs="宋体" w:eastAsia="宋体" w:hint="default"/>
                <w:sz w:val="18"/>
                <w:szCs w:val="18"/>
              </w:rPr>
              <w:t>类交易对方因本次交易而取得的上市公司股份按照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40% 30%</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宋体" w:hAnsi="宋体" w:cs="宋体" w:eastAsia="宋体" w:hint="default"/>
                <w:sz w:val="18"/>
                <w:szCs w:val="18"/>
              </w:rPr>
              <w:t>分三期按照交易协议的约定解除限售。</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类交易对方应同时应遵守交易协 议中关于延长股份锁定期的其他相关规定</w:t>
            </w:r>
          </w:p>
        </w:tc>
        <w:tc>
          <w:tcPr>
            <w:tcW w:w="112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1"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截至报告期 </w:t>
            </w:r>
            <w:r>
              <w:rPr>
                <w:rFonts w:ascii="宋体" w:hAnsi="宋体" w:cs="宋体" w:eastAsia="宋体" w:hint="default"/>
                <w:spacing w:val="-5"/>
                <w:sz w:val="18"/>
                <w:szCs w:val="18"/>
              </w:rPr>
              <w:t>末，承诺方严</w:t>
            </w:r>
            <w:r>
              <w:rPr>
                <w:rFonts w:ascii="宋体" w:hAnsi="宋体" w:cs="宋体" w:eastAsia="宋体" w:hint="default"/>
                <w:sz w:val="18"/>
                <w:szCs w:val="18"/>
              </w:rPr>
              <w:t> 格遵守该承 </w:t>
            </w:r>
            <w:r>
              <w:rPr>
                <w:rFonts w:ascii="宋体" w:hAnsi="宋体" w:cs="宋体" w:eastAsia="宋体" w:hint="default"/>
                <w:spacing w:val="-5"/>
                <w:sz w:val="18"/>
                <w:szCs w:val="18"/>
              </w:rPr>
              <w:t>诺，未有违反</w:t>
            </w:r>
            <w:r>
              <w:rPr>
                <w:rFonts w:ascii="宋体" w:hAnsi="宋体" w:cs="宋体" w:eastAsia="宋体" w:hint="default"/>
                <w:sz w:val="18"/>
                <w:szCs w:val="18"/>
              </w:rPr>
              <w:t> 该承诺的情 况</w:t>
            </w:r>
          </w:p>
        </w:tc>
      </w:tr>
      <w:tr>
        <w:trPr>
          <w:trHeight w:val="3522" w:hRule="exact"/>
        </w:trPr>
        <w:tc>
          <w:tcPr>
            <w:tcW w:w="1843" w:type="dxa"/>
            <w:vMerge/>
            <w:tcBorders>
              <w:left w:val="single" w:sz="4" w:space="0" w:color="000000"/>
              <w:right w:val="single" w:sz="4" w:space="0" w:color="000000"/>
            </w:tcBorders>
            <w:shd w:val="clear" w:color="auto" w:fill="D2D2D2"/>
          </w:tcPr>
          <w:p>
            <w:pPr/>
          </w:p>
        </w:tc>
        <w:tc>
          <w:tcPr>
            <w:tcW w:w="1985" w:type="dxa"/>
            <w:tcBorders>
              <w:top w:val="single" w:sz="4" w:space="0" w:color="000000"/>
              <w:left w:val="single" w:sz="4" w:space="0" w:color="000000"/>
              <w:bottom w:val="single" w:sz="4" w:space="0" w:color="000000"/>
              <w:right w:val="single" w:sz="10" w:space="0" w:color="FFFFFF"/>
            </w:tcBorders>
          </w:tcPr>
          <w:p>
            <w:pPr>
              <w:pStyle w:val="TableParagraph"/>
              <w:spacing w:line="316" w:lineRule="auto" w:before="51"/>
              <w:ind w:left="22" w:right="-35"/>
              <w:jc w:val="left"/>
              <w:rPr>
                <w:rFonts w:ascii="宋体" w:hAnsi="宋体" w:cs="宋体" w:eastAsia="宋体" w:hint="default"/>
                <w:sz w:val="18"/>
                <w:szCs w:val="18"/>
              </w:rPr>
            </w:pPr>
            <w:r>
              <w:rPr>
                <w:rFonts w:ascii="宋体" w:hAnsi="宋体" w:cs="宋体" w:eastAsia="宋体" w:hint="default"/>
                <w:spacing w:val="-5"/>
                <w:sz w:val="18"/>
                <w:szCs w:val="18"/>
              </w:rPr>
              <w:t>陈亮、达晨银雷高新（北</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京）创业投资有限公司、 北京辰光致远创业投资 </w:t>
            </w:r>
            <w:r>
              <w:rPr>
                <w:rFonts w:ascii="宋体" w:hAnsi="宋体" w:cs="宋体" w:eastAsia="宋体" w:hint="default"/>
                <w:spacing w:val="-9"/>
                <w:sz w:val="18"/>
                <w:szCs w:val="18"/>
              </w:rPr>
              <w:t>中心（有限合伙）、苏州</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工业园区易联创业投资 基金有限公司、刘海滨、 </w:t>
            </w:r>
            <w:r>
              <w:rPr>
                <w:rFonts w:ascii="宋体" w:hAnsi="宋体" w:cs="宋体" w:eastAsia="宋体" w:hint="default"/>
                <w:spacing w:val="-13"/>
                <w:sz w:val="18"/>
                <w:szCs w:val="18"/>
              </w:rPr>
              <w:t>刘卫国、王邦新、梅志勇</w:t>
            </w:r>
            <w:r>
              <w:rPr>
                <w:rFonts w:ascii="宋体" w:hAnsi="宋体" w:cs="宋体" w:eastAsia="宋体" w:hint="default"/>
                <w:sz w:val="18"/>
                <w:szCs w:val="18"/>
              </w:rPr>
              <w:t> </w:t>
            </w:r>
            <w:r>
              <w:rPr>
                <w:rFonts w:ascii="宋体" w:hAnsi="宋体" w:cs="宋体" w:eastAsia="宋体" w:hint="default"/>
                <w:spacing w:val="-11"/>
                <w:sz w:val="18"/>
                <w:szCs w:val="18"/>
              </w:rPr>
              <w:t>肖冰、杨楠、李悦、</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郭超、张晓丽、夏永强、 </w:t>
            </w:r>
            <w:r>
              <w:rPr>
                <w:rFonts w:ascii="宋体" w:hAnsi="宋体" w:cs="宋体" w:eastAsia="宋体" w:hint="default"/>
                <w:spacing w:val="-11"/>
                <w:sz w:val="18"/>
                <w:szCs w:val="18"/>
              </w:rPr>
              <w:t>杨怀兵、陈彪（即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C </w:t>
            </w:r>
            <w:r>
              <w:rPr>
                <w:rFonts w:ascii="宋体" w:hAnsi="宋体" w:cs="宋体" w:eastAsia="宋体" w:hint="default"/>
                <w:sz w:val="18"/>
                <w:szCs w:val="18"/>
              </w:rPr>
              <w:t>类交</w:t>
            </w:r>
            <w:r>
              <w:rPr>
                <w:rFonts w:ascii="宋体" w:hAnsi="宋体" w:cs="宋体" w:eastAsia="宋体" w:hint="default"/>
                <w:spacing w:val="-88"/>
                <w:sz w:val="18"/>
                <w:szCs w:val="18"/>
              </w:rPr>
              <w:t> </w:t>
            </w:r>
            <w:r>
              <w:rPr>
                <w:rFonts w:ascii="宋体" w:hAnsi="宋体" w:cs="宋体" w:eastAsia="宋体" w:hint="default"/>
                <w:sz w:val="18"/>
                <w:szCs w:val="18"/>
              </w:rPr>
              <w:t>易对方）</w:t>
            </w:r>
          </w:p>
        </w:tc>
        <w:tc>
          <w:tcPr>
            <w:tcW w:w="851"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0" w:lineRule="atLeast" w:before="139"/>
              <w:ind w:left="16" w:right="95"/>
              <w:jc w:val="left"/>
              <w:rPr>
                <w:rFonts w:ascii="宋体" w:hAnsi="宋体" w:cs="宋体" w:eastAsia="宋体" w:hint="default"/>
                <w:sz w:val="18"/>
                <w:szCs w:val="18"/>
              </w:rPr>
            </w:pPr>
            <w:r>
              <w:rPr>
                <w:rFonts w:ascii="宋体" w:hAnsi="宋体" w:cs="宋体" w:eastAsia="宋体" w:hint="default"/>
                <w:sz w:val="18"/>
                <w:szCs w:val="18"/>
              </w:rPr>
              <w:t>股份限售 承诺</w:t>
            </w:r>
          </w:p>
          <w:p>
            <w:pPr>
              <w:pStyle w:val="TableParagraph"/>
              <w:spacing w:line="155" w:lineRule="exact"/>
              <w:ind w:left="-13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404" w:lineRule="exact"/>
              <w:ind w:left="-8" w:right="-4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
                <w:sz w:val="20"/>
                <w:szCs w:val="20"/>
              </w:rPr>
              <w:pict>
                <v:group style="width:42pt;height:70.25pt;mso-position-horizontal-relative:char;mso-position-vertical-relative:line" coordorigin="0,0" coordsize="840,1405">
                  <v:group style="position:absolute;left:0;top:0;width:840;height:1405" coordorigin="0,0" coordsize="840,1405">
                    <v:shape style="position:absolute;left:0;top:0;width:840;height:1405" coordorigin="0,0" coordsize="840,1405" path="m0,1404l840,1404,840,0,0,0,0,1404xe" filled="true" fillcolor="#ffffff" stroked="false">
                      <v:path arrowok="t"/>
                      <v:fill type="solid"/>
                    </v:shape>
                  </v:group>
                </v:group>
              </w:pict>
            </w:r>
            <w:r>
              <w:rPr>
                <w:rFonts w:ascii="Times New Roman" w:hAnsi="Times New Roman" w:cs="Times New Roman" w:eastAsia="Times New Roman" w:hint="default"/>
                <w:position w:val="-27"/>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3"/>
                <w:szCs w:val="23"/>
              </w:rPr>
            </w:pPr>
          </w:p>
        </w:tc>
        <w:tc>
          <w:tcPr>
            <w:tcW w:w="6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09"/>
              <w:ind w:left="22"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类交易对方其因本次交易取得的上市公司股份自股份发行结束之日起</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个月内不 进行转让。自股份发行结束之日起满</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个月后，</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类交易对方通过本次交易所持有 的上市公司股份可以解除限售。若由于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 </w:t>
            </w:r>
            <w:r>
              <w:rPr>
                <w:rFonts w:ascii="宋体" w:hAnsi="宋体" w:cs="宋体" w:eastAsia="宋体" w:hint="default"/>
                <w:sz w:val="18"/>
                <w:szCs w:val="18"/>
              </w:rPr>
              <w:t>类交易对方中自然人所任职务对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类交易 对方转让所持上市公司股份有限制性规定的，</w:t>
            </w:r>
            <w:r>
              <w:rPr>
                <w:rFonts w:ascii="Times New Roman" w:hAnsi="Times New Roman" w:cs="Times New Roman" w:eastAsia="Times New Roman" w:hint="default"/>
                <w:sz w:val="18"/>
                <w:szCs w:val="18"/>
              </w:rPr>
              <w:t>C </w:t>
            </w:r>
            <w:r>
              <w:rPr>
                <w:rFonts w:ascii="宋体" w:hAnsi="宋体" w:cs="宋体" w:eastAsia="宋体" w:hint="default"/>
                <w:sz w:val="18"/>
                <w:szCs w:val="18"/>
              </w:rPr>
              <w:t>类交易对方应同时应遵守相关规定</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截至报告期 </w:t>
            </w:r>
            <w:r>
              <w:rPr>
                <w:rFonts w:ascii="宋体" w:hAnsi="宋体" w:cs="宋体" w:eastAsia="宋体" w:hint="default"/>
                <w:spacing w:val="-5"/>
                <w:sz w:val="18"/>
                <w:szCs w:val="18"/>
              </w:rPr>
              <w:t>末，承诺方严</w:t>
            </w:r>
            <w:r>
              <w:rPr>
                <w:rFonts w:ascii="宋体" w:hAnsi="宋体" w:cs="宋体" w:eastAsia="宋体" w:hint="default"/>
                <w:sz w:val="18"/>
                <w:szCs w:val="18"/>
              </w:rPr>
              <w:t> 格遵守该承 </w:t>
            </w:r>
            <w:r>
              <w:rPr>
                <w:rFonts w:ascii="宋体" w:hAnsi="宋体" w:cs="宋体" w:eastAsia="宋体" w:hint="default"/>
                <w:spacing w:val="-5"/>
                <w:sz w:val="18"/>
                <w:szCs w:val="18"/>
              </w:rPr>
              <w:t>诺，未有违反</w:t>
            </w:r>
            <w:r>
              <w:rPr>
                <w:rFonts w:ascii="宋体" w:hAnsi="宋体" w:cs="宋体" w:eastAsia="宋体" w:hint="default"/>
                <w:sz w:val="18"/>
                <w:szCs w:val="18"/>
              </w:rPr>
              <w:t> 该承诺的情 况</w:t>
            </w:r>
          </w:p>
        </w:tc>
      </w:tr>
      <w:tr>
        <w:trPr>
          <w:trHeight w:val="3171" w:hRule="exact"/>
        </w:trPr>
        <w:tc>
          <w:tcPr>
            <w:tcW w:w="1843" w:type="dxa"/>
            <w:vMerge/>
            <w:tcBorders>
              <w:left w:val="single" w:sz="4" w:space="0" w:color="000000"/>
              <w:bottom w:val="single" w:sz="4" w:space="0" w:color="000000"/>
              <w:right w:val="single" w:sz="4" w:space="0" w:color="000000"/>
            </w:tcBorders>
            <w:shd w:val="clear" w:color="auto" w:fill="D2D2D2"/>
          </w:tcPr>
          <w:p>
            <w:pPr/>
          </w:p>
        </w:tc>
        <w:tc>
          <w:tcPr>
            <w:tcW w:w="1985"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1"/>
              <w:ind w:left="22" w:right="-40"/>
              <w:jc w:val="left"/>
              <w:rPr>
                <w:rFonts w:ascii="宋体" w:hAnsi="宋体" w:cs="宋体" w:eastAsia="宋体" w:hint="default"/>
                <w:sz w:val="18"/>
                <w:szCs w:val="18"/>
              </w:rPr>
            </w:pPr>
            <w:r>
              <w:rPr>
                <w:rFonts w:ascii="宋体" w:hAnsi="宋体" w:cs="宋体" w:eastAsia="宋体" w:hint="default"/>
                <w:sz w:val="18"/>
                <w:szCs w:val="18"/>
              </w:rPr>
              <w:t>栗军、李俊峰、张思必、 </w:t>
            </w:r>
            <w:r>
              <w:rPr>
                <w:rFonts w:ascii="宋体" w:hAnsi="宋体" w:cs="宋体" w:eastAsia="宋体" w:hint="default"/>
                <w:spacing w:val="-9"/>
                <w:sz w:val="18"/>
                <w:szCs w:val="18"/>
              </w:rPr>
              <w:t>蒋国兴、贾瑞明、</w:t>
            </w:r>
            <w:r>
              <w:rPr>
                <w:rFonts w:ascii="宋体" w:hAnsi="宋体" w:cs="宋体" w:eastAsia="宋体" w:hint="default"/>
                <w:sz w:val="18"/>
                <w:szCs w:val="18"/>
              </w:rPr>
              <w:t> 李建、贾高勇、周明浩、 夏郁葱、孙莉、赵月军、 单衍景、王瑞宾、王平、 房兰花、杨建军、胡雷、 </w:t>
            </w:r>
            <w:r>
              <w:rPr>
                <w:rFonts w:ascii="宋体" w:hAnsi="宋体" w:cs="宋体" w:eastAsia="宋体" w:hint="default"/>
                <w:spacing w:val="-5"/>
                <w:sz w:val="18"/>
                <w:szCs w:val="18"/>
              </w:rPr>
              <w:t>刘枫、曹艳中、李行、郭</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1"/>
                <w:sz w:val="18"/>
                <w:szCs w:val="18"/>
              </w:rPr>
              <w:t>武、张锐锋、高翔、</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邹康、姚立生、陈皞玥、 </w:t>
            </w:r>
            <w:r>
              <w:rPr>
                <w:rFonts w:ascii="宋体" w:hAnsi="宋体" w:cs="宋体" w:eastAsia="宋体" w:hint="default"/>
                <w:spacing w:val="-5"/>
                <w:sz w:val="18"/>
                <w:szCs w:val="18"/>
              </w:rPr>
              <w:t>卢昌、白锐、于大泳、仝</w:t>
            </w:r>
          </w:p>
        </w:tc>
        <w:tc>
          <w:tcPr>
            <w:tcW w:w="851"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9" w:lineRule="auto"/>
              <w:ind w:left="11" w:right="95"/>
              <w:jc w:val="both"/>
              <w:rPr>
                <w:rFonts w:ascii="宋体" w:hAnsi="宋体" w:cs="宋体" w:eastAsia="宋体" w:hint="default"/>
                <w:sz w:val="18"/>
                <w:szCs w:val="18"/>
              </w:rPr>
            </w:pPr>
            <w:r>
              <w:rPr>
                <w:rFonts w:ascii="宋体" w:hAnsi="宋体" w:cs="宋体" w:eastAsia="宋体" w:hint="default"/>
                <w:sz w:val="18"/>
                <w:szCs w:val="18"/>
              </w:rPr>
              <w:t>业绩承诺 及补偿安 排</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659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①业绩补偿期内，华夏电通每年度实现的经审计的合并报表口径下归属于母公司股 </w:t>
            </w:r>
            <w:r>
              <w:rPr>
                <w:rFonts w:ascii="宋体" w:hAnsi="宋体" w:cs="宋体" w:eastAsia="宋体" w:hint="default"/>
                <w:spacing w:val="-4"/>
                <w:sz w:val="18"/>
                <w:szCs w:val="18"/>
              </w:rPr>
              <w:t>东的净利润（以扣除非经常性损益前后孰低者为准）</w:t>
            </w:r>
            <w:r>
              <w:rPr>
                <w:rFonts w:ascii="Times New Roman" w:hAnsi="Times New Roman" w:cs="Times New Roman" w:eastAsia="Times New Roman" w:hint="default"/>
                <w:spacing w:val="-4"/>
                <w:sz w:val="18"/>
                <w:szCs w:val="18"/>
              </w:rPr>
              <w:t>2015 </w:t>
            </w:r>
            <w:r>
              <w:rPr>
                <w:rFonts w:ascii="宋体" w:hAnsi="宋体" w:cs="宋体" w:eastAsia="宋体" w:hint="default"/>
                <w:spacing w:val="-8"/>
                <w:sz w:val="18"/>
                <w:szCs w:val="18"/>
              </w:rPr>
              <w:t>年度、</w:t>
            </w:r>
            <w:r>
              <w:rPr>
                <w:rFonts w:ascii="Times New Roman" w:hAnsi="Times New Roman" w:cs="Times New Roman" w:eastAsia="Times New Roman" w:hint="default"/>
                <w:spacing w:val="-8"/>
                <w:sz w:val="18"/>
                <w:szCs w:val="18"/>
              </w:rPr>
              <w:t>2016 </w:t>
            </w:r>
            <w:r>
              <w:rPr>
                <w:rFonts w:ascii="宋体" w:hAnsi="宋体" w:cs="宋体" w:eastAsia="宋体" w:hint="default"/>
                <w:spacing w:val="-8"/>
                <w:sz w:val="18"/>
                <w:szCs w:val="18"/>
              </w:rPr>
              <w:t>年度、</w:t>
            </w:r>
            <w:r>
              <w:rPr>
                <w:rFonts w:ascii="Times New Roman" w:hAnsi="Times New Roman" w:cs="Times New Roman" w:eastAsia="Times New Roman" w:hint="default"/>
                <w:spacing w:val="-8"/>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 度分别不低于人民币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5,600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年度至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 期间，如华夏电通经审计的累计实际实现净利润数不足承诺净利润的，则由补偿义 务人首先以股份补偿的方式进行补偿，不足部分以现金方式补偿。②在业绩承诺期 届满时，对华夏电通进行减值测试，若期末华夏电通的减值额大于承担补偿义务的 交易对方已补偿总额，则承担补偿义务的交易对方同意除前述补偿外另行向上市公 司作出资产减值补偿。③补偿义务人承诺，华夏电通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年每 年期末应收账款净额占当期营业收入比重不高于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w:t>
            </w:r>
            <w:r>
              <w:rPr>
                <w:rFonts w:ascii="宋体" w:hAnsi="宋体" w:cs="宋体" w:eastAsia="宋体" w:hint="default"/>
                <w:sz w:val="18"/>
                <w:szCs w:val="18"/>
              </w:rPr>
              <w:t>，若未能满足，则承诺向华夏 电通以现金方式补偿。④补偿义务人承诺，华夏电通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年经</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z w:val="18"/>
                <w:szCs w:val="18"/>
              </w:rPr>
              <w:t>截至报告期 </w:t>
            </w:r>
            <w:r>
              <w:rPr>
                <w:rFonts w:ascii="宋体" w:hAnsi="宋体" w:cs="宋体" w:eastAsia="宋体" w:hint="default"/>
                <w:spacing w:val="-5"/>
                <w:sz w:val="18"/>
                <w:szCs w:val="18"/>
              </w:rPr>
              <w:t>末，承诺方严</w:t>
            </w:r>
            <w:r>
              <w:rPr>
                <w:rFonts w:ascii="宋体" w:hAnsi="宋体" w:cs="宋体" w:eastAsia="宋体" w:hint="default"/>
                <w:sz w:val="18"/>
                <w:szCs w:val="18"/>
              </w:rPr>
              <w:t> 格遵守该承 </w:t>
            </w:r>
            <w:r>
              <w:rPr>
                <w:rFonts w:ascii="宋体" w:hAnsi="宋体" w:cs="宋体" w:eastAsia="宋体" w:hint="default"/>
                <w:spacing w:val="-5"/>
                <w:sz w:val="18"/>
                <w:szCs w:val="18"/>
              </w:rPr>
              <w:t>诺，未有违反</w:t>
            </w:r>
            <w:r>
              <w:rPr>
                <w:rFonts w:ascii="宋体" w:hAnsi="宋体" w:cs="宋体" w:eastAsia="宋体" w:hint="default"/>
                <w:sz w:val="18"/>
                <w:szCs w:val="18"/>
              </w:rPr>
              <w:t> 该承诺的情 况</w:t>
            </w:r>
          </w:p>
        </w:tc>
      </w:tr>
    </w:tbl>
    <w:p>
      <w:pPr>
        <w:spacing w:after="0" w:line="319" w:lineRule="auto"/>
        <w:jc w:val="left"/>
        <w:rPr>
          <w:rFonts w:ascii="宋体" w:hAnsi="宋体" w:cs="宋体" w:eastAsia="宋体" w:hint="default"/>
          <w:sz w:val="18"/>
          <w:szCs w:val="18"/>
        </w:rPr>
        <w:sectPr>
          <w:pgSz w:w="16840" w:h="11910" w:orient="landscape"/>
          <w:pgMar w:header="867" w:footer="979" w:top="1060" w:bottom="1160" w:left="1040" w:right="0"/>
        </w:sectPr>
      </w:pPr>
    </w:p>
    <w:p>
      <w:pPr>
        <w:spacing w:line="240" w:lineRule="auto" w:before="4"/>
        <w:rPr>
          <w:rFonts w:ascii="Times New Roman" w:hAnsi="Times New Roman" w:cs="Times New Roman" w:eastAsia="Times New Roman" w:hint="default"/>
          <w:sz w:val="3"/>
          <w:szCs w:val="3"/>
        </w:rPr>
      </w:pPr>
      <w:r>
        <w:rPr/>
        <w:pict>
          <v:shape style="position:absolute;margin-left:444.679993pt;margin-top:106.520004pt;width:232.95pt;height:93.6pt;mso-position-horizontal-relative:page;mso-position-vertical-relative:page;z-index:-88264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2"/>
                      <w:szCs w:val="22"/>
                    </w:rPr>
                  </w:pPr>
                </w:p>
                <w:p>
                  <w:pPr>
                    <w:pStyle w:val="BodyText"/>
                    <w:spacing w:line="240" w:lineRule="auto"/>
                    <w:ind w:left="0" w:right="0"/>
                    <w:jc w:val="left"/>
                  </w:pPr>
                  <w:r>
                    <w:rPr/>
                    <w:t>相似或在商业上构成任何竞争的业务及活动，</w:t>
                  </w:r>
                </w:p>
              </w:txbxContent>
            </v:textbox>
            <w10:wrap type="none"/>
          </v:shape>
        </w:pict>
      </w:r>
      <w:r>
        <w:rPr/>
        <w:pict>
          <v:shape style="position:absolute;margin-left:579.679993pt;margin-top:235.340012pt;width:97.95pt;height:93.65pt;mso-position-horizontal-relative:page;mso-position-vertical-relative:page;z-index:-88261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24"/>
                      <w:szCs w:val="24"/>
                    </w:rPr>
                  </w:pPr>
                </w:p>
                <w:p>
                  <w:pPr>
                    <w:pStyle w:val="BodyText"/>
                    <w:spacing w:line="240" w:lineRule="auto"/>
                    <w:ind w:left="0" w:right="0"/>
                    <w:jc w:val="left"/>
                  </w:pPr>
                  <w:r>
                    <w:rPr/>
                    <w:t>持续有效。</w:t>
                  </w:r>
                </w:p>
              </w:txbxContent>
            </v:textbox>
            <w10:wrap type="none"/>
          </v:shape>
        </w:pict>
      </w:r>
      <w:r>
        <w:rPr/>
        <w:pict>
          <v:shape style="position:absolute;margin-left:588.679993pt;margin-top:449.460022pt;width:88.95pt;height:84.8pt;mso-position-horizontal-relative:page;mso-position-vertical-relative:page;z-index:-88259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49"/>
                    <w:ind w:left="539" w:right="0"/>
                    <w:jc w:val="left"/>
                  </w:pPr>
                  <w:r>
                    <w:rPr/>
                    <w:t>、</w:t>
                  </w:r>
                </w:p>
                <w:p>
                  <w:pPr>
                    <w:pStyle w:val="BodyText"/>
                    <w:spacing w:line="240" w:lineRule="auto" w:before="76"/>
                    <w:ind w:left="0" w:right="0"/>
                    <w:jc w:val="left"/>
                  </w:pPr>
                  <w:r>
                    <w:rPr/>
                    <w:t>（股份）</w:t>
                  </w:r>
                </w:p>
              </w:txbxContent>
            </v:textbox>
            <w10:wrap type="none"/>
          </v:shape>
        </w:pict>
      </w:r>
      <w:r>
        <w:rPr/>
        <w:pict>
          <v:group style="position:absolute;margin-left:249.440002pt;margin-top:106.520004pt;width:42pt;height:80pt;mso-position-horizontal-relative:page;mso-position-vertical-relative:page;z-index:-882568" coordorigin="4989,2130" coordsize="840,1600">
            <v:group style="position:absolute;left:4989;top:2130;width:840;height:1248" coordorigin="4989,2130" coordsize="840,1248">
              <v:shape style="position:absolute;left:4989;top:2130;width:840;height:1248" coordorigin="4989,2130" coordsize="840,1248" path="m4989,3378l5829,3378,5829,2130,4989,2130,4989,3378xe" filled="true" fillcolor="#ffffff" stroked="false">
                <v:path arrowok="t"/>
                <v:fill type="solid"/>
              </v:shape>
            </v:group>
            <v:group style="position:absolute;left:5013;top:3378;width:794;height:352" coordorigin="5013,3378" coordsize="794,352">
              <v:shape style="position:absolute;left:5013;top:3378;width:794;height:352" coordorigin="5013,3378" coordsize="794,352" path="m5013,3730l5806,3730,5806,3378,5013,3378,5013,3730xe" filled="true" fillcolor="#ffffff" stroked="false">
                <v:path arrowok="t"/>
                <v:fill type="solid"/>
              </v:shape>
            </v:group>
            <w10:wrap type="none"/>
          </v:group>
        </w:pict>
      </w:r>
      <w:r>
        <w:rPr/>
        <w:pict>
          <v:group style="position:absolute;margin-left:249.440002pt;margin-top:248.920013pt;width:42pt;height:80.05pt;mso-position-horizontal-relative:page;mso-position-vertical-relative:page;z-index:-882544" coordorigin="4989,4978" coordsize="840,1601">
            <v:group style="position:absolute;left:4989;top:5331;width:840;height:1248" coordorigin="4989,5331" coordsize="840,1248">
              <v:shape style="position:absolute;left:4989;top:5331;width:840;height:1248" coordorigin="4989,5331" coordsize="840,1248" path="m4989,6579l5829,6579,5829,5331,4989,5331,4989,6579xe" filled="true" fillcolor="#ffffff" stroked="false">
                <v:path arrowok="t"/>
                <v:fill type="solid"/>
              </v:shape>
            </v:group>
            <v:group style="position:absolute;left:5013;top:4978;width:794;height:353" coordorigin="5013,4978" coordsize="794,353">
              <v:shape style="position:absolute;left:5013;top:4978;width:794;height:353" coordorigin="5013,4978" coordsize="794,353" path="m5013,5331l5806,5331,5806,4978,5013,4978,5013,5331xe" filled="true" fillcolor="#ffffff" stroked="false">
                <v:path arrowok="t"/>
                <v:fill type="solid"/>
              </v:shape>
            </v:group>
            <w10:wrap type="none"/>
          </v:group>
        </w:pict>
      </w:r>
      <w:r>
        <w:rPr/>
        <w:pict>
          <v:group style="position:absolute;margin-left:621.820007pt;margin-top:106.520004pt;width:55.8pt;height:93.6pt;mso-position-horizontal-relative:page;mso-position-vertical-relative:page;z-index:-882520" coordorigin="12436,2130" coordsize="1116,1872">
            <v:shape style="position:absolute;left:12436;top:2130;width:1116;height:1872" coordorigin="12436,2130" coordsize="1116,1872" path="m12436,4002l13552,4002,13552,2130,12436,2130,12436,4002xe" filled="true" fillcolor="#ffffff" stroked="false">
              <v:path arrowok="t"/>
              <v:fill type="solid"/>
            </v:shape>
            <w10:wrap type="none"/>
          </v:group>
        </w:pict>
      </w:r>
      <w:r>
        <w:rPr/>
        <w:pict>
          <v:group style="position:absolute;margin-left:621.820007pt;margin-top:235.340012pt;width:55.8pt;height:93.65pt;mso-position-horizontal-relative:page;mso-position-vertical-relative:page;z-index:-882496" coordorigin="12436,4707" coordsize="1116,1873">
            <v:shape style="position:absolute;left:12436;top:4707;width:1116;height:1873" coordorigin="12436,4707" coordsize="1116,1873" path="m12436,6579l13552,6579,13552,4707,12436,4707,12436,6579xe" filled="true" fillcolor="#ffffff" stroked="false">
              <v:path arrowok="t"/>
              <v:fill type="solid"/>
            </v:shape>
            <w10:wrap type="none"/>
          </v:group>
        </w:pict>
      </w:r>
      <w:r>
        <w:rPr/>
        <w:pict>
          <v:group style="position:absolute;margin-left:621.820007pt;margin-top:449.460022pt;width:55.8pt;height:84.8pt;mso-position-horizontal-relative:page;mso-position-vertical-relative:page;z-index:-882472" coordorigin="12436,8989" coordsize="1116,1696">
            <v:shape style="position:absolute;left:12436;top:8989;width:1116;height:1696" coordorigin="12436,8989" coordsize="1116,1696" path="m12436,10685l13552,10685,13552,8989,12436,8989,12436,10685xe" filled="true" fillcolor="#ffffff" stroked="false">
              <v:path arrowok="t"/>
              <v:fill type="solid"/>
            </v:shape>
            <w10:wrap type="none"/>
          </v:group>
        </w:pict>
      </w:r>
    </w:p>
    <w:tbl>
      <w:tblPr>
        <w:tblW w:w="0" w:type="auto"/>
        <w:jc w:val="left"/>
        <w:tblInd w:w="111" w:type="dxa"/>
        <w:tblLayout w:type="fixed"/>
        <w:tblCellMar>
          <w:top w:w="0" w:type="dxa"/>
          <w:left w:w="0" w:type="dxa"/>
          <w:bottom w:w="0" w:type="dxa"/>
          <w:right w:w="0" w:type="dxa"/>
        </w:tblCellMar>
        <w:tblLook w:val="01E0"/>
      </w:tblPr>
      <w:tblGrid>
        <w:gridCol w:w="1843"/>
        <w:gridCol w:w="1985"/>
        <w:gridCol w:w="851"/>
        <w:gridCol w:w="6597"/>
        <w:gridCol w:w="1127"/>
        <w:gridCol w:w="1121"/>
        <w:gridCol w:w="1106"/>
      </w:tblGrid>
      <w:tr>
        <w:trPr>
          <w:trHeight w:val="336" w:hRule="exact"/>
        </w:trPr>
        <w:tc>
          <w:tcPr>
            <w:tcW w:w="1843" w:type="dxa"/>
            <w:vMerge w:val="restart"/>
            <w:tcBorders>
              <w:top w:val="single" w:sz="15" w:space="0" w:color="000000"/>
              <w:left w:val="single" w:sz="4" w:space="0" w:color="000000"/>
              <w:right w:val="single" w:sz="4" w:space="0" w:color="000000"/>
            </w:tcBorders>
            <w:shd w:val="clear" w:color="auto" w:fill="D2D2D2"/>
          </w:tcPr>
          <w:p>
            <w:pPr/>
          </w:p>
        </w:tc>
        <w:tc>
          <w:tcPr>
            <w:tcW w:w="1985"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敬明（即补偿义务人）</w:t>
            </w:r>
          </w:p>
        </w:tc>
        <w:tc>
          <w:tcPr>
            <w:tcW w:w="851" w:type="dxa"/>
            <w:vMerge w:val="restart"/>
            <w:tcBorders>
              <w:top w:val="single" w:sz="15" w:space="0" w:color="000000"/>
              <w:left w:val="single" w:sz="4" w:space="0" w:color="000000"/>
              <w:right w:val="single" w:sz="4" w:space="0" w:color="000000"/>
            </w:tcBorders>
          </w:tcPr>
          <w:p>
            <w:pPr/>
          </w:p>
        </w:tc>
        <w:tc>
          <w:tcPr>
            <w:tcW w:w="6597"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营活动产生的现金流量净额不能为负，且占当年净利润比例均不低于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，若未能</w:t>
            </w:r>
          </w:p>
        </w:tc>
        <w:tc>
          <w:tcPr>
            <w:tcW w:w="1127" w:type="dxa"/>
            <w:vMerge w:val="restart"/>
            <w:tcBorders>
              <w:top w:val="single" w:sz="15" w:space="0" w:color="000000"/>
              <w:left w:val="single" w:sz="4" w:space="0" w:color="000000"/>
              <w:right w:val="single" w:sz="4" w:space="0" w:color="000000"/>
            </w:tcBorders>
          </w:tcPr>
          <w:p>
            <w:pPr/>
          </w:p>
        </w:tc>
        <w:tc>
          <w:tcPr>
            <w:tcW w:w="1121" w:type="dxa"/>
            <w:vMerge w:val="restart"/>
            <w:tcBorders>
              <w:top w:val="single" w:sz="15" w:space="0" w:color="000000"/>
              <w:left w:val="single" w:sz="4" w:space="0" w:color="000000"/>
              <w:right w:val="single" w:sz="4" w:space="0" w:color="000000"/>
            </w:tcBorders>
          </w:tcPr>
          <w:p>
            <w:pPr/>
          </w:p>
        </w:tc>
        <w:tc>
          <w:tcPr>
            <w:tcW w:w="1106" w:type="dxa"/>
            <w:vMerge w:val="restart"/>
            <w:tcBorders>
              <w:top w:val="single" w:sz="15" w:space="0" w:color="000000"/>
              <w:left w:val="single" w:sz="4" w:space="0" w:color="000000"/>
              <w:right w:val="single" w:sz="4" w:space="0" w:color="000000"/>
            </w:tcBorders>
          </w:tcPr>
          <w:p>
            <w:pPr/>
          </w:p>
        </w:tc>
      </w:tr>
      <w:tr>
        <w:trPr>
          <w:trHeight w:val="308" w:hRule="exact"/>
        </w:trPr>
        <w:tc>
          <w:tcPr>
            <w:tcW w:w="1843" w:type="dxa"/>
            <w:vMerge/>
            <w:tcBorders>
              <w:left w:val="single" w:sz="4" w:space="0" w:color="000000"/>
              <w:right w:val="single" w:sz="4" w:space="0" w:color="000000"/>
            </w:tcBorders>
            <w:shd w:val="clear" w:color="auto" w:fill="D2D2D2"/>
          </w:tcPr>
          <w:p>
            <w:pPr/>
          </w:p>
        </w:tc>
        <w:tc>
          <w:tcPr>
            <w:tcW w:w="1985" w:type="dxa"/>
            <w:tcBorders>
              <w:top w:val="nil" w:sz="6" w:space="0" w:color="auto"/>
              <w:left w:val="single" w:sz="4" w:space="0" w:color="000000"/>
              <w:bottom w:val="nil" w:sz="6" w:space="0" w:color="auto"/>
              <w:right w:val="single" w:sz="4" w:space="0" w:color="000000"/>
            </w:tcBorders>
          </w:tcPr>
          <w:p>
            <w:pPr/>
          </w:p>
        </w:tc>
        <w:tc>
          <w:tcPr>
            <w:tcW w:w="851" w:type="dxa"/>
            <w:vMerge/>
            <w:tcBorders>
              <w:left w:val="single" w:sz="4" w:space="0" w:color="000000"/>
              <w:right w:val="single" w:sz="4" w:space="0" w:color="000000"/>
            </w:tcBorders>
          </w:tcPr>
          <w:p>
            <w:pPr/>
          </w:p>
        </w:tc>
        <w:tc>
          <w:tcPr>
            <w:tcW w:w="65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满足，则承诺向华夏电通以现金方式支补偿。⑤补偿义务人方向上市公司支付的补</w:t>
            </w:r>
          </w:p>
        </w:tc>
        <w:tc>
          <w:tcPr>
            <w:tcW w:w="1127"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57" w:hRule="exact"/>
        </w:trPr>
        <w:tc>
          <w:tcPr>
            <w:tcW w:w="1843" w:type="dxa"/>
            <w:vMerge/>
            <w:tcBorders>
              <w:left w:val="single" w:sz="4" w:space="0" w:color="000000"/>
              <w:right w:val="single" w:sz="4" w:space="0" w:color="000000"/>
            </w:tcBorders>
            <w:shd w:val="clear" w:color="auto" w:fill="D2D2D2"/>
          </w:tcPr>
          <w:p>
            <w:pPr/>
          </w:p>
        </w:tc>
        <w:tc>
          <w:tcPr>
            <w:tcW w:w="1985" w:type="dxa"/>
            <w:tcBorders>
              <w:top w:val="nil" w:sz="6" w:space="0" w:color="auto"/>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65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偿总额（包括业绩承诺补偿和资产减值补偿）不超过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127"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r>
        <w:trPr>
          <w:trHeight w:val="362" w:hRule="exact"/>
        </w:trPr>
        <w:tc>
          <w:tcPr>
            <w:tcW w:w="1843" w:type="dxa"/>
            <w:vMerge/>
            <w:tcBorders>
              <w:left w:val="single" w:sz="4" w:space="0" w:color="000000"/>
              <w:right w:val="single" w:sz="4" w:space="0" w:color="000000"/>
            </w:tcBorders>
            <w:shd w:val="clear" w:color="auto" w:fill="D2D2D2"/>
          </w:tcPr>
          <w:p>
            <w:pPr/>
          </w:p>
        </w:tc>
        <w:tc>
          <w:tcPr>
            <w:tcW w:w="1985"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65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关于避免同业竞争的承诺</w:t>
            </w:r>
            <w:r>
              <w:rPr>
                <w:rFonts w:ascii="Times New Roman" w:hAnsi="Times New Roman" w:cs="Times New Roman" w:eastAsia="Times New Roman" w:hint="default"/>
                <w:sz w:val="18"/>
                <w:szCs w:val="18"/>
              </w:rPr>
              <w:t>“1</w:t>
            </w:r>
            <w:r>
              <w:rPr>
                <w:rFonts w:ascii="宋体" w:hAnsi="宋体" w:cs="宋体" w:eastAsia="宋体" w:hint="default"/>
                <w:sz w:val="18"/>
                <w:szCs w:val="18"/>
              </w:rPr>
              <w:t>、截至本承诺函签署之日，本人未在，在本函有效期内</w:t>
            </w:r>
          </w:p>
        </w:tc>
        <w:tc>
          <w:tcPr>
            <w:tcW w:w="1127"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6"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843" w:type="dxa"/>
            <w:vMerge/>
            <w:tcBorders>
              <w:left w:val="single" w:sz="4" w:space="0" w:color="000000"/>
              <w:right w:val="single" w:sz="4" w:space="0" w:color="000000"/>
            </w:tcBorders>
            <w:shd w:val="clear" w:color="auto" w:fill="D2D2D2"/>
          </w:tcPr>
          <w:p>
            <w:pPr/>
          </w:p>
        </w:tc>
        <w:tc>
          <w:tcPr>
            <w:tcW w:w="1985"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65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也不会在中国境内外以任何方式直接或间接从事或参与任何与久其软件及其下属子</w:t>
            </w:r>
          </w:p>
        </w:tc>
        <w:tc>
          <w:tcPr>
            <w:tcW w:w="1127"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0" w:hRule="exact"/>
        </w:trPr>
        <w:tc>
          <w:tcPr>
            <w:tcW w:w="1843" w:type="dxa"/>
            <w:vMerge/>
            <w:tcBorders>
              <w:left w:val="single" w:sz="4" w:space="0" w:color="000000"/>
              <w:right w:val="single" w:sz="4" w:space="0" w:color="000000"/>
            </w:tcBorders>
            <w:shd w:val="clear" w:color="auto" w:fill="D2D2D2"/>
          </w:tcPr>
          <w:p>
            <w:pPr/>
          </w:p>
        </w:tc>
        <w:tc>
          <w:tcPr>
            <w:tcW w:w="1985" w:type="dxa"/>
            <w:tcBorders>
              <w:top w:val="nil" w:sz="6" w:space="0" w:color="auto"/>
              <w:left w:val="single" w:sz="4" w:space="0" w:color="000000"/>
              <w:bottom w:val="nil" w:sz="6" w:space="0" w:color="auto"/>
              <w:right w:val="single" w:sz="13" w:space="0" w:color="FFFFFF"/>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40"/>
              <w:jc w:val="left"/>
              <w:rPr>
                <w:rFonts w:ascii="宋体" w:hAnsi="宋体" w:cs="宋体" w:eastAsia="宋体" w:hint="default"/>
                <w:sz w:val="18"/>
                <w:szCs w:val="18"/>
              </w:rPr>
            </w:pPr>
            <w:r>
              <w:rPr>
                <w:rFonts w:ascii="宋体" w:hAnsi="宋体" w:cs="宋体" w:eastAsia="宋体" w:hint="default"/>
                <w:sz w:val="18"/>
                <w:szCs w:val="18"/>
              </w:rPr>
              <w:t>栗军、李俊峰、张思必、 </w:t>
            </w:r>
            <w:r>
              <w:rPr>
                <w:rFonts w:ascii="宋体" w:hAnsi="宋体" w:cs="宋体" w:eastAsia="宋体" w:hint="default"/>
                <w:spacing w:val="-13"/>
                <w:sz w:val="18"/>
                <w:szCs w:val="18"/>
              </w:rPr>
              <w:t>蒋国兴、贾瑞明、谢泳江</w:t>
            </w:r>
            <w:r>
              <w:rPr>
                <w:rFonts w:ascii="宋体" w:hAnsi="宋体" w:cs="宋体" w:eastAsia="宋体" w:hint="default"/>
                <w:sz w:val="18"/>
                <w:szCs w:val="18"/>
              </w:rPr>
              <w:t> 李建、贾高勇、周明浩、 夏郁葱、孙莉、赵月军、 单衍景、王瑞宾、王平、 房兰花、杨建军、胡雷、 </w:t>
            </w:r>
            <w:r>
              <w:rPr>
                <w:rFonts w:ascii="宋体" w:hAnsi="宋体" w:cs="宋体" w:eastAsia="宋体" w:hint="default"/>
                <w:spacing w:val="-5"/>
                <w:sz w:val="18"/>
                <w:szCs w:val="18"/>
              </w:rPr>
              <w:t>刘枫、曹艳中、李行、郭</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3"/>
                <w:sz w:val="18"/>
                <w:szCs w:val="18"/>
              </w:rPr>
              <w:t>武、张锐锋、高翔、杨颖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邹康</w:t>
            </w:r>
          </w:p>
        </w:tc>
        <w:tc>
          <w:tcPr>
            <w:tcW w:w="851" w:type="dxa"/>
            <w:tcBorders>
              <w:top w:val="nil" w:sz="6" w:space="0" w:color="auto"/>
              <w:left w:val="single" w:sz="13" w:space="0" w:color="FFFFFF"/>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196" w:lineRule="exact"/>
              <w:ind w:left="-13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1" w:right="0"/>
              <w:jc w:val="both"/>
              <w:rPr>
                <w:rFonts w:ascii="宋体" w:hAnsi="宋体" w:cs="宋体" w:eastAsia="宋体" w:hint="default"/>
                <w:sz w:val="18"/>
                <w:szCs w:val="18"/>
              </w:rPr>
            </w:pPr>
            <w:r>
              <w:rPr>
                <w:rFonts w:ascii="宋体" w:hAnsi="宋体" w:cs="宋体" w:eastAsia="宋体" w:hint="default"/>
                <w:sz w:val="18"/>
                <w:szCs w:val="18"/>
              </w:rPr>
              <w:t>关于同业</w:t>
            </w:r>
          </w:p>
          <w:p>
            <w:pPr>
              <w:pStyle w:val="TableParagraph"/>
              <w:spacing w:line="319" w:lineRule="auto" w:before="75"/>
              <w:ind w:left="11" w:right="95"/>
              <w:jc w:val="both"/>
              <w:rPr>
                <w:rFonts w:ascii="宋体" w:hAnsi="宋体" w:cs="宋体" w:eastAsia="宋体" w:hint="default"/>
                <w:sz w:val="18"/>
                <w:szCs w:val="18"/>
              </w:rPr>
            </w:pPr>
            <w:r>
              <w:rPr>
                <w:rFonts w:ascii="宋体" w:hAnsi="宋体" w:cs="宋体" w:eastAsia="宋体" w:hint="default"/>
                <w:sz w:val="18"/>
                <w:szCs w:val="18"/>
              </w:rPr>
              <w:t>竞争、关 联交易、 资金占用 方面的承</w:t>
            </w:r>
          </w:p>
          <w:p>
            <w:pPr>
              <w:pStyle w:val="TableParagraph"/>
              <w:spacing w:line="195" w:lineRule="exact" w:before="18"/>
              <w:ind w:left="11" w:right="0"/>
              <w:jc w:val="both"/>
              <w:rPr>
                <w:rFonts w:ascii="宋体" w:hAnsi="宋体" w:cs="宋体" w:eastAsia="宋体" w:hint="default"/>
                <w:sz w:val="18"/>
                <w:szCs w:val="18"/>
              </w:rPr>
            </w:pPr>
            <w:r>
              <w:rPr>
                <w:rFonts w:ascii="宋体" w:hAnsi="宋体" w:cs="宋体" w:eastAsia="宋体" w:hint="default"/>
                <w:sz w:val="18"/>
                <w:szCs w:val="18"/>
              </w:rPr>
              <w:t>诺</w:t>
            </w:r>
          </w:p>
          <w:p>
            <w:pPr>
              <w:pStyle w:val="TableParagraph"/>
              <w:spacing w:line="195" w:lineRule="exact"/>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6597" w:type="dxa"/>
            <w:tcBorders>
              <w:top w:val="nil" w:sz="6" w:space="0" w:color="auto"/>
              <w:left w:val="single" w:sz="4" w:space="0" w:color="000000"/>
              <w:bottom w:val="nil" w:sz="6" w:space="0" w:color="auto"/>
              <w:right w:val="single" w:sz="4" w:space="0" w:color="000000"/>
            </w:tcBorders>
          </w:tcPr>
          <w:p>
            <w:pPr>
              <w:pStyle w:val="TableParagraph"/>
              <w:spacing w:line="314"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公司、华夏电通及其下属子公司相同、 或拥有与久其软件及其下属子公司、华夏电通及其下属子公司存在竞争关系的任何 经济实体、机构、经济组织的权益，或以其他任何形式取得该经济实体、机构、经 济组织的控制权，或者为该等构成同业竞争关系的经济实体、机构、经济组织以劳 </w:t>
            </w:r>
            <w:r>
              <w:rPr>
                <w:rFonts w:ascii="宋体" w:hAnsi="宋体" w:cs="宋体" w:eastAsia="宋体" w:hint="default"/>
                <w:spacing w:val="-1"/>
                <w:sz w:val="18"/>
                <w:szCs w:val="18"/>
              </w:rPr>
              <w:t>务、顾问或咨询等方式提供服务。</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、若发现本人及本人控制的其他企业在本函有效</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期内从事与久其软件及其下属子公司、华夏电通及其下属子公司的产品或业务存在 竞争的业务，则本人及本人控制的其他企业承诺将以停止生产经营相竞争的业务或 产品的方式，或者将相竞争的业务无偿转让给久其软件的方式，或者将相竞争的业 </w:t>
            </w:r>
            <w:r>
              <w:rPr>
                <w:rFonts w:ascii="宋体" w:hAnsi="宋体" w:cs="宋体" w:eastAsia="宋体" w:hint="default"/>
                <w:spacing w:val="-1"/>
                <w:sz w:val="18"/>
                <w:szCs w:val="18"/>
              </w:rPr>
              <w:t>务转让给无关联关系的第三方的方式避免同业竞争。</w:t>
            </w: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、上述承诺在本人在久其软件</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及其下属子公司、华夏电通及其下属子公司任职期间以及离职后两年内，</w:t>
            </w: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截至报告期 </w:t>
            </w:r>
            <w:r>
              <w:rPr>
                <w:rFonts w:ascii="宋体" w:hAnsi="宋体" w:cs="宋体" w:eastAsia="宋体" w:hint="default"/>
                <w:spacing w:val="-5"/>
                <w:sz w:val="18"/>
                <w:szCs w:val="18"/>
              </w:rPr>
              <w:t>末，承诺方严</w:t>
            </w:r>
            <w:r>
              <w:rPr>
                <w:rFonts w:ascii="宋体" w:hAnsi="宋体" w:cs="宋体" w:eastAsia="宋体" w:hint="default"/>
                <w:sz w:val="18"/>
                <w:szCs w:val="18"/>
              </w:rPr>
              <w:t> 格遵守该承 </w:t>
            </w:r>
            <w:r>
              <w:rPr>
                <w:rFonts w:ascii="宋体" w:hAnsi="宋体" w:cs="宋体" w:eastAsia="宋体" w:hint="default"/>
                <w:spacing w:val="-5"/>
                <w:sz w:val="18"/>
                <w:szCs w:val="18"/>
              </w:rPr>
              <w:t>诺，未有违反</w:t>
            </w:r>
            <w:r>
              <w:rPr>
                <w:rFonts w:ascii="宋体" w:hAnsi="宋体" w:cs="宋体" w:eastAsia="宋体" w:hint="default"/>
                <w:sz w:val="18"/>
                <w:szCs w:val="18"/>
              </w:rPr>
              <w:t> 该承诺的情 况</w:t>
            </w:r>
          </w:p>
        </w:tc>
      </w:tr>
      <w:tr>
        <w:trPr>
          <w:trHeight w:val="318" w:hRule="exact"/>
        </w:trPr>
        <w:tc>
          <w:tcPr>
            <w:tcW w:w="1843" w:type="dxa"/>
            <w:vMerge/>
            <w:tcBorders>
              <w:left w:val="single" w:sz="4" w:space="0" w:color="000000"/>
              <w:right w:val="single" w:sz="4" w:space="0" w:color="000000"/>
            </w:tcBorders>
            <w:shd w:val="clear" w:color="auto" w:fill="D2D2D2"/>
          </w:tcPr>
          <w:p>
            <w:pPr/>
          </w:p>
        </w:tc>
        <w:tc>
          <w:tcPr>
            <w:tcW w:w="1985"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65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pacing w:val="-75"/>
                <w:sz w:val="18"/>
                <w:szCs w:val="18"/>
              </w:rPr>
              <w:t>、</w:t>
            </w:r>
            <w:r>
              <w:rPr>
                <w:rFonts w:ascii="宋体" w:hAnsi="宋体" w:cs="宋体" w:eastAsia="宋体" w:hint="default"/>
                <w:sz w:val="18"/>
                <w:szCs w:val="18"/>
              </w:rPr>
              <w:t>如上述承诺被证明是不真实的或未被遵守</w:t>
            </w:r>
            <w:r>
              <w:rPr>
                <w:rFonts w:ascii="Times New Roman" w:hAnsi="Times New Roman" w:cs="Times New Roman" w:eastAsia="Times New Roman" w:hint="default"/>
                <w:sz w:val="18"/>
                <w:szCs w:val="18"/>
              </w:rPr>
              <w:t>,</w:t>
            </w:r>
            <w:r>
              <w:rPr>
                <w:rFonts w:ascii="宋体" w:hAnsi="宋体" w:cs="宋体" w:eastAsia="宋体" w:hint="default"/>
                <w:sz w:val="18"/>
                <w:szCs w:val="18"/>
              </w:rPr>
              <w:t>本人愿意</w:t>
            </w:r>
            <w:r>
              <w:rPr>
                <w:rFonts w:ascii="宋体" w:hAnsi="宋体" w:cs="宋体" w:eastAsia="宋体" w:hint="default"/>
                <w:spacing w:val="-2"/>
                <w:sz w:val="18"/>
                <w:szCs w:val="18"/>
              </w:rPr>
              <w:t>承</w:t>
            </w:r>
            <w:r>
              <w:rPr>
                <w:rFonts w:ascii="宋体" w:hAnsi="宋体" w:cs="宋体" w:eastAsia="宋体" w:hint="default"/>
                <w:sz w:val="18"/>
                <w:szCs w:val="18"/>
              </w:rPr>
              <w:t>担因违反上述承诺而给久其</w:t>
            </w:r>
          </w:p>
        </w:tc>
        <w:tc>
          <w:tcPr>
            <w:tcW w:w="1127"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1843" w:type="dxa"/>
            <w:vMerge/>
            <w:tcBorders>
              <w:left w:val="single" w:sz="4" w:space="0" w:color="000000"/>
              <w:right w:val="single" w:sz="4" w:space="0" w:color="000000"/>
            </w:tcBorders>
            <w:shd w:val="clear" w:color="auto" w:fill="D2D2D2"/>
          </w:tcPr>
          <w:p>
            <w:pPr/>
          </w:p>
        </w:tc>
        <w:tc>
          <w:tcPr>
            <w:tcW w:w="1985"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65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软件造成的全部经济损失。</w:t>
            </w:r>
            <w:r>
              <w:rPr>
                <w:rFonts w:ascii="Times New Roman" w:hAnsi="Times New Roman" w:cs="Times New Roman" w:eastAsia="Times New Roman" w:hint="default"/>
                <w:sz w:val="18"/>
                <w:szCs w:val="18"/>
              </w:rPr>
              <w:t>”</w:t>
            </w:r>
          </w:p>
        </w:tc>
        <w:tc>
          <w:tcPr>
            <w:tcW w:w="1127"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6"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843" w:type="dxa"/>
            <w:vMerge/>
            <w:tcBorders>
              <w:left w:val="single" w:sz="4" w:space="0" w:color="000000"/>
              <w:right w:val="single" w:sz="4" w:space="0" w:color="000000"/>
            </w:tcBorders>
            <w:shd w:val="clear" w:color="auto" w:fill="D2D2D2"/>
          </w:tcPr>
          <w:p>
            <w:pPr/>
          </w:p>
        </w:tc>
        <w:tc>
          <w:tcPr>
            <w:tcW w:w="1985"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65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关于避免同业竞争的承诺</w:t>
            </w:r>
            <w:r>
              <w:rPr>
                <w:rFonts w:ascii="宋体" w:hAnsi="宋体" w:cs="宋体" w:eastAsia="宋体" w:hint="default"/>
                <w:spacing w:val="12"/>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、截至本承诺函签署之日，本公司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本人未在，将来也不</w:t>
            </w:r>
          </w:p>
        </w:tc>
        <w:tc>
          <w:tcPr>
            <w:tcW w:w="1127"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6"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843" w:type="dxa"/>
            <w:vMerge/>
            <w:tcBorders>
              <w:left w:val="single" w:sz="4" w:space="0" w:color="000000"/>
              <w:right w:val="single" w:sz="4" w:space="0" w:color="000000"/>
            </w:tcBorders>
            <w:shd w:val="clear" w:color="auto" w:fill="D2D2D2"/>
          </w:tcPr>
          <w:p>
            <w:pPr/>
          </w:p>
        </w:tc>
        <w:tc>
          <w:tcPr>
            <w:tcW w:w="1985"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65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会在中国境内外以任何方式直接或间接从事或参与任何与久其软件及其下属子公</w:t>
            </w:r>
          </w:p>
        </w:tc>
        <w:tc>
          <w:tcPr>
            <w:tcW w:w="1127"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3" w:type="dxa"/>
            <w:vMerge/>
            <w:tcBorders>
              <w:left w:val="single" w:sz="4" w:space="0" w:color="000000"/>
              <w:right w:val="single" w:sz="4" w:space="0" w:color="000000"/>
            </w:tcBorders>
            <w:shd w:val="clear" w:color="auto" w:fill="D2D2D2"/>
          </w:tcPr>
          <w:p>
            <w:pPr/>
          </w:p>
        </w:tc>
        <w:tc>
          <w:tcPr>
            <w:tcW w:w="1985"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65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司、华夏电通及其下属子公司相同、相似或在商业上构成任何竞争的业务及活动，</w:t>
            </w:r>
          </w:p>
        </w:tc>
        <w:tc>
          <w:tcPr>
            <w:tcW w:w="1127"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2184" w:hRule="exact"/>
        </w:trPr>
        <w:tc>
          <w:tcPr>
            <w:tcW w:w="1843" w:type="dxa"/>
            <w:vMerge/>
            <w:tcBorders>
              <w:left w:val="single" w:sz="4" w:space="0" w:color="000000"/>
              <w:right w:val="single" w:sz="4" w:space="0" w:color="000000"/>
            </w:tcBorders>
            <w:shd w:val="clear" w:color="auto" w:fill="D2D2D2"/>
          </w:tcPr>
          <w:p>
            <w:pP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0"/>
              <w:ind w:left="22" w:right="150"/>
              <w:jc w:val="left"/>
              <w:rPr>
                <w:rFonts w:ascii="宋体" w:hAnsi="宋体" w:cs="宋体" w:eastAsia="宋体" w:hint="default"/>
                <w:sz w:val="18"/>
                <w:szCs w:val="18"/>
              </w:rPr>
            </w:pPr>
            <w:r>
              <w:rPr>
                <w:rFonts w:ascii="宋体" w:hAnsi="宋体" w:cs="宋体" w:eastAsia="宋体" w:hint="default"/>
                <w:sz w:val="18"/>
                <w:szCs w:val="18"/>
              </w:rPr>
              <w:t>北京久其科技投资有限 公司、董泰湘、赵福君</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319" w:lineRule="auto" w:before="147"/>
              <w:ind w:left="23" w:right="95"/>
              <w:jc w:val="both"/>
              <w:rPr>
                <w:rFonts w:ascii="宋体" w:hAnsi="宋体" w:cs="宋体" w:eastAsia="宋体" w:hint="default"/>
                <w:sz w:val="18"/>
                <w:szCs w:val="18"/>
              </w:rPr>
            </w:pPr>
            <w:r>
              <w:rPr>
                <w:rFonts w:ascii="宋体" w:hAnsi="宋体" w:cs="宋体" w:eastAsia="宋体" w:hint="default"/>
                <w:sz w:val="18"/>
                <w:szCs w:val="18"/>
              </w:rPr>
              <w:t>关于同业 竞争、关 联交易、 资金占用 方面的承 诺</w:t>
            </w:r>
          </w:p>
        </w:tc>
        <w:tc>
          <w:tcPr>
            <w:tcW w:w="6597" w:type="dxa"/>
            <w:tcBorders>
              <w:top w:val="nil" w:sz="6" w:space="0" w:color="auto"/>
              <w:left w:val="single" w:sz="4" w:space="0" w:color="000000"/>
              <w:bottom w:val="nil" w:sz="6" w:space="0" w:color="auto"/>
              <w:right w:val="single" w:sz="4" w:space="0" w:color="000000"/>
            </w:tcBorders>
          </w:tcPr>
          <w:p>
            <w:pPr>
              <w:pStyle w:val="TableParagraph"/>
              <w:spacing w:line="312" w:lineRule="auto" w:before="10"/>
              <w:ind w:left="22" w:right="20"/>
              <w:jc w:val="both"/>
              <w:rPr>
                <w:rFonts w:ascii="宋体" w:hAnsi="宋体" w:cs="宋体" w:eastAsia="宋体" w:hint="default"/>
                <w:sz w:val="18"/>
                <w:szCs w:val="18"/>
              </w:rPr>
            </w:pPr>
            <w:r>
              <w:rPr>
                <w:rFonts w:ascii="宋体" w:hAnsi="宋体" w:cs="宋体" w:eastAsia="宋体" w:hint="default"/>
                <w:sz w:val="18"/>
                <w:szCs w:val="18"/>
              </w:rPr>
              <w:t>或拥有与久其软件及其下属子公司、华夏电通及其下属子公司存在竞争关系的任何 经济实体、机构、经济组织的权益，或以其他任何形式取得该经济实体、机构、经 济组织的控制权，或者为该等构成同业竞争关系的经济实体、机构、经济组织以劳 务、顾问或咨询等方式提供服务。</w:t>
            </w:r>
            <w:r>
              <w:rPr>
                <w:rFonts w:ascii="Times New Roman" w:hAnsi="Times New Roman" w:cs="Times New Roman" w:eastAsia="Times New Roman" w:hint="default"/>
                <w:sz w:val="18"/>
                <w:szCs w:val="18"/>
              </w:rPr>
              <w:t>2</w:t>
            </w:r>
            <w:r>
              <w:rPr>
                <w:rFonts w:ascii="宋体" w:hAnsi="宋体" w:cs="宋体" w:eastAsia="宋体" w:hint="default"/>
                <w:sz w:val="18"/>
                <w:szCs w:val="18"/>
              </w:rPr>
              <w:t>、若发现本公司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本人及本公司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本人控制的其他 企业在以后任何时间从事与久其软件及其下属子公司、华夏电通及其下属子公司的 </w:t>
            </w:r>
            <w:r>
              <w:rPr>
                <w:rFonts w:ascii="宋体" w:hAnsi="宋体" w:cs="宋体" w:eastAsia="宋体" w:hint="default"/>
                <w:spacing w:val="-2"/>
                <w:sz w:val="18"/>
                <w:szCs w:val="18"/>
              </w:rPr>
              <w:t>产品或业务存在竞争的业务，则本公司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本人及本公司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本人控制的其他企业承诺将以</w:t>
            </w:r>
            <w:r>
              <w:rPr>
                <w:rFonts w:ascii="宋体" w:hAnsi="宋体" w:cs="宋体" w:eastAsia="宋体" w:hint="default"/>
                <w:spacing w:val="-54"/>
                <w:sz w:val="18"/>
                <w:szCs w:val="18"/>
              </w:rPr>
              <w:t> </w:t>
            </w:r>
            <w:r>
              <w:rPr>
                <w:rFonts w:ascii="宋体" w:hAnsi="宋体" w:cs="宋体" w:eastAsia="宋体" w:hint="default"/>
                <w:sz w:val="18"/>
                <w:szCs w:val="18"/>
              </w:rPr>
              <w:t>停止生产经营相竞争的业务或产品的方式，或者将相竞争的业务无偿转让给久其软</w:t>
            </w: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319" w:lineRule="auto" w:before="147"/>
              <w:ind w:left="22" w:right="20"/>
              <w:jc w:val="left"/>
              <w:rPr>
                <w:rFonts w:ascii="宋体" w:hAnsi="宋体" w:cs="宋体" w:eastAsia="宋体" w:hint="default"/>
                <w:sz w:val="18"/>
                <w:szCs w:val="18"/>
              </w:rPr>
            </w:pPr>
            <w:r>
              <w:rPr>
                <w:rFonts w:ascii="宋体" w:hAnsi="宋体" w:cs="宋体" w:eastAsia="宋体" w:hint="default"/>
                <w:sz w:val="18"/>
                <w:szCs w:val="18"/>
              </w:rPr>
              <w:t>截至报告期 </w:t>
            </w:r>
            <w:r>
              <w:rPr>
                <w:rFonts w:ascii="宋体" w:hAnsi="宋体" w:cs="宋体" w:eastAsia="宋体" w:hint="default"/>
                <w:spacing w:val="-5"/>
                <w:sz w:val="18"/>
                <w:szCs w:val="18"/>
              </w:rPr>
              <w:t>末，承诺方严</w:t>
            </w:r>
            <w:r>
              <w:rPr>
                <w:rFonts w:ascii="宋体" w:hAnsi="宋体" w:cs="宋体" w:eastAsia="宋体" w:hint="default"/>
                <w:sz w:val="18"/>
                <w:szCs w:val="18"/>
              </w:rPr>
              <w:t> 格遵守该承 </w:t>
            </w:r>
            <w:r>
              <w:rPr>
                <w:rFonts w:ascii="宋体" w:hAnsi="宋体" w:cs="宋体" w:eastAsia="宋体" w:hint="default"/>
                <w:spacing w:val="-5"/>
                <w:sz w:val="18"/>
                <w:szCs w:val="18"/>
              </w:rPr>
              <w:t>诺，未有违反</w:t>
            </w:r>
            <w:r>
              <w:rPr>
                <w:rFonts w:ascii="宋体" w:hAnsi="宋体" w:cs="宋体" w:eastAsia="宋体" w:hint="default"/>
                <w:sz w:val="18"/>
                <w:szCs w:val="18"/>
              </w:rPr>
              <w:t> 该承诺的情 况</w:t>
            </w:r>
          </w:p>
        </w:tc>
      </w:tr>
      <w:tr>
        <w:trPr>
          <w:trHeight w:val="317" w:hRule="exact"/>
        </w:trPr>
        <w:tc>
          <w:tcPr>
            <w:tcW w:w="1843" w:type="dxa"/>
            <w:vMerge/>
            <w:tcBorders>
              <w:left w:val="single" w:sz="4" w:space="0" w:color="000000"/>
              <w:right w:val="single" w:sz="4" w:space="0" w:color="000000"/>
            </w:tcBorders>
            <w:shd w:val="clear" w:color="auto" w:fill="D2D2D2"/>
          </w:tcPr>
          <w:p>
            <w:pPr/>
          </w:p>
        </w:tc>
        <w:tc>
          <w:tcPr>
            <w:tcW w:w="1985"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65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件的方式，或者将相竞争的业务转让给无关联关系的第三方的方式避免同业竞争。</w:t>
            </w:r>
            <w:r>
              <w:rPr>
                <w:rFonts w:ascii="Times New Roman" w:hAnsi="Times New Roman" w:cs="Times New Roman" w:eastAsia="Times New Roman" w:hint="default"/>
                <w:spacing w:val="-4"/>
                <w:sz w:val="18"/>
                <w:szCs w:val="18"/>
              </w:rPr>
              <w:t>3</w:t>
            </w:r>
          </w:p>
        </w:tc>
        <w:tc>
          <w:tcPr>
            <w:tcW w:w="1127"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3" w:type="dxa"/>
            <w:vMerge/>
            <w:tcBorders>
              <w:left w:val="single" w:sz="4" w:space="0" w:color="000000"/>
              <w:right w:val="single" w:sz="4" w:space="0" w:color="000000"/>
            </w:tcBorders>
            <w:shd w:val="clear" w:color="auto" w:fill="D2D2D2"/>
          </w:tcPr>
          <w:p>
            <w:pPr/>
          </w:p>
        </w:tc>
        <w:tc>
          <w:tcPr>
            <w:tcW w:w="1985"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65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在本公司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本人持有久其软件及其下属子公司、华夏电通及其下属子公司股权</w:t>
            </w:r>
          </w:p>
        </w:tc>
        <w:tc>
          <w:tcPr>
            <w:tcW w:w="1127"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843" w:type="dxa"/>
            <w:vMerge/>
            <w:tcBorders>
              <w:left w:val="single" w:sz="4" w:space="0" w:color="000000"/>
              <w:bottom w:val="single" w:sz="4" w:space="0" w:color="000000"/>
              <w:right w:val="single" w:sz="4" w:space="0" w:color="000000"/>
            </w:tcBorders>
            <w:shd w:val="clear" w:color="auto" w:fill="D2D2D2"/>
          </w:tcPr>
          <w:p>
            <w:pPr/>
          </w:p>
        </w:tc>
        <w:tc>
          <w:tcPr>
            <w:tcW w:w="1985"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65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或者本人在久其软件及其下属子公司、华夏电通及其下属子公司任职期间，本承诺</w:t>
            </w:r>
          </w:p>
        </w:tc>
        <w:tc>
          <w:tcPr>
            <w:tcW w:w="1127"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6"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200" w:left="1040" w:right="0"/>
        </w:sectPr>
      </w:pPr>
    </w:p>
    <w:p>
      <w:pPr>
        <w:spacing w:line="240" w:lineRule="auto" w:before="4"/>
        <w:rPr>
          <w:rFonts w:ascii="Times New Roman" w:hAnsi="Times New Roman" w:cs="Times New Roman" w:eastAsia="Times New Roman" w:hint="default"/>
          <w:sz w:val="3"/>
          <w:szCs w:val="3"/>
        </w:rPr>
      </w:pPr>
      <w:r>
        <w:rPr/>
        <w:pict>
          <v:shape style="position:absolute;margin-left:225.320007pt;margin-top:282.160004pt;width:66.150pt;height:93.6pt;mso-position-horizontal-relative:page;mso-position-vertical-relative:page;z-index:-882448" type="#_x0000_t202" filled="false" stroked="false">
            <v:textbox inset="0,0,0,0">
              <w:txbxContent>
                <w:p>
                  <w:pPr>
                    <w:pStyle w:val="BodyText"/>
                    <w:spacing w:line="205" w:lineRule="exact"/>
                    <w:ind w:left="0" w:right="0"/>
                    <w:jc w:val="left"/>
                  </w:pPr>
                  <w:r>
                    <w:rPr/>
                    <w:t>郭辉、</w:t>
                  </w:r>
                </w:p>
              </w:txbxContent>
            </v:textbox>
            <w10:wrap type="none"/>
          </v:shape>
        </w:pict>
      </w:r>
      <w:r>
        <w:rPr/>
        <w:pict>
          <v:shape style="position:absolute;margin-left:615.640015pt;margin-top:250.960007pt;width:62pt;height:124.8pt;mso-position-horizontal-relative:page;mso-position-vertical-relative:page;z-index:-882424" type="#_x0000_t202" filled="false" stroked="false">
            <v:textbox inset="0,0,0,0">
              <w:txbxContent>
                <w:p>
                  <w:pPr>
                    <w:pStyle w:val="BodyText"/>
                    <w:spacing w:line="205" w:lineRule="exact"/>
                    <w:ind w:left="0" w:right="0"/>
                    <w:jc w:val="left"/>
                  </w:pPr>
                  <w:r>
                    <w:rPr/>
                    <w:t>、</w:t>
                  </w:r>
                </w:p>
              </w:txbxContent>
            </v:textbox>
            <w10:wrap type="none"/>
          </v:shape>
        </w:pict>
      </w:r>
      <w:r>
        <w:rPr/>
        <w:pict>
          <v:group style="position:absolute;margin-left:249.440002pt;margin-top:90.920006pt;width:42pt;height:93.6pt;mso-position-horizontal-relative:page;mso-position-vertical-relative:page;z-index:-882400" coordorigin="4989,1818" coordsize="840,1872">
            <v:shape style="position:absolute;left:4989;top:1818;width:840;height:1872" coordorigin="4989,1818" coordsize="840,1872" path="m4989,3690l5829,3690,5829,1818,4989,1818,4989,3690xe" filled="true" fillcolor="#ffffff" stroked="false">
              <v:path arrowok="t"/>
              <v:fill type="solid"/>
            </v:shape>
            <w10:wrap type="none"/>
          </v:group>
        </w:pict>
      </w:r>
      <w:r>
        <w:rPr/>
        <w:pict>
          <v:group style="position:absolute;margin-left:249.440002pt;margin-top:264.52002pt;width:42pt;height:111.25pt;mso-position-horizontal-relative:page;mso-position-vertical-relative:page;z-index:-882376" coordorigin="4989,5290" coordsize="840,2225">
            <v:group style="position:absolute;left:4989;top:5643;width:840;height:1872" coordorigin="4989,5643" coordsize="840,1872">
              <v:shape style="position:absolute;left:4989;top:5643;width:840;height:1872" coordorigin="4989,5643" coordsize="840,1872" path="m4989,7515l5829,7515,5829,5643,4989,5643,4989,7515xe" filled="true" fillcolor="#ffffff" stroked="false">
                <v:path arrowok="t"/>
                <v:fill type="solid"/>
              </v:shape>
            </v:group>
            <v:group style="position:absolute;left:5013;top:5290;width:794;height:353" coordorigin="5013,5290" coordsize="794,353">
              <v:shape style="position:absolute;left:5013;top:5290;width:794;height:353" coordorigin="5013,5290" coordsize="794,353" path="m5013,5643l5806,5643,5806,5290,5013,5290,5013,5643xe" filled="true" fillcolor="#ffffff" stroked="false">
                <v:path arrowok="t"/>
                <v:fill type="solid"/>
              </v:shape>
            </v:group>
            <w10:wrap type="none"/>
          </v:group>
        </w:pict>
      </w:r>
      <w:r>
        <w:rPr/>
        <w:pict>
          <v:group style="position:absolute;margin-left:621.820007pt;margin-top:250.960007pt;width:55.8pt;height:124.8pt;mso-position-horizontal-relative:page;mso-position-vertical-relative:page;z-index:-882352" coordorigin="12436,5019" coordsize="1116,2496">
            <v:shape style="position:absolute;left:12436;top:5019;width:1116;height:2496" coordorigin="12436,5019" coordsize="1116,2496" path="m12436,7515l13552,7515,13552,5019,12436,5019,12436,7515xe" filled="true" fillcolor="#ffffff" stroked="false">
              <v:path arrowok="t"/>
              <v:fill type="solid"/>
            </v:shape>
            <w10:wrap type="none"/>
          </v:group>
        </w:pict>
      </w:r>
    </w:p>
    <w:tbl>
      <w:tblPr>
        <w:tblW w:w="0" w:type="auto"/>
        <w:jc w:val="left"/>
        <w:tblInd w:w="111" w:type="dxa"/>
        <w:tblLayout w:type="fixed"/>
        <w:tblCellMar>
          <w:top w:w="0" w:type="dxa"/>
          <w:left w:w="0" w:type="dxa"/>
          <w:bottom w:w="0" w:type="dxa"/>
          <w:right w:w="0" w:type="dxa"/>
        </w:tblCellMar>
        <w:tblLook w:val="01E0"/>
      </w:tblPr>
      <w:tblGrid>
        <w:gridCol w:w="1843"/>
        <w:gridCol w:w="1985"/>
        <w:gridCol w:w="851"/>
        <w:gridCol w:w="6597"/>
        <w:gridCol w:w="1127"/>
        <w:gridCol w:w="1121"/>
        <w:gridCol w:w="1106"/>
      </w:tblGrid>
      <w:tr>
        <w:trPr>
          <w:trHeight w:val="689" w:hRule="exact"/>
        </w:trPr>
        <w:tc>
          <w:tcPr>
            <w:tcW w:w="1843" w:type="dxa"/>
            <w:vMerge w:val="restart"/>
            <w:tcBorders>
              <w:top w:val="single" w:sz="15" w:space="0" w:color="000000"/>
              <w:left w:val="single" w:sz="4" w:space="0" w:color="000000"/>
              <w:right w:val="single" w:sz="4" w:space="0" w:color="000000"/>
            </w:tcBorders>
            <w:shd w:val="clear" w:color="auto" w:fill="D2D2D2"/>
          </w:tcPr>
          <w:p>
            <w:pPr/>
          </w:p>
        </w:tc>
        <w:tc>
          <w:tcPr>
            <w:tcW w:w="1985" w:type="dxa"/>
            <w:tcBorders>
              <w:top w:val="single" w:sz="15" w:space="0" w:color="000000"/>
              <w:left w:val="single" w:sz="4" w:space="0" w:color="000000"/>
              <w:bottom w:val="single" w:sz="4" w:space="0" w:color="000000"/>
              <w:right w:val="single" w:sz="4" w:space="0" w:color="000000"/>
            </w:tcBorders>
          </w:tcPr>
          <w:p>
            <w:pPr/>
          </w:p>
        </w:tc>
        <w:tc>
          <w:tcPr>
            <w:tcW w:w="851" w:type="dxa"/>
            <w:tcBorders>
              <w:top w:val="single" w:sz="15" w:space="0" w:color="000000"/>
              <w:left w:val="single" w:sz="4" w:space="0" w:color="000000"/>
              <w:bottom w:val="single" w:sz="4" w:space="0" w:color="000000"/>
              <w:right w:val="single" w:sz="4" w:space="0" w:color="000000"/>
            </w:tcBorders>
          </w:tcPr>
          <w:p>
            <w:pPr/>
          </w:p>
        </w:tc>
        <w:tc>
          <w:tcPr>
            <w:tcW w:w="6597" w:type="dxa"/>
            <w:tcBorders>
              <w:top w:val="single" w:sz="15" w:space="0" w:color="000000"/>
              <w:left w:val="single" w:sz="4" w:space="0" w:color="000000"/>
              <w:bottom w:val="single" w:sz="4" w:space="0" w:color="000000"/>
              <w:right w:val="single" w:sz="4" w:space="0" w:color="000000"/>
            </w:tcBorders>
          </w:tcPr>
          <w:p>
            <w:pPr>
              <w:pStyle w:val="TableParagraph"/>
              <w:spacing w:line="302" w:lineRule="auto" w:before="10"/>
              <w:ind w:left="22"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函持续有效。</w:t>
            </w:r>
            <w:r>
              <w:rPr>
                <w:rFonts w:ascii="Times New Roman" w:hAnsi="Times New Roman" w:cs="Times New Roman" w:eastAsia="Times New Roman" w:hint="default"/>
                <w:sz w:val="18"/>
                <w:szCs w:val="18"/>
              </w:rPr>
              <w:t>4</w:t>
            </w:r>
            <w:r>
              <w:rPr>
                <w:rFonts w:ascii="宋体" w:hAnsi="宋体" w:cs="宋体" w:eastAsia="宋体" w:hint="default"/>
                <w:sz w:val="18"/>
                <w:szCs w:val="18"/>
              </w:rPr>
              <w:t>、如上述承诺被证明是不真实的或未被遵守</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本人愿意承担因 违反上述承诺而给久其软件造成的全部经济损失。</w:t>
            </w:r>
            <w:r>
              <w:rPr>
                <w:rFonts w:ascii="Times New Roman" w:hAnsi="Times New Roman" w:cs="Times New Roman" w:eastAsia="Times New Roman" w:hint="default"/>
                <w:sz w:val="18"/>
                <w:szCs w:val="18"/>
              </w:rPr>
              <w:t>”</w:t>
            </w:r>
          </w:p>
        </w:tc>
        <w:tc>
          <w:tcPr>
            <w:tcW w:w="1127" w:type="dxa"/>
            <w:tcBorders>
              <w:top w:val="single" w:sz="15" w:space="0" w:color="000000"/>
              <w:left w:val="single" w:sz="4" w:space="0" w:color="000000"/>
              <w:bottom w:val="single" w:sz="4" w:space="0" w:color="000000"/>
              <w:right w:val="single" w:sz="4" w:space="0" w:color="000000"/>
            </w:tcBorders>
          </w:tcPr>
          <w:p>
            <w:pPr/>
          </w:p>
        </w:tc>
        <w:tc>
          <w:tcPr>
            <w:tcW w:w="1121" w:type="dxa"/>
            <w:tcBorders>
              <w:top w:val="single" w:sz="15" w:space="0" w:color="000000"/>
              <w:left w:val="single" w:sz="4" w:space="0" w:color="000000"/>
              <w:bottom w:val="single" w:sz="4" w:space="0" w:color="000000"/>
              <w:right w:val="single" w:sz="4" w:space="0" w:color="000000"/>
            </w:tcBorders>
          </w:tcPr>
          <w:p>
            <w:pPr/>
          </w:p>
        </w:tc>
        <w:tc>
          <w:tcPr>
            <w:tcW w:w="1106" w:type="dxa"/>
            <w:tcBorders>
              <w:top w:val="single" w:sz="15" w:space="0" w:color="000000"/>
              <w:left w:val="single" w:sz="4" w:space="0" w:color="000000"/>
              <w:bottom w:val="single" w:sz="4" w:space="0" w:color="000000"/>
              <w:right w:val="single" w:sz="4" w:space="0" w:color="000000"/>
            </w:tcBorders>
          </w:tcPr>
          <w:p>
            <w:pPr/>
          </w:p>
        </w:tc>
      </w:tr>
      <w:tr>
        <w:trPr>
          <w:trHeight w:val="5706" w:hRule="exact"/>
        </w:trPr>
        <w:tc>
          <w:tcPr>
            <w:tcW w:w="1843" w:type="dxa"/>
            <w:vMerge/>
            <w:tcBorders>
              <w:left w:val="single" w:sz="4" w:space="0" w:color="000000"/>
              <w:right w:val="single" w:sz="4" w:space="0" w:color="000000"/>
            </w:tcBorders>
            <w:shd w:val="clear" w:color="auto" w:fill="D2D2D2"/>
          </w:tcPr>
          <w:p>
            <w:pPr/>
          </w:p>
        </w:tc>
        <w:tc>
          <w:tcPr>
            <w:tcW w:w="1985"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46"/>
              <w:jc w:val="left"/>
              <w:rPr>
                <w:rFonts w:ascii="宋体" w:hAnsi="宋体" w:cs="宋体" w:eastAsia="宋体" w:hint="default"/>
                <w:sz w:val="18"/>
                <w:szCs w:val="18"/>
              </w:rPr>
            </w:pPr>
            <w:r>
              <w:rPr>
                <w:rFonts w:ascii="宋体" w:hAnsi="宋体" w:cs="宋体" w:eastAsia="宋体" w:hint="default"/>
                <w:sz w:val="18"/>
                <w:szCs w:val="18"/>
              </w:rPr>
              <w:t>姚立生、陈皞玥、卢昌、 白锐、于大泳、仝敬明、 </w:t>
            </w:r>
            <w:r>
              <w:rPr>
                <w:rFonts w:ascii="宋体" w:hAnsi="宋体" w:cs="宋体" w:eastAsia="宋体" w:hint="default"/>
                <w:spacing w:val="-5"/>
                <w:sz w:val="18"/>
                <w:szCs w:val="18"/>
              </w:rPr>
              <w:t>陈亮、达晨银雷高新（北</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京）创业投资有限公司、 北京辰光致远创业投资 </w:t>
            </w:r>
            <w:r>
              <w:rPr>
                <w:rFonts w:ascii="宋体" w:hAnsi="宋体" w:cs="宋体" w:eastAsia="宋体" w:hint="default"/>
                <w:spacing w:val="-9"/>
                <w:sz w:val="18"/>
                <w:szCs w:val="18"/>
              </w:rPr>
              <w:t>中心（有限合伙）、苏州</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工业园区易联创业投资 基金有限公司、刘海滨、 </w:t>
            </w:r>
            <w:r>
              <w:rPr>
                <w:rFonts w:ascii="宋体" w:hAnsi="宋体" w:cs="宋体" w:eastAsia="宋体" w:hint="default"/>
                <w:spacing w:val="-15"/>
                <w:sz w:val="18"/>
                <w:szCs w:val="18"/>
              </w:rPr>
              <w:t>刘卫国、王邦新、梅志勇、</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1"/>
                <w:sz w:val="18"/>
                <w:szCs w:val="18"/>
              </w:rPr>
              <w:t>肖冰、杨楠、李悦、</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郭超、张晓丽、夏永强、 杨怀兵、陈彪</w:t>
            </w:r>
          </w:p>
        </w:tc>
        <w:tc>
          <w:tcPr>
            <w:tcW w:w="851"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11" w:right="95"/>
              <w:jc w:val="both"/>
              <w:rPr>
                <w:rFonts w:ascii="宋体" w:hAnsi="宋体" w:cs="宋体" w:eastAsia="宋体" w:hint="default"/>
                <w:sz w:val="18"/>
                <w:szCs w:val="18"/>
              </w:rPr>
            </w:pPr>
            <w:r>
              <w:rPr>
                <w:rFonts w:ascii="宋体" w:hAnsi="宋体" w:cs="宋体" w:eastAsia="宋体" w:hint="default"/>
                <w:sz w:val="18"/>
                <w:szCs w:val="18"/>
              </w:rPr>
              <w:t>关于同业 竞争、关 联交易、 资金占用 方面的承 诺</w:t>
            </w:r>
          </w:p>
        </w:tc>
        <w:tc>
          <w:tcPr>
            <w:tcW w:w="659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关于规范关联交易的承诺</w:t>
            </w:r>
            <w:r>
              <w:rPr>
                <w:rFonts w:ascii="宋体" w:hAnsi="宋体" w:cs="宋体" w:eastAsia="宋体" w:hint="default"/>
                <w:spacing w:val="8"/>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本机构承诺将尽量避免或减少与久其软件及其子</w:t>
            </w:r>
            <w:r>
              <w:rPr>
                <w:rFonts w:ascii="宋体" w:hAnsi="宋体" w:cs="宋体" w:eastAsia="宋体" w:hint="default"/>
                <w:sz w:val="18"/>
                <w:szCs w:val="18"/>
              </w:rPr>
              <w:t> 公司之间的关联交易。对于久其软件及其控股子公司、华夏电通及其子公司能够通 过市场与第三方之间发生的交易，将由久其软件及其控股子公司、华夏电通及其子 </w:t>
            </w:r>
            <w:r>
              <w:rPr>
                <w:rFonts w:ascii="宋体" w:hAnsi="宋体" w:cs="宋体" w:eastAsia="宋体" w:hint="default"/>
                <w:spacing w:val="-2"/>
                <w:sz w:val="18"/>
                <w:szCs w:val="18"/>
              </w:rPr>
              <w:t>公司独立与第三方进行；对于本人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本机构及本人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本机构控制的其他企业与久其软件</w:t>
            </w:r>
            <w:r>
              <w:rPr>
                <w:rFonts w:ascii="宋体" w:hAnsi="宋体" w:cs="宋体" w:eastAsia="宋体" w:hint="default"/>
                <w:spacing w:val="-54"/>
                <w:sz w:val="18"/>
                <w:szCs w:val="18"/>
              </w:rPr>
              <w:t> </w:t>
            </w:r>
            <w:r>
              <w:rPr>
                <w:rFonts w:ascii="宋体" w:hAnsi="宋体" w:cs="宋体" w:eastAsia="宋体" w:hint="default"/>
                <w:sz w:val="18"/>
                <w:szCs w:val="18"/>
              </w:rPr>
              <w:t>及其控股子公司、华夏电通及其子公司之间无法避免的关联交易，均将严格遵守市 </w:t>
            </w:r>
            <w:r>
              <w:rPr>
                <w:rFonts w:ascii="宋体" w:hAnsi="宋体" w:cs="宋体" w:eastAsia="宋体" w:hint="default"/>
                <w:spacing w:val="-3"/>
                <w:sz w:val="18"/>
                <w:szCs w:val="18"/>
              </w:rPr>
              <w:t>场化原则，本着平等互利、等价有偿的一般原则，公平合理地进行。</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本机构</w:t>
            </w:r>
            <w:r>
              <w:rPr>
                <w:rFonts w:ascii="宋体" w:hAnsi="宋体" w:cs="宋体" w:eastAsia="宋体" w:hint="default"/>
                <w:spacing w:val="-56"/>
                <w:sz w:val="18"/>
                <w:szCs w:val="18"/>
              </w:rPr>
              <w:t> </w:t>
            </w:r>
            <w:r>
              <w:rPr>
                <w:rFonts w:ascii="宋体" w:hAnsi="宋体" w:cs="宋体" w:eastAsia="宋体" w:hint="default"/>
                <w:sz w:val="18"/>
                <w:szCs w:val="18"/>
              </w:rPr>
              <w:t>特此承诺，本次交易过程中及交易完成后，除开展正常业务所需备用金外，不会以 任何方式占用或使用久其软件及其子公司、华夏电通及其子公司的资金、资产或其 他资源，也不会要求久其软件及其子公司、华夏电通及其子公司为本人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本机构及本 </w:t>
            </w:r>
            <w:r>
              <w:rPr>
                <w:rFonts w:ascii="宋体" w:hAnsi="宋体" w:cs="宋体" w:eastAsia="宋体" w:hint="default"/>
                <w:spacing w:val="-2"/>
                <w:sz w:val="18"/>
                <w:szCs w:val="18"/>
              </w:rPr>
              <w:t>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本机构控制的其他企业代垫款项、代偿债务，本人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本机构不以任何直接或间接的</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4"/>
                <w:sz w:val="18"/>
                <w:szCs w:val="18"/>
              </w:rPr>
              <w:t>方式从事损害或可能损害久其软件及其子公司、华夏电通及其子公司利益的行为；</w:t>
            </w:r>
            <w:r>
              <w:rPr>
                <w:rFonts w:ascii="Times New Roman" w:hAnsi="Times New Roman" w:cs="Times New Roman" w:eastAsia="Times New Roman" w:hint="default"/>
                <w:spacing w:val="-4"/>
                <w:sz w:val="18"/>
                <w:szCs w:val="18"/>
              </w:rPr>
              <w:t>3</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本机构承诺，本人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本机构及本人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本机构控制的其他企业与久其软件及其子公 司、华夏电通及其子公司发生关联交易时，将严格按照有关规定履行审批程序和信 息披露义务，保证不通过关联交易损害久其公司及其子公司、华夏电通及其子公司 及广大中小股东的合法权益。本人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本机构在董事会、或股东大会审议该等关联交易 </w:t>
            </w:r>
            <w:r>
              <w:rPr>
                <w:rFonts w:ascii="宋体" w:hAnsi="宋体" w:cs="宋体" w:eastAsia="宋体" w:hint="default"/>
                <w:spacing w:val="-1"/>
                <w:sz w:val="18"/>
                <w:szCs w:val="18"/>
              </w:rPr>
              <w:t>事项时，主动依法履行回避义务，并在议案通过后方可实施。</w:t>
            </w: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、如果因违反上述承</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诺导致久其软件及其子公司、华夏电通及其子公司或者久其软件广大中小股东利益 损失的，该等损失由本人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本机构承担。</w:t>
            </w:r>
            <w:r>
              <w:rPr>
                <w:rFonts w:ascii="Times New Roman" w:hAnsi="Times New Roman" w:cs="Times New Roman" w:eastAsia="Times New Roman" w:hint="default"/>
                <w:sz w:val="18"/>
                <w:szCs w:val="18"/>
              </w:rPr>
              <w:t>”</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截至报告期 </w:t>
            </w:r>
            <w:r>
              <w:rPr>
                <w:rFonts w:ascii="宋体" w:hAnsi="宋体" w:cs="宋体" w:eastAsia="宋体" w:hint="default"/>
                <w:spacing w:val="-5"/>
                <w:sz w:val="18"/>
                <w:szCs w:val="18"/>
              </w:rPr>
              <w:t>末，承诺方严</w:t>
            </w:r>
            <w:r>
              <w:rPr>
                <w:rFonts w:ascii="宋体" w:hAnsi="宋体" w:cs="宋体" w:eastAsia="宋体" w:hint="default"/>
                <w:sz w:val="18"/>
                <w:szCs w:val="18"/>
              </w:rPr>
              <w:t> 格遵守该承 </w:t>
            </w:r>
            <w:r>
              <w:rPr>
                <w:rFonts w:ascii="宋体" w:hAnsi="宋体" w:cs="宋体" w:eastAsia="宋体" w:hint="default"/>
                <w:spacing w:val="-5"/>
                <w:sz w:val="18"/>
                <w:szCs w:val="18"/>
              </w:rPr>
              <w:t>诺，未有违反</w:t>
            </w:r>
            <w:r>
              <w:rPr>
                <w:rFonts w:ascii="宋体" w:hAnsi="宋体" w:cs="宋体" w:eastAsia="宋体" w:hint="default"/>
                <w:sz w:val="18"/>
                <w:szCs w:val="18"/>
              </w:rPr>
              <w:t> 该承诺的情 况</w:t>
            </w:r>
          </w:p>
        </w:tc>
      </w:tr>
      <w:tr>
        <w:trPr>
          <w:trHeight w:val="1962" w:hRule="exact"/>
        </w:trPr>
        <w:tc>
          <w:tcPr>
            <w:tcW w:w="1843" w:type="dxa"/>
            <w:vMerge/>
            <w:tcBorders>
              <w:left w:val="single" w:sz="4" w:space="0" w:color="000000"/>
              <w:right w:val="single" w:sz="4" w:space="0" w:color="000000"/>
            </w:tcBorders>
            <w:shd w:val="clear" w:color="auto" w:fill="D2D2D2"/>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150"/>
              <w:jc w:val="left"/>
              <w:rPr>
                <w:rFonts w:ascii="宋体" w:hAnsi="宋体" w:cs="宋体" w:eastAsia="宋体" w:hint="default"/>
                <w:sz w:val="18"/>
                <w:szCs w:val="18"/>
              </w:rPr>
            </w:pPr>
            <w:r>
              <w:rPr>
                <w:rFonts w:ascii="宋体" w:hAnsi="宋体" w:cs="宋体" w:eastAsia="宋体" w:hint="default"/>
                <w:sz w:val="18"/>
                <w:szCs w:val="18"/>
              </w:rPr>
              <w:t>北京久其科技投资有限 公司、董泰湘、赵福君</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3" w:right="95"/>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6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06"/>
              <w:ind w:left="22" w:right="20"/>
              <w:jc w:val="both"/>
              <w:rPr>
                <w:rFonts w:ascii="宋体" w:hAnsi="宋体" w:cs="宋体" w:eastAsia="宋体" w:hint="default"/>
                <w:sz w:val="18"/>
                <w:szCs w:val="18"/>
              </w:rPr>
            </w:pPr>
            <w:r>
              <w:rPr>
                <w:rFonts w:ascii="宋体" w:hAnsi="宋体" w:cs="宋体" w:eastAsia="宋体" w:hint="default"/>
                <w:sz w:val="18"/>
                <w:szCs w:val="18"/>
              </w:rPr>
              <w:t>自与募集配套资金事项对应的上市公司股票发行完成之日起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个月内，本公司</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本人</w:t>
            </w:r>
            <w:r>
              <w:rPr>
                <w:rFonts w:ascii="宋体" w:hAnsi="宋体" w:cs="宋体" w:eastAsia="宋体" w:hint="default"/>
                <w:sz w:val="18"/>
                <w:szCs w:val="18"/>
              </w:rPr>
              <w:t> 不转让或通过二级市场减持本公司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本人已经持有的及通过本次交易取得的久其软件 的全部股份</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截至报告期 </w:t>
            </w:r>
            <w:r>
              <w:rPr>
                <w:rFonts w:ascii="宋体" w:hAnsi="宋体" w:cs="宋体" w:eastAsia="宋体" w:hint="default"/>
                <w:spacing w:val="-5"/>
                <w:sz w:val="18"/>
                <w:szCs w:val="18"/>
              </w:rPr>
              <w:t>末，承诺方严</w:t>
            </w:r>
            <w:r>
              <w:rPr>
                <w:rFonts w:ascii="宋体" w:hAnsi="宋体" w:cs="宋体" w:eastAsia="宋体" w:hint="default"/>
                <w:sz w:val="18"/>
                <w:szCs w:val="18"/>
              </w:rPr>
              <w:t> 格遵守该承 </w:t>
            </w:r>
            <w:r>
              <w:rPr>
                <w:rFonts w:ascii="宋体" w:hAnsi="宋体" w:cs="宋体" w:eastAsia="宋体" w:hint="default"/>
                <w:spacing w:val="-5"/>
                <w:sz w:val="18"/>
                <w:szCs w:val="18"/>
              </w:rPr>
              <w:t>诺，未有违反</w:t>
            </w:r>
            <w:r>
              <w:rPr>
                <w:rFonts w:ascii="宋体" w:hAnsi="宋体" w:cs="宋体" w:eastAsia="宋体" w:hint="default"/>
                <w:sz w:val="18"/>
                <w:szCs w:val="18"/>
              </w:rPr>
              <w:t> 该承诺的情 况</w:t>
            </w:r>
          </w:p>
        </w:tc>
      </w:tr>
      <w:tr>
        <w:trPr>
          <w:trHeight w:val="986" w:hRule="exact"/>
        </w:trPr>
        <w:tc>
          <w:tcPr>
            <w:tcW w:w="1843" w:type="dxa"/>
            <w:vMerge/>
            <w:tcBorders>
              <w:left w:val="single" w:sz="4" w:space="0" w:color="000000"/>
              <w:bottom w:val="single" w:sz="4" w:space="0" w:color="000000"/>
              <w:right w:val="single" w:sz="4" w:space="0" w:color="000000"/>
            </w:tcBorders>
            <w:shd w:val="clear" w:color="auto" w:fill="D2D2D2"/>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150"/>
              <w:jc w:val="left"/>
              <w:rPr>
                <w:rFonts w:ascii="宋体" w:hAnsi="宋体" w:cs="宋体" w:eastAsia="宋体" w:hint="default"/>
                <w:sz w:val="18"/>
                <w:szCs w:val="18"/>
              </w:rPr>
            </w:pPr>
            <w:r>
              <w:rPr>
                <w:rFonts w:ascii="宋体" w:hAnsi="宋体" w:cs="宋体" w:eastAsia="宋体" w:hint="default"/>
                <w:sz w:val="18"/>
                <w:szCs w:val="18"/>
              </w:rPr>
              <w:t>北京久其科技投资有限 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3" w:right="95"/>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6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82"/>
              <w:jc w:val="left"/>
              <w:rPr>
                <w:rFonts w:ascii="宋体" w:hAnsi="宋体" w:cs="宋体" w:eastAsia="宋体" w:hint="default"/>
                <w:sz w:val="18"/>
                <w:szCs w:val="18"/>
              </w:rPr>
            </w:pPr>
            <w:r>
              <w:rPr>
                <w:rFonts w:ascii="宋体" w:hAnsi="宋体" w:cs="宋体" w:eastAsia="宋体" w:hint="default"/>
                <w:sz w:val="18"/>
                <w:szCs w:val="18"/>
              </w:rPr>
              <w:t>承诺以非公开发行股份方式认购的亿起联科技重组项目募集配套资金对应的股票锁 定期为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截至报告期 </w:t>
            </w:r>
            <w:r>
              <w:rPr>
                <w:rFonts w:ascii="宋体" w:hAnsi="宋体" w:cs="宋体" w:eastAsia="宋体" w:hint="default"/>
                <w:spacing w:val="-5"/>
                <w:sz w:val="18"/>
                <w:szCs w:val="18"/>
              </w:rPr>
              <w:t>末，承诺方严</w:t>
            </w:r>
            <w:r>
              <w:rPr>
                <w:rFonts w:ascii="宋体" w:hAnsi="宋体" w:cs="宋体" w:eastAsia="宋体" w:hint="default"/>
                <w:sz w:val="18"/>
                <w:szCs w:val="18"/>
              </w:rPr>
              <w:t> 格遵守该承</w:t>
            </w:r>
          </w:p>
        </w:tc>
      </w:tr>
    </w:tbl>
    <w:p>
      <w:pPr>
        <w:spacing w:after="0" w:line="316" w:lineRule="auto"/>
        <w:jc w:val="left"/>
        <w:rPr>
          <w:rFonts w:ascii="宋体" w:hAnsi="宋体" w:cs="宋体" w:eastAsia="宋体" w:hint="default"/>
          <w:sz w:val="18"/>
          <w:szCs w:val="18"/>
        </w:rPr>
        <w:sectPr>
          <w:pgSz w:w="16840" w:h="11910" w:orient="landscape"/>
          <w:pgMar w:header="867" w:footer="979" w:top="1060" w:bottom="1160" w:left="1040" w:right="0"/>
        </w:sectPr>
      </w:pPr>
    </w:p>
    <w:p>
      <w:pPr>
        <w:spacing w:line="240" w:lineRule="auto" w:before="4"/>
        <w:rPr>
          <w:rFonts w:ascii="Times New Roman" w:hAnsi="Times New Roman" w:cs="Times New Roman" w:eastAsia="Times New Roman" w:hint="default"/>
          <w:sz w:val="3"/>
          <w:szCs w:val="3"/>
        </w:rPr>
      </w:pPr>
      <w:r>
        <w:rPr/>
        <w:pict>
          <v:shape style="position:absolute;margin-left:444.679993pt;margin-top:365.140015pt;width:232.95pt;height:61.4pt;mso-position-horizontal-relative:page;mso-position-vertical-relative:page;z-index:-88232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22"/>
                      <w:szCs w:val="22"/>
                    </w:rPr>
                  </w:pPr>
                </w:p>
                <w:p>
                  <w:pPr>
                    <w:pStyle w:val="BodyText"/>
                    <w:spacing w:line="240" w:lineRule="auto"/>
                    <w:ind w:left="0" w:right="0"/>
                    <w:jc w:val="left"/>
                  </w:pPr>
                  <w:r>
                    <w:rPr/>
                    <w:t>相似或在商业上构成任何竞争的业务及活动，</w:t>
                  </w:r>
                </w:p>
              </w:txbxContent>
            </v:textbox>
            <w10:wrap type="none"/>
          </v:shape>
        </w:pict>
      </w:r>
      <w:r>
        <w:rPr/>
        <w:pict>
          <v:shape style="position:absolute;margin-left:426.679993pt;margin-top:461.76001pt;width:250.95pt;height:61.4pt;mso-position-horizontal-relative:page;mso-position-vertical-relative:page;z-index:-88230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26"/>
                      <w:szCs w:val="26"/>
                    </w:rPr>
                  </w:pPr>
                </w:p>
                <w:p>
                  <w:pPr>
                    <w:pStyle w:val="BodyText"/>
                    <w:spacing w:line="240" w:lineRule="auto"/>
                    <w:ind w:left="0" w:right="0"/>
                    <w:jc w:val="left"/>
                  </w:pPr>
                  <w:r>
                    <w:rPr/>
                    <w:t>或者将相竞争的业务无偿转让给久其软件的方式，</w:t>
                  </w:r>
                </w:p>
              </w:txbxContent>
            </v:textbox>
            <w10:wrap type="none"/>
          </v:shape>
        </w:pict>
      </w:r>
      <w:r>
        <w:rPr/>
        <w:pict>
          <v:group style="position:absolute;margin-left:621.820007pt;margin-top:365.140015pt;width:55.8pt;height:61.4pt;mso-position-horizontal-relative:page;mso-position-vertical-relative:page;z-index:-882280" coordorigin="12436,7303" coordsize="1116,1228">
            <v:shape style="position:absolute;left:12436;top:7303;width:1116;height:1228" coordorigin="12436,7303" coordsize="1116,1228" path="m12436,8531l13552,8531,13552,7303,12436,7303,12436,8531xe" filled="true" fillcolor="#ffffff" stroked="false">
              <v:path arrowok="t"/>
              <v:fill type="solid"/>
            </v:shape>
            <w10:wrap type="none"/>
          </v:group>
        </w:pict>
      </w:r>
      <w:r>
        <w:rPr/>
        <w:pict>
          <v:group style="position:absolute;margin-left:621.820007pt;margin-top:461.76001pt;width:55.8pt;height:61.4pt;mso-position-horizontal-relative:page;mso-position-vertical-relative:page;z-index:-882256" coordorigin="12436,9235" coordsize="1116,1228">
            <v:shape style="position:absolute;left:12436;top:9235;width:1116;height:1228" coordorigin="12436,9235" coordsize="1116,1228" path="m12436,10463l13552,10463,13552,9235,12436,9235,12436,10463xe" filled="true" fillcolor="#ffffff" stroked="false">
              <v:path arrowok="t"/>
              <v:fill type="solid"/>
            </v:shape>
            <w10:wrap type="none"/>
          </v:group>
        </w:pict>
      </w:r>
    </w:p>
    <w:tbl>
      <w:tblPr>
        <w:tblW w:w="0" w:type="auto"/>
        <w:jc w:val="left"/>
        <w:tblInd w:w="111" w:type="dxa"/>
        <w:tblLayout w:type="fixed"/>
        <w:tblCellMar>
          <w:top w:w="0" w:type="dxa"/>
          <w:left w:w="0" w:type="dxa"/>
          <w:bottom w:w="0" w:type="dxa"/>
          <w:right w:w="0" w:type="dxa"/>
        </w:tblCellMar>
        <w:tblLook w:val="01E0"/>
      </w:tblPr>
      <w:tblGrid>
        <w:gridCol w:w="1843"/>
        <w:gridCol w:w="1985"/>
        <w:gridCol w:w="851"/>
        <w:gridCol w:w="6597"/>
        <w:gridCol w:w="1127"/>
        <w:gridCol w:w="1121"/>
        <w:gridCol w:w="1106"/>
      </w:tblGrid>
      <w:tr>
        <w:trPr>
          <w:trHeight w:val="332" w:hRule="exact"/>
        </w:trPr>
        <w:tc>
          <w:tcPr>
            <w:tcW w:w="1843" w:type="dxa"/>
            <w:vMerge w:val="restart"/>
            <w:tcBorders>
              <w:top w:val="single" w:sz="15" w:space="0" w:color="000000"/>
              <w:left w:val="single" w:sz="4" w:space="0" w:color="000000"/>
              <w:right w:val="single" w:sz="4" w:space="0" w:color="000000"/>
            </w:tcBorders>
            <w:shd w:val="clear" w:color="auto" w:fill="D2D2D2"/>
          </w:tcPr>
          <w:p>
            <w:pPr/>
          </w:p>
        </w:tc>
        <w:tc>
          <w:tcPr>
            <w:tcW w:w="1985" w:type="dxa"/>
            <w:vMerge w:val="restart"/>
            <w:tcBorders>
              <w:top w:val="single" w:sz="15" w:space="0" w:color="000000"/>
              <w:left w:val="single" w:sz="4" w:space="0" w:color="000000"/>
              <w:right w:val="single" w:sz="4" w:space="0" w:color="000000"/>
            </w:tcBorders>
          </w:tcPr>
          <w:p>
            <w:pPr/>
          </w:p>
        </w:tc>
        <w:tc>
          <w:tcPr>
            <w:tcW w:w="851" w:type="dxa"/>
            <w:vMerge w:val="restart"/>
            <w:tcBorders>
              <w:top w:val="single" w:sz="15" w:space="0" w:color="000000"/>
              <w:left w:val="single" w:sz="4" w:space="0" w:color="000000"/>
              <w:right w:val="single" w:sz="4" w:space="0" w:color="000000"/>
            </w:tcBorders>
          </w:tcPr>
          <w:p>
            <w:pPr/>
          </w:p>
        </w:tc>
        <w:tc>
          <w:tcPr>
            <w:tcW w:w="6597" w:type="dxa"/>
            <w:vMerge w:val="restart"/>
            <w:tcBorders>
              <w:top w:val="single" w:sz="15" w:space="0" w:color="000000"/>
              <w:left w:val="single" w:sz="4" w:space="0" w:color="000000"/>
              <w:right w:val="single" w:sz="4" w:space="0" w:color="000000"/>
            </w:tcBorders>
          </w:tcPr>
          <w:p>
            <w:pPr/>
          </w:p>
        </w:tc>
        <w:tc>
          <w:tcPr>
            <w:tcW w:w="1127" w:type="dxa"/>
            <w:vMerge w:val="restart"/>
            <w:tcBorders>
              <w:top w:val="single" w:sz="15" w:space="0" w:color="000000"/>
              <w:left w:val="single" w:sz="4" w:space="0" w:color="000000"/>
              <w:right w:val="single" w:sz="4" w:space="0" w:color="000000"/>
            </w:tcBorders>
          </w:tcPr>
          <w:p>
            <w:pPr/>
          </w:p>
        </w:tc>
        <w:tc>
          <w:tcPr>
            <w:tcW w:w="1121" w:type="dxa"/>
            <w:vMerge w:val="restart"/>
            <w:tcBorders>
              <w:top w:val="single" w:sz="15" w:space="0" w:color="000000"/>
              <w:left w:val="single" w:sz="4" w:space="0" w:color="000000"/>
              <w:right w:val="single" w:sz="4" w:space="0" w:color="000000"/>
            </w:tcBorders>
          </w:tcPr>
          <w:p>
            <w:pPr/>
          </w:p>
        </w:tc>
        <w:tc>
          <w:tcPr>
            <w:tcW w:w="1106"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诺，未有违反</w:t>
            </w:r>
          </w:p>
        </w:tc>
      </w:tr>
      <w:tr>
        <w:trPr>
          <w:trHeight w:val="313" w:hRule="exact"/>
        </w:trPr>
        <w:tc>
          <w:tcPr>
            <w:tcW w:w="1843" w:type="dxa"/>
            <w:vMerge/>
            <w:tcBorders>
              <w:left w:val="single" w:sz="4" w:space="0" w:color="000000"/>
              <w:right w:val="single" w:sz="4" w:space="0" w:color="000000"/>
            </w:tcBorders>
            <w:shd w:val="clear" w:color="auto" w:fill="D2D2D2"/>
          </w:tcPr>
          <w:p>
            <w:pPr/>
          </w:p>
        </w:tc>
        <w:tc>
          <w:tcPr>
            <w:tcW w:w="1985"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6597"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该承诺的情</w:t>
            </w:r>
          </w:p>
        </w:tc>
      </w:tr>
      <w:tr>
        <w:trPr>
          <w:trHeight w:val="357" w:hRule="exact"/>
        </w:trPr>
        <w:tc>
          <w:tcPr>
            <w:tcW w:w="1843" w:type="dxa"/>
            <w:vMerge/>
            <w:tcBorders>
              <w:left w:val="single" w:sz="4" w:space="0" w:color="000000"/>
              <w:right w:val="single" w:sz="4" w:space="0" w:color="000000"/>
            </w:tcBorders>
            <w:shd w:val="clear" w:color="auto" w:fill="D2D2D2"/>
          </w:tcPr>
          <w:p>
            <w:pPr/>
          </w:p>
        </w:tc>
        <w:tc>
          <w:tcPr>
            <w:tcW w:w="1985"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6597" w:type="dxa"/>
            <w:vMerge/>
            <w:tcBorders>
              <w:left w:val="single" w:sz="4" w:space="0" w:color="000000"/>
              <w:bottom w:val="single" w:sz="4" w:space="0" w:color="000000"/>
              <w:right w:val="single" w:sz="4" w:space="0" w:color="000000"/>
            </w:tcBorders>
          </w:tcPr>
          <w:p>
            <w:pPr/>
          </w:p>
        </w:tc>
        <w:tc>
          <w:tcPr>
            <w:tcW w:w="1127"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况</w:t>
            </w:r>
          </w:p>
        </w:tc>
      </w:tr>
      <w:tr>
        <w:trPr>
          <w:trHeight w:val="357" w:hRule="exact"/>
        </w:trPr>
        <w:tc>
          <w:tcPr>
            <w:tcW w:w="1843" w:type="dxa"/>
            <w:vMerge/>
            <w:tcBorders>
              <w:left w:val="single" w:sz="4" w:space="0" w:color="000000"/>
              <w:right w:val="single" w:sz="4" w:space="0" w:color="000000"/>
            </w:tcBorders>
            <w:shd w:val="clear" w:color="auto" w:fill="D2D2D2"/>
          </w:tcPr>
          <w:p>
            <w:pPr/>
          </w:p>
        </w:tc>
        <w:tc>
          <w:tcPr>
            <w:tcW w:w="1985"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6597" w:type="dxa"/>
            <w:tcBorders>
              <w:top w:val="single" w:sz="4" w:space="0" w:color="000000"/>
              <w:left w:val="single" w:sz="4" w:space="0" w:color="000000"/>
              <w:bottom w:val="nil" w:sz="6" w:space="0" w:color="auto"/>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截至报告期</w:t>
            </w:r>
          </w:p>
        </w:tc>
      </w:tr>
      <w:tr>
        <w:trPr>
          <w:trHeight w:val="1248" w:hRule="exact"/>
        </w:trPr>
        <w:tc>
          <w:tcPr>
            <w:tcW w:w="1843" w:type="dxa"/>
            <w:vMerge/>
            <w:tcBorders>
              <w:left w:val="single" w:sz="4" w:space="0" w:color="000000"/>
              <w:right w:val="single" w:sz="4" w:space="0" w:color="000000"/>
            </w:tcBorders>
            <w:shd w:val="clear" w:color="auto" w:fill="D2D2D2"/>
          </w:tcPr>
          <w:p>
            <w:pP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王新、李勇</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3" w:right="95"/>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65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09" w:lineRule="auto"/>
              <w:ind w:left="22" w:right="20"/>
              <w:jc w:val="both"/>
              <w:rPr>
                <w:rFonts w:ascii="宋体" w:hAnsi="宋体" w:cs="宋体" w:eastAsia="宋体" w:hint="default"/>
                <w:sz w:val="18"/>
                <w:szCs w:val="18"/>
              </w:rPr>
            </w:pPr>
            <w:r>
              <w:rPr>
                <w:rFonts w:ascii="宋体" w:hAnsi="宋体" w:cs="宋体" w:eastAsia="宋体" w:hint="default"/>
                <w:sz w:val="18"/>
                <w:szCs w:val="18"/>
              </w:rPr>
              <w:t>交易对方王新、李勇承诺，上市公司向王新、李勇发行的股份，自本次发行上市之 日起</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pacing w:val="-5"/>
                <w:sz w:val="18"/>
                <w:szCs w:val="18"/>
              </w:rPr>
              <w:t>个月内不转让。</w:t>
            </w:r>
            <w:r>
              <w:rPr>
                <w:rFonts w:ascii="Times New Roman" w:hAnsi="Times New Roman" w:cs="Times New Roman" w:eastAsia="Times New Roman" w:hint="default"/>
                <w:spacing w:val="-5"/>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个月后，交易对方在本次交易所取得的上市公司定向发行 的股份分五期按照交易协议的约定解除限售</w:t>
            </w: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0"/>
              <w:jc w:val="left"/>
              <w:rPr>
                <w:rFonts w:ascii="宋体" w:hAnsi="宋体" w:cs="宋体" w:eastAsia="宋体" w:hint="default"/>
                <w:sz w:val="18"/>
                <w:szCs w:val="18"/>
              </w:rPr>
            </w:pPr>
            <w:r>
              <w:rPr>
                <w:rFonts w:ascii="宋体" w:hAnsi="宋体" w:cs="宋体" w:eastAsia="宋体" w:hint="default"/>
                <w:spacing w:val="-5"/>
                <w:sz w:val="18"/>
                <w:szCs w:val="18"/>
              </w:rPr>
              <w:t>末，承诺方严</w:t>
            </w:r>
            <w:r>
              <w:rPr>
                <w:rFonts w:ascii="宋体" w:hAnsi="宋体" w:cs="宋体" w:eastAsia="宋体" w:hint="default"/>
                <w:sz w:val="18"/>
                <w:szCs w:val="18"/>
              </w:rPr>
              <w:t> 格遵守该承 </w:t>
            </w:r>
            <w:r>
              <w:rPr>
                <w:rFonts w:ascii="宋体" w:hAnsi="宋体" w:cs="宋体" w:eastAsia="宋体" w:hint="default"/>
                <w:spacing w:val="-5"/>
                <w:sz w:val="18"/>
                <w:szCs w:val="18"/>
              </w:rPr>
              <w:t>诺，未有违反</w:t>
            </w:r>
            <w:r>
              <w:rPr>
                <w:rFonts w:ascii="宋体" w:hAnsi="宋体" w:cs="宋体" w:eastAsia="宋体" w:hint="default"/>
                <w:sz w:val="18"/>
                <w:szCs w:val="18"/>
              </w:rPr>
              <w:t> 该承诺的情</w:t>
            </w:r>
          </w:p>
        </w:tc>
      </w:tr>
      <w:tr>
        <w:trPr>
          <w:trHeight w:val="357" w:hRule="exact"/>
        </w:trPr>
        <w:tc>
          <w:tcPr>
            <w:tcW w:w="1843" w:type="dxa"/>
            <w:vMerge/>
            <w:tcBorders>
              <w:left w:val="single" w:sz="4" w:space="0" w:color="000000"/>
              <w:right w:val="single" w:sz="4" w:space="0" w:color="000000"/>
            </w:tcBorders>
            <w:shd w:val="clear" w:color="auto" w:fill="D2D2D2"/>
          </w:tcPr>
          <w:p>
            <w:pPr/>
          </w:p>
        </w:tc>
        <w:tc>
          <w:tcPr>
            <w:tcW w:w="1985"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6597" w:type="dxa"/>
            <w:tcBorders>
              <w:top w:val="nil" w:sz="6" w:space="0" w:color="auto"/>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况</w:t>
            </w:r>
          </w:p>
        </w:tc>
      </w:tr>
      <w:tr>
        <w:trPr>
          <w:trHeight w:val="357" w:hRule="exact"/>
        </w:trPr>
        <w:tc>
          <w:tcPr>
            <w:tcW w:w="1843" w:type="dxa"/>
            <w:vMerge/>
            <w:tcBorders>
              <w:left w:val="single" w:sz="4" w:space="0" w:color="000000"/>
              <w:right w:val="single" w:sz="4" w:space="0" w:color="000000"/>
            </w:tcBorders>
            <w:shd w:val="clear" w:color="auto" w:fill="D2D2D2"/>
          </w:tcPr>
          <w:p>
            <w:pPr/>
          </w:p>
        </w:tc>
        <w:tc>
          <w:tcPr>
            <w:tcW w:w="1985"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65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①业绩补偿期内，亿起联科技每年度实现的经审计的合并报表口径下归属于母公司</w:t>
            </w:r>
          </w:p>
        </w:tc>
        <w:tc>
          <w:tcPr>
            <w:tcW w:w="1127"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6"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843" w:type="dxa"/>
            <w:vMerge/>
            <w:tcBorders>
              <w:left w:val="single" w:sz="4" w:space="0" w:color="000000"/>
              <w:right w:val="single" w:sz="4" w:space="0" w:color="000000"/>
            </w:tcBorders>
            <w:shd w:val="clear" w:color="auto" w:fill="D2D2D2"/>
          </w:tcPr>
          <w:p>
            <w:pPr/>
          </w:p>
        </w:tc>
        <w:tc>
          <w:tcPr>
            <w:tcW w:w="1985"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65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股东的净利润（以扣除非经常性损益前后孰低者为准）</w:t>
            </w:r>
            <w:r>
              <w:rPr>
                <w:rFonts w:ascii="Times New Roman" w:hAnsi="Times New Roman" w:cs="Times New Roman" w:eastAsia="Times New Roman" w:hint="default"/>
                <w:sz w:val="18"/>
                <w:szCs w:val="18"/>
              </w:rPr>
              <w:t>2014 </w:t>
            </w:r>
            <w:r>
              <w:rPr>
                <w:rFonts w:ascii="宋体" w:hAnsi="宋体" w:cs="宋体" w:eastAsia="宋体" w:hint="default"/>
                <w:spacing w:val="-3"/>
                <w:sz w:val="18"/>
                <w:szCs w:val="18"/>
              </w:rPr>
              <w:t>年度、</w:t>
            </w:r>
            <w:r>
              <w:rPr>
                <w:rFonts w:ascii="Times New Roman" w:hAnsi="Times New Roman" w:cs="Times New Roman" w:eastAsia="Times New Roman" w:hint="default"/>
                <w:spacing w:val="-3"/>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年度、</w:t>
            </w:r>
            <w:r>
              <w:rPr>
                <w:rFonts w:ascii="Times New Roman" w:hAnsi="Times New Roman" w:cs="Times New Roman" w:eastAsia="Times New Roman" w:hint="default"/>
                <w:spacing w:val="-3"/>
                <w:sz w:val="18"/>
                <w:szCs w:val="18"/>
              </w:rPr>
              <w:t>2016</w:t>
            </w:r>
          </w:p>
        </w:tc>
        <w:tc>
          <w:tcPr>
            <w:tcW w:w="1127"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3" w:type="dxa"/>
            <w:vMerge/>
            <w:tcBorders>
              <w:left w:val="single" w:sz="4" w:space="0" w:color="000000"/>
              <w:right w:val="single" w:sz="4" w:space="0" w:color="000000"/>
            </w:tcBorders>
            <w:shd w:val="clear" w:color="auto" w:fill="D2D2D2"/>
          </w:tcPr>
          <w:p>
            <w:pPr/>
          </w:p>
        </w:tc>
        <w:tc>
          <w:tcPr>
            <w:tcW w:w="1985"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65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年度、</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年度分别不低于人民币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6,750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8,430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127"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截至报告期</w:t>
            </w:r>
          </w:p>
        </w:tc>
      </w:tr>
      <w:tr>
        <w:trPr>
          <w:trHeight w:val="1248" w:hRule="exact"/>
        </w:trPr>
        <w:tc>
          <w:tcPr>
            <w:tcW w:w="1843" w:type="dxa"/>
            <w:vMerge/>
            <w:tcBorders>
              <w:left w:val="single" w:sz="4" w:space="0" w:color="000000"/>
              <w:right w:val="single" w:sz="4" w:space="0" w:color="000000"/>
            </w:tcBorders>
            <w:shd w:val="clear" w:color="auto" w:fill="D2D2D2"/>
          </w:tcPr>
          <w:p>
            <w:pP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王新、李勇</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3" w:right="95"/>
              <w:jc w:val="both"/>
              <w:rPr>
                <w:rFonts w:ascii="宋体" w:hAnsi="宋体" w:cs="宋体" w:eastAsia="宋体" w:hint="default"/>
                <w:sz w:val="18"/>
                <w:szCs w:val="18"/>
              </w:rPr>
            </w:pPr>
            <w:r>
              <w:rPr>
                <w:rFonts w:ascii="宋体" w:hAnsi="宋体" w:cs="宋体" w:eastAsia="宋体" w:hint="default"/>
                <w:sz w:val="18"/>
                <w:szCs w:val="18"/>
              </w:rPr>
              <w:t>业绩承诺 及补偿安 排</w:t>
            </w:r>
          </w:p>
        </w:tc>
        <w:tc>
          <w:tcPr>
            <w:tcW w:w="6597" w:type="dxa"/>
            <w:tcBorders>
              <w:top w:val="nil" w:sz="6" w:space="0" w:color="auto"/>
              <w:left w:val="single" w:sz="4" w:space="0" w:color="000000"/>
              <w:bottom w:val="nil" w:sz="6" w:space="0" w:color="auto"/>
              <w:right w:val="single" w:sz="4" w:space="0" w:color="000000"/>
            </w:tcBorders>
          </w:tcPr>
          <w:p>
            <w:pPr>
              <w:pStyle w:val="TableParagraph"/>
              <w:spacing w:line="312" w:lineRule="auto" w:before="5"/>
              <w:ind w:left="22" w:right="37"/>
              <w:jc w:val="both"/>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年度至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年度期间，若亿起联科技在业绩承诺期任何一个年度未能实 现净利润承诺数，则交易对方同意以上市公司股份及现金对上市公司进行补偿，交 易对方首先进行股份补偿，股份不足的部分用现金补偿。交易对方向上市公司支付 的补偿总额不超过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万元。②在业绩承诺期届满时，若期末亿起联科技的减值</w:t>
            </w: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20"/>
              <w:jc w:val="left"/>
              <w:rPr>
                <w:rFonts w:ascii="宋体" w:hAnsi="宋体" w:cs="宋体" w:eastAsia="宋体" w:hint="default"/>
                <w:sz w:val="18"/>
                <w:szCs w:val="18"/>
              </w:rPr>
            </w:pPr>
            <w:r>
              <w:rPr>
                <w:rFonts w:ascii="宋体" w:hAnsi="宋体" w:cs="宋体" w:eastAsia="宋体" w:hint="default"/>
                <w:spacing w:val="-5"/>
                <w:sz w:val="18"/>
                <w:szCs w:val="18"/>
              </w:rPr>
              <w:t>末，承诺方严</w:t>
            </w:r>
            <w:r>
              <w:rPr>
                <w:rFonts w:ascii="宋体" w:hAnsi="宋体" w:cs="宋体" w:eastAsia="宋体" w:hint="default"/>
                <w:sz w:val="18"/>
                <w:szCs w:val="18"/>
              </w:rPr>
              <w:t> 格遵守该承 </w:t>
            </w:r>
            <w:r>
              <w:rPr>
                <w:rFonts w:ascii="宋体" w:hAnsi="宋体" w:cs="宋体" w:eastAsia="宋体" w:hint="default"/>
                <w:spacing w:val="-5"/>
                <w:sz w:val="18"/>
                <w:szCs w:val="18"/>
              </w:rPr>
              <w:t>诺，未有违反</w:t>
            </w:r>
            <w:r>
              <w:rPr>
                <w:rFonts w:ascii="宋体" w:hAnsi="宋体" w:cs="宋体" w:eastAsia="宋体" w:hint="default"/>
                <w:sz w:val="18"/>
                <w:szCs w:val="18"/>
              </w:rPr>
              <w:t> 该承诺的情</w:t>
            </w:r>
          </w:p>
        </w:tc>
      </w:tr>
      <w:tr>
        <w:trPr>
          <w:trHeight w:val="308" w:hRule="exact"/>
        </w:trPr>
        <w:tc>
          <w:tcPr>
            <w:tcW w:w="1843" w:type="dxa"/>
            <w:vMerge/>
            <w:tcBorders>
              <w:left w:val="single" w:sz="4" w:space="0" w:color="000000"/>
              <w:right w:val="single" w:sz="4" w:space="0" w:color="000000"/>
            </w:tcBorders>
            <w:shd w:val="clear" w:color="auto" w:fill="D2D2D2"/>
          </w:tcPr>
          <w:p>
            <w:pPr/>
          </w:p>
        </w:tc>
        <w:tc>
          <w:tcPr>
            <w:tcW w:w="1985"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65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额大于交易对方已补偿总额，则交易对方同意除前述补偿外另行向上市公司作出资</w:t>
            </w:r>
          </w:p>
        </w:tc>
        <w:tc>
          <w:tcPr>
            <w:tcW w:w="1127"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况</w:t>
            </w:r>
          </w:p>
        </w:tc>
      </w:tr>
      <w:tr>
        <w:trPr>
          <w:trHeight w:val="312" w:hRule="exact"/>
        </w:trPr>
        <w:tc>
          <w:tcPr>
            <w:tcW w:w="1843" w:type="dxa"/>
            <w:vMerge/>
            <w:tcBorders>
              <w:left w:val="single" w:sz="4" w:space="0" w:color="000000"/>
              <w:right w:val="single" w:sz="4" w:space="0" w:color="000000"/>
            </w:tcBorders>
            <w:shd w:val="clear" w:color="auto" w:fill="D2D2D2"/>
          </w:tcPr>
          <w:p>
            <w:pPr/>
          </w:p>
        </w:tc>
        <w:tc>
          <w:tcPr>
            <w:tcW w:w="1985"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65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产减值补偿。资产减值应补偿股份数量与业绩承诺应补偿股份数量之和不超过交易</w:t>
            </w:r>
          </w:p>
        </w:tc>
        <w:tc>
          <w:tcPr>
            <w:tcW w:w="1127"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843" w:type="dxa"/>
            <w:vMerge/>
            <w:tcBorders>
              <w:left w:val="single" w:sz="4" w:space="0" w:color="000000"/>
              <w:right w:val="single" w:sz="4" w:space="0" w:color="000000"/>
            </w:tcBorders>
            <w:shd w:val="clear" w:color="auto" w:fill="D2D2D2"/>
          </w:tcPr>
          <w:p>
            <w:pPr/>
          </w:p>
        </w:tc>
        <w:tc>
          <w:tcPr>
            <w:tcW w:w="1985"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65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对方本次交易实际认购上市公司股份的总量</w:t>
            </w:r>
          </w:p>
        </w:tc>
        <w:tc>
          <w:tcPr>
            <w:tcW w:w="1127"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6"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843" w:type="dxa"/>
            <w:vMerge/>
            <w:tcBorders>
              <w:left w:val="single" w:sz="4" w:space="0" w:color="000000"/>
              <w:right w:val="single" w:sz="4" w:space="0" w:color="000000"/>
            </w:tcBorders>
            <w:shd w:val="clear" w:color="auto" w:fill="D2D2D2"/>
          </w:tcPr>
          <w:p>
            <w:pPr/>
          </w:p>
        </w:tc>
        <w:tc>
          <w:tcPr>
            <w:tcW w:w="1985"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65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关于避免同业竞争的承诺 “</w:t>
            </w:r>
            <w:r>
              <w:rPr>
                <w:rFonts w:ascii="Times New Roman" w:hAnsi="Times New Roman" w:cs="Times New Roman" w:eastAsia="Times New Roman" w:hint="default"/>
                <w:sz w:val="18"/>
                <w:szCs w:val="18"/>
              </w:rPr>
              <w:t>1</w:t>
            </w:r>
            <w:r>
              <w:rPr>
                <w:rFonts w:ascii="宋体" w:hAnsi="宋体" w:cs="宋体" w:eastAsia="宋体" w:hint="default"/>
                <w:sz w:val="18"/>
                <w:szCs w:val="18"/>
              </w:rPr>
              <w:t>、截至本承诺函签署之日，本人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本公司未在，将来也</w:t>
            </w:r>
          </w:p>
        </w:tc>
        <w:tc>
          <w:tcPr>
            <w:tcW w:w="1127"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6" w:type="dxa"/>
            <w:tcBorders>
              <w:top w:val="single" w:sz="4" w:space="0" w:color="000000"/>
              <w:left w:val="single" w:sz="4" w:space="0" w:color="000000"/>
              <w:bottom w:val="nil" w:sz="6" w:space="0" w:color="auto"/>
              <w:right w:val="single" w:sz="4" w:space="0" w:color="000000"/>
            </w:tcBorders>
          </w:tcPr>
          <w:p>
            <w:pPr/>
          </w:p>
        </w:tc>
      </w:tr>
      <w:tr>
        <w:trPr>
          <w:trHeight w:val="297" w:hRule="exact"/>
        </w:trPr>
        <w:tc>
          <w:tcPr>
            <w:tcW w:w="1843" w:type="dxa"/>
            <w:vMerge/>
            <w:tcBorders>
              <w:left w:val="single" w:sz="4" w:space="0" w:color="000000"/>
              <w:right w:val="single" w:sz="4" w:space="0" w:color="000000"/>
            </w:tcBorders>
            <w:shd w:val="clear" w:color="auto" w:fill="D2D2D2"/>
          </w:tcPr>
          <w:p>
            <w:pPr/>
          </w:p>
        </w:tc>
        <w:tc>
          <w:tcPr>
            <w:tcW w:w="1985"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65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不会在中国境内外以任何方式直接或间接从事或参与任何与久其软件及其下属子公</w:t>
            </w:r>
          </w:p>
        </w:tc>
        <w:tc>
          <w:tcPr>
            <w:tcW w:w="1127"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3" w:type="dxa"/>
            <w:vMerge/>
            <w:tcBorders>
              <w:left w:val="single" w:sz="4" w:space="0" w:color="000000"/>
              <w:right w:val="single" w:sz="4" w:space="0" w:color="000000"/>
            </w:tcBorders>
            <w:shd w:val="clear" w:color="auto" w:fill="D2D2D2"/>
          </w:tcPr>
          <w:p>
            <w:pPr/>
          </w:p>
        </w:tc>
        <w:tc>
          <w:tcPr>
            <w:tcW w:w="1985"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关于同业</w:t>
            </w:r>
          </w:p>
        </w:tc>
        <w:tc>
          <w:tcPr>
            <w:tcW w:w="659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司、亿起联科技及其下属子公司相同、</w:t>
            </w:r>
          </w:p>
        </w:tc>
        <w:tc>
          <w:tcPr>
            <w:tcW w:w="1127"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截至报告期</w:t>
            </w:r>
          </w:p>
        </w:tc>
      </w:tr>
      <w:tr>
        <w:trPr>
          <w:trHeight w:val="312" w:hRule="exact"/>
        </w:trPr>
        <w:tc>
          <w:tcPr>
            <w:tcW w:w="1843" w:type="dxa"/>
            <w:vMerge/>
            <w:tcBorders>
              <w:left w:val="single" w:sz="4" w:space="0" w:color="000000"/>
              <w:right w:val="single" w:sz="4" w:space="0" w:color="000000"/>
            </w:tcBorders>
            <w:shd w:val="clear" w:color="auto" w:fill="D2D2D2"/>
          </w:tcPr>
          <w:p>
            <w:pPr/>
          </w:p>
        </w:tc>
        <w:tc>
          <w:tcPr>
            <w:tcW w:w="1985"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竞争、关</w:t>
            </w:r>
          </w:p>
        </w:tc>
        <w:tc>
          <w:tcPr>
            <w:tcW w:w="659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或拥有与久其软件及其下属子公司、亿起联科技及其下属子公司存在竞争关系的任</w:t>
            </w:r>
          </w:p>
        </w:tc>
        <w:tc>
          <w:tcPr>
            <w:tcW w:w="1127"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pacing w:val="-5"/>
                <w:sz w:val="18"/>
                <w:szCs w:val="18"/>
              </w:rPr>
              <w:t>末，承诺方严</w:t>
            </w:r>
          </w:p>
        </w:tc>
      </w:tr>
      <w:tr>
        <w:trPr>
          <w:trHeight w:val="624" w:hRule="exact"/>
        </w:trPr>
        <w:tc>
          <w:tcPr>
            <w:tcW w:w="1843" w:type="dxa"/>
            <w:vMerge/>
            <w:tcBorders>
              <w:left w:val="single" w:sz="4" w:space="0" w:color="000000"/>
              <w:right w:val="single" w:sz="4" w:space="0" w:color="000000"/>
            </w:tcBorders>
            <w:shd w:val="clear" w:color="auto" w:fill="D2D2D2"/>
          </w:tcPr>
          <w:p>
            <w:pP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319" w:lineRule="auto" w:before="1"/>
              <w:ind w:left="22" w:right="150"/>
              <w:jc w:val="left"/>
              <w:rPr>
                <w:rFonts w:ascii="宋体" w:hAnsi="宋体" w:cs="宋体" w:eastAsia="宋体" w:hint="default"/>
                <w:sz w:val="18"/>
                <w:szCs w:val="18"/>
              </w:rPr>
            </w:pPr>
            <w:r>
              <w:rPr>
                <w:rFonts w:ascii="宋体" w:hAnsi="宋体" w:cs="宋体" w:eastAsia="宋体" w:hint="default"/>
                <w:sz w:val="18"/>
                <w:szCs w:val="18"/>
              </w:rPr>
              <w:t>北京久其科技投资有限 公司、王新、李勇</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3" w:right="95"/>
              <w:jc w:val="left"/>
              <w:rPr>
                <w:rFonts w:ascii="宋体" w:hAnsi="宋体" w:cs="宋体" w:eastAsia="宋体" w:hint="default"/>
                <w:sz w:val="18"/>
                <w:szCs w:val="18"/>
              </w:rPr>
            </w:pPr>
            <w:r>
              <w:rPr>
                <w:rFonts w:ascii="宋体" w:hAnsi="宋体" w:cs="宋体" w:eastAsia="宋体" w:hint="default"/>
                <w:sz w:val="18"/>
                <w:szCs w:val="18"/>
              </w:rPr>
              <w:t>联交易、 资金占用</w:t>
            </w:r>
          </w:p>
        </w:tc>
        <w:tc>
          <w:tcPr>
            <w:tcW w:w="6597"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2" w:right="83"/>
              <w:jc w:val="left"/>
              <w:rPr>
                <w:rFonts w:ascii="宋体" w:hAnsi="宋体" w:cs="宋体" w:eastAsia="宋体" w:hint="default"/>
                <w:sz w:val="18"/>
                <w:szCs w:val="18"/>
              </w:rPr>
            </w:pPr>
            <w:r>
              <w:rPr>
                <w:rFonts w:ascii="宋体" w:hAnsi="宋体" w:cs="宋体" w:eastAsia="宋体" w:hint="default"/>
                <w:sz w:val="18"/>
                <w:szCs w:val="18"/>
              </w:rPr>
              <w:t>何经济实体、机构、经济组织的权益，或以其他任何形式取得该经济实体、机构、 经济组织的控制权，或者为该等构成同业竞争关系的经济实体、机构、经济组织以</w:t>
            </w: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2" w:right="20"/>
              <w:jc w:val="left"/>
              <w:rPr>
                <w:rFonts w:ascii="宋体" w:hAnsi="宋体" w:cs="宋体" w:eastAsia="宋体" w:hint="default"/>
                <w:sz w:val="18"/>
                <w:szCs w:val="18"/>
              </w:rPr>
            </w:pPr>
            <w:r>
              <w:rPr>
                <w:rFonts w:ascii="宋体" w:hAnsi="宋体" w:cs="宋体" w:eastAsia="宋体" w:hint="default"/>
                <w:sz w:val="18"/>
                <w:szCs w:val="18"/>
              </w:rPr>
              <w:t>格遵守该承 </w:t>
            </w:r>
            <w:r>
              <w:rPr>
                <w:rFonts w:ascii="宋体" w:hAnsi="宋体" w:cs="宋体" w:eastAsia="宋体" w:hint="default"/>
                <w:spacing w:val="-5"/>
                <w:sz w:val="18"/>
                <w:szCs w:val="18"/>
              </w:rPr>
              <w:t>诺，未有违反</w:t>
            </w:r>
          </w:p>
        </w:tc>
      </w:tr>
      <w:tr>
        <w:trPr>
          <w:trHeight w:val="318" w:hRule="exact"/>
        </w:trPr>
        <w:tc>
          <w:tcPr>
            <w:tcW w:w="1843" w:type="dxa"/>
            <w:vMerge/>
            <w:tcBorders>
              <w:left w:val="single" w:sz="4" w:space="0" w:color="000000"/>
              <w:right w:val="single" w:sz="4" w:space="0" w:color="000000"/>
            </w:tcBorders>
            <w:shd w:val="clear" w:color="auto" w:fill="D2D2D2"/>
          </w:tcPr>
          <w:p>
            <w:pPr/>
          </w:p>
        </w:tc>
        <w:tc>
          <w:tcPr>
            <w:tcW w:w="1985"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方面的承</w:t>
            </w:r>
          </w:p>
        </w:tc>
        <w:tc>
          <w:tcPr>
            <w:tcW w:w="659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劳务、顾问或咨询等方式提供服务。</w:t>
            </w:r>
            <w:r>
              <w:rPr>
                <w:rFonts w:ascii="Times New Roman" w:hAnsi="Times New Roman" w:cs="Times New Roman" w:eastAsia="Times New Roman" w:hint="default"/>
                <w:sz w:val="18"/>
                <w:szCs w:val="18"/>
              </w:rPr>
              <w:t>2</w:t>
            </w:r>
            <w:r>
              <w:rPr>
                <w:rFonts w:ascii="宋体" w:hAnsi="宋体" w:cs="宋体" w:eastAsia="宋体" w:hint="default"/>
                <w:sz w:val="18"/>
                <w:szCs w:val="18"/>
              </w:rPr>
              <w:t>、若发现本人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本公司控制的其</w:t>
            </w:r>
          </w:p>
        </w:tc>
        <w:tc>
          <w:tcPr>
            <w:tcW w:w="1127"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该承诺的情</w:t>
            </w:r>
          </w:p>
        </w:tc>
      </w:tr>
      <w:tr>
        <w:trPr>
          <w:trHeight w:val="316" w:hRule="exact"/>
        </w:trPr>
        <w:tc>
          <w:tcPr>
            <w:tcW w:w="1843" w:type="dxa"/>
            <w:vMerge/>
            <w:tcBorders>
              <w:left w:val="single" w:sz="4" w:space="0" w:color="000000"/>
              <w:right w:val="single" w:sz="4" w:space="0" w:color="000000"/>
            </w:tcBorders>
            <w:shd w:val="clear" w:color="auto" w:fill="D2D2D2"/>
          </w:tcPr>
          <w:p>
            <w:pPr/>
          </w:p>
        </w:tc>
        <w:tc>
          <w:tcPr>
            <w:tcW w:w="1985"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32" w:lineRule="exact"/>
              <w:ind w:left="23" w:right="0"/>
              <w:jc w:val="left"/>
              <w:rPr>
                <w:rFonts w:ascii="宋体" w:hAnsi="宋体" w:cs="宋体" w:eastAsia="宋体" w:hint="default"/>
                <w:sz w:val="18"/>
                <w:szCs w:val="18"/>
              </w:rPr>
            </w:pPr>
            <w:r>
              <w:rPr>
                <w:rFonts w:ascii="宋体" w:hAnsi="宋体" w:cs="宋体" w:eastAsia="宋体" w:hint="default"/>
                <w:sz w:val="18"/>
                <w:szCs w:val="18"/>
              </w:rPr>
              <w:t>诺</w:t>
            </w:r>
          </w:p>
        </w:tc>
        <w:tc>
          <w:tcPr>
            <w:tcW w:w="6597"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left="22" w:right="0"/>
              <w:jc w:val="left"/>
              <w:rPr>
                <w:rFonts w:ascii="宋体" w:hAnsi="宋体" w:cs="宋体" w:eastAsia="宋体" w:hint="default"/>
                <w:sz w:val="18"/>
                <w:szCs w:val="18"/>
              </w:rPr>
            </w:pPr>
            <w:r>
              <w:rPr>
                <w:rFonts w:ascii="宋体" w:hAnsi="宋体" w:cs="宋体" w:eastAsia="宋体" w:hint="default"/>
                <w:sz w:val="18"/>
                <w:szCs w:val="18"/>
              </w:rPr>
              <w:t>他企业在以后任何时间从事与久其软件及其下属子公司、亿起联科技及其下属子公</w:t>
            </w:r>
          </w:p>
        </w:tc>
        <w:tc>
          <w:tcPr>
            <w:tcW w:w="1127"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32" w:lineRule="exact"/>
              <w:ind w:left="22" w:right="0"/>
              <w:jc w:val="left"/>
              <w:rPr>
                <w:rFonts w:ascii="宋体" w:hAnsi="宋体" w:cs="宋体" w:eastAsia="宋体" w:hint="default"/>
                <w:sz w:val="18"/>
                <w:szCs w:val="18"/>
              </w:rPr>
            </w:pPr>
            <w:r>
              <w:rPr>
                <w:rFonts w:ascii="宋体" w:hAnsi="宋体" w:cs="宋体" w:eastAsia="宋体" w:hint="default"/>
                <w:sz w:val="18"/>
                <w:szCs w:val="18"/>
              </w:rPr>
              <w:t>况</w:t>
            </w:r>
          </w:p>
        </w:tc>
      </w:tr>
      <w:tr>
        <w:trPr>
          <w:trHeight w:val="312" w:hRule="exact"/>
        </w:trPr>
        <w:tc>
          <w:tcPr>
            <w:tcW w:w="1843" w:type="dxa"/>
            <w:vMerge/>
            <w:tcBorders>
              <w:left w:val="single" w:sz="4" w:space="0" w:color="000000"/>
              <w:right w:val="single" w:sz="4" w:space="0" w:color="000000"/>
            </w:tcBorders>
            <w:shd w:val="clear" w:color="auto" w:fill="D2D2D2"/>
          </w:tcPr>
          <w:p>
            <w:pPr/>
          </w:p>
        </w:tc>
        <w:tc>
          <w:tcPr>
            <w:tcW w:w="1985"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65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司的产品或业务存在竞争的业务，则本人及本人控制的其他企业承诺将以停止生产</w:t>
            </w:r>
          </w:p>
        </w:tc>
        <w:tc>
          <w:tcPr>
            <w:tcW w:w="1127"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843" w:type="dxa"/>
            <w:vMerge/>
            <w:tcBorders>
              <w:left w:val="single" w:sz="4" w:space="0" w:color="000000"/>
              <w:bottom w:val="single" w:sz="4" w:space="0" w:color="000000"/>
              <w:right w:val="single" w:sz="4" w:space="0" w:color="000000"/>
            </w:tcBorders>
            <w:shd w:val="clear" w:color="auto" w:fill="D2D2D2"/>
          </w:tcPr>
          <w:p>
            <w:pPr/>
          </w:p>
        </w:tc>
        <w:tc>
          <w:tcPr>
            <w:tcW w:w="1985"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65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经营相竞争的业务或产品的方式，</w:t>
            </w:r>
          </w:p>
        </w:tc>
        <w:tc>
          <w:tcPr>
            <w:tcW w:w="1127"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6"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160" w:left="104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1843"/>
        <w:gridCol w:w="1985"/>
        <w:gridCol w:w="851"/>
        <w:gridCol w:w="6597"/>
        <w:gridCol w:w="1127"/>
        <w:gridCol w:w="1121"/>
        <w:gridCol w:w="1106"/>
      </w:tblGrid>
      <w:tr>
        <w:trPr>
          <w:trHeight w:val="1625" w:hRule="exact"/>
        </w:trPr>
        <w:tc>
          <w:tcPr>
            <w:tcW w:w="1843"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1985" w:type="dxa"/>
            <w:tcBorders>
              <w:top w:val="single" w:sz="15" w:space="0" w:color="000000"/>
              <w:left w:val="single" w:sz="4" w:space="0" w:color="000000"/>
              <w:bottom w:val="single" w:sz="4" w:space="0" w:color="000000"/>
              <w:right w:val="single" w:sz="4" w:space="0" w:color="000000"/>
            </w:tcBorders>
          </w:tcPr>
          <w:p>
            <w:pPr/>
          </w:p>
        </w:tc>
        <w:tc>
          <w:tcPr>
            <w:tcW w:w="851" w:type="dxa"/>
            <w:tcBorders>
              <w:top w:val="single" w:sz="15" w:space="0" w:color="000000"/>
              <w:left w:val="single" w:sz="4" w:space="0" w:color="000000"/>
              <w:bottom w:val="single" w:sz="4" w:space="0" w:color="000000"/>
              <w:right w:val="single" w:sz="4" w:space="0" w:color="000000"/>
            </w:tcBorders>
          </w:tcPr>
          <w:p>
            <w:pPr/>
          </w:p>
        </w:tc>
        <w:tc>
          <w:tcPr>
            <w:tcW w:w="6597" w:type="dxa"/>
            <w:tcBorders>
              <w:top w:val="single" w:sz="15" w:space="0" w:color="000000"/>
              <w:left w:val="single" w:sz="4" w:space="0" w:color="000000"/>
              <w:bottom w:val="single" w:sz="4" w:space="0" w:color="000000"/>
              <w:right w:val="single" w:sz="4" w:space="0" w:color="000000"/>
            </w:tcBorders>
          </w:tcPr>
          <w:p>
            <w:pPr>
              <w:pStyle w:val="TableParagraph"/>
              <w:spacing w:line="309" w:lineRule="auto" w:before="10"/>
              <w:ind w:left="22" w:right="77"/>
              <w:jc w:val="both"/>
              <w:rPr>
                <w:rFonts w:ascii="宋体" w:hAnsi="宋体" w:cs="宋体" w:eastAsia="宋体" w:hint="default"/>
                <w:sz w:val="18"/>
                <w:szCs w:val="18"/>
              </w:rPr>
            </w:pPr>
            <w:r>
              <w:rPr>
                <w:rFonts w:ascii="宋体" w:hAnsi="宋体" w:cs="宋体" w:eastAsia="宋体" w:hint="default"/>
                <w:sz w:val="18"/>
                <w:szCs w:val="18"/>
              </w:rPr>
              <w:t>或者将相竞争的业务转让给无关联关系的第三方的方式避免同业竞争。</w:t>
            </w:r>
            <w:r>
              <w:rPr>
                <w:rFonts w:ascii="Times New Roman" w:hAnsi="Times New Roman" w:cs="Times New Roman" w:eastAsia="Times New Roman" w:hint="default"/>
                <w:sz w:val="18"/>
                <w:szCs w:val="18"/>
              </w:rPr>
              <w:t>3</w:t>
            </w:r>
            <w:r>
              <w:rPr>
                <w:rFonts w:ascii="宋体" w:hAnsi="宋体" w:cs="宋体" w:eastAsia="宋体" w:hint="default"/>
                <w:sz w:val="18"/>
                <w:szCs w:val="18"/>
              </w:rPr>
              <w:t>、在本人</w:t>
            </w:r>
            <w:r>
              <w:rPr>
                <w:rFonts w:ascii="Times New Roman" w:hAnsi="Times New Roman" w:cs="Times New Roman" w:eastAsia="Times New Roman" w:hint="default"/>
                <w:sz w:val="18"/>
                <w:szCs w:val="18"/>
              </w:rPr>
              <w:t>/ </w:t>
            </w:r>
            <w:r>
              <w:rPr>
                <w:rFonts w:ascii="宋体" w:hAnsi="宋体" w:cs="宋体" w:eastAsia="宋体" w:hint="default"/>
                <w:sz w:val="18"/>
                <w:szCs w:val="18"/>
              </w:rPr>
              <w:t>本公司持有久其软件及其下属子公司、亿起联科技及其下属子公司股权或者本人在 久其软件及其下属子公司、亿起联科技及其下属子公司任职期间，本承诺函持续有 效。</w:t>
            </w:r>
            <w:r>
              <w:rPr>
                <w:rFonts w:ascii="Times New Roman" w:hAnsi="Times New Roman" w:cs="Times New Roman" w:eastAsia="Times New Roman" w:hint="default"/>
                <w:sz w:val="18"/>
                <w:szCs w:val="18"/>
              </w:rPr>
              <w:t>4</w:t>
            </w:r>
            <w:r>
              <w:rPr>
                <w:rFonts w:ascii="宋体" w:hAnsi="宋体" w:cs="宋体" w:eastAsia="宋体" w:hint="default"/>
                <w:sz w:val="18"/>
                <w:szCs w:val="18"/>
              </w:rPr>
              <w:t>、如上述承诺被证明是不真实的或未被遵守</w:t>
            </w:r>
            <w:r>
              <w:rPr>
                <w:rFonts w:ascii="Times New Roman" w:hAnsi="Times New Roman" w:cs="Times New Roman" w:eastAsia="Times New Roman" w:hint="default"/>
                <w:sz w:val="18"/>
                <w:szCs w:val="18"/>
              </w:rPr>
              <w:t>,</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本公司愿意承担因违反上述 </w:t>
            </w:r>
            <w:r>
              <w:rPr>
                <w:rFonts w:ascii="宋体" w:hAnsi="宋体" w:cs="宋体" w:eastAsia="宋体" w:hint="default"/>
                <w:spacing w:val="-5"/>
                <w:sz w:val="18"/>
                <w:szCs w:val="18"/>
              </w:rPr>
              <w:t>承诺而给久其软件造成的全部经济损失。”</w:t>
            </w:r>
          </w:p>
        </w:tc>
        <w:tc>
          <w:tcPr>
            <w:tcW w:w="1127" w:type="dxa"/>
            <w:tcBorders>
              <w:top w:val="single" w:sz="15" w:space="0" w:color="000000"/>
              <w:left w:val="single" w:sz="4" w:space="0" w:color="000000"/>
              <w:bottom w:val="single" w:sz="4" w:space="0" w:color="000000"/>
              <w:right w:val="single" w:sz="4" w:space="0" w:color="000000"/>
            </w:tcBorders>
          </w:tcPr>
          <w:p>
            <w:pPr/>
          </w:p>
        </w:tc>
        <w:tc>
          <w:tcPr>
            <w:tcW w:w="1121" w:type="dxa"/>
            <w:tcBorders>
              <w:top w:val="single" w:sz="15" w:space="0" w:color="000000"/>
              <w:left w:val="single" w:sz="4" w:space="0" w:color="000000"/>
              <w:bottom w:val="single" w:sz="4" w:space="0" w:color="000000"/>
              <w:right w:val="single" w:sz="4" w:space="0" w:color="000000"/>
            </w:tcBorders>
          </w:tcPr>
          <w:p>
            <w:pPr/>
          </w:p>
        </w:tc>
        <w:tc>
          <w:tcPr>
            <w:tcW w:w="1106" w:type="dxa"/>
            <w:tcBorders>
              <w:top w:val="single" w:sz="15" w:space="0" w:color="000000"/>
              <w:left w:val="single" w:sz="4" w:space="0" w:color="000000"/>
              <w:bottom w:val="single" w:sz="4" w:space="0" w:color="000000"/>
              <w:right w:val="single" w:sz="4" w:space="0" w:color="000000"/>
            </w:tcBorders>
          </w:tcPr>
          <w:p>
            <w:pPr/>
          </w:p>
        </w:tc>
      </w:tr>
      <w:tr>
        <w:trPr>
          <w:trHeight w:val="1962" w:hRule="exact"/>
        </w:trPr>
        <w:tc>
          <w:tcPr>
            <w:tcW w:w="18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89"/>
              <w:jc w:val="left"/>
              <w:rPr>
                <w:rFonts w:ascii="宋体" w:hAnsi="宋体" w:cs="宋体" w:eastAsia="宋体" w:hint="default"/>
                <w:sz w:val="18"/>
                <w:szCs w:val="18"/>
              </w:rPr>
            </w:pPr>
            <w:r>
              <w:rPr>
                <w:rFonts w:ascii="宋体" w:hAnsi="宋体" w:cs="宋体" w:eastAsia="宋体" w:hint="default"/>
                <w:sz w:val="18"/>
                <w:szCs w:val="18"/>
              </w:rPr>
              <w:t>首次公开发行或再融 资时所作承诺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50"/>
              <w:jc w:val="left"/>
              <w:rPr>
                <w:rFonts w:ascii="宋体" w:hAnsi="宋体" w:cs="宋体" w:eastAsia="宋体" w:hint="default"/>
                <w:sz w:val="18"/>
                <w:szCs w:val="18"/>
              </w:rPr>
            </w:pPr>
            <w:r>
              <w:rPr>
                <w:rFonts w:ascii="宋体" w:hAnsi="宋体" w:cs="宋体" w:eastAsia="宋体" w:hint="default"/>
                <w:sz w:val="18"/>
                <w:szCs w:val="18"/>
              </w:rPr>
              <w:t>北京久其科技投资有限 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5"/>
              <w:jc w:val="both"/>
              <w:rPr>
                <w:rFonts w:ascii="宋体" w:hAnsi="宋体" w:cs="宋体" w:eastAsia="宋体" w:hint="default"/>
                <w:sz w:val="18"/>
                <w:szCs w:val="18"/>
              </w:rPr>
            </w:pPr>
            <w:r>
              <w:rPr>
                <w:rFonts w:ascii="宋体" w:hAnsi="宋体" w:cs="宋体" w:eastAsia="宋体" w:hint="default"/>
                <w:sz w:val="18"/>
                <w:szCs w:val="18"/>
              </w:rPr>
              <w:t>关于同业 竞争、关 联交易、 资金占用 方面的承 诺</w:t>
            </w:r>
          </w:p>
        </w:tc>
        <w:tc>
          <w:tcPr>
            <w:tcW w:w="6597"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44"/>
              <w:jc w:val="left"/>
              <w:rPr>
                <w:rFonts w:ascii="宋体" w:hAnsi="宋体" w:cs="宋体" w:eastAsia="宋体" w:hint="default"/>
                <w:sz w:val="18"/>
                <w:szCs w:val="18"/>
              </w:rPr>
            </w:pPr>
            <w:r>
              <w:rPr>
                <w:rFonts w:ascii="宋体" w:hAnsi="宋体" w:cs="宋体" w:eastAsia="宋体" w:hint="default"/>
                <w:sz w:val="18"/>
                <w:szCs w:val="18"/>
              </w:rPr>
              <w:t>将不在中国境内外以任何方式直接或间接从事或参与任何与发行人相同、相似或在 </w:t>
            </w:r>
            <w:r>
              <w:rPr>
                <w:rFonts w:ascii="宋体" w:hAnsi="宋体" w:cs="宋体" w:eastAsia="宋体" w:hint="default"/>
                <w:spacing w:val="-2"/>
                <w:sz w:val="18"/>
                <w:szCs w:val="18"/>
              </w:rPr>
              <w:t>商业上构成任何竞争的业务及活动，或拥有与发行人存在竞争关系的任何经济实体、</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机构、经济组织的权益，或以其他任何形式取得该经济实体、机构、经济组织的控</w:t>
            </w:r>
            <w:r>
              <w:rPr>
                <w:rFonts w:ascii="宋体" w:hAnsi="宋体" w:cs="宋体" w:eastAsia="宋体" w:hint="default"/>
                <w:sz w:val="18"/>
                <w:szCs w:val="18"/>
              </w:rPr>
              <w:t> 制权</w:t>
            </w:r>
          </w:p>
        </w:tc>
        <w:tc>
          <w:tcPr>
            <w:tcW w:w="112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1"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51" w:lineRule="exact"/>
              <w:ind w:left="11" w:right="-27"/>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pict>
                <v:group style="width:53.55pt;height:17.6pt;mso-position-horizontal-relative:char;mso-position-vertical-relative:line" coordorigin="0,0" coordsize="1071,352">
                  <v:group style="position:absolute;left:0;top:0;width:1071;height:352" coordorigin="0,0" coordsize="1071,352">
                    <v:shape style="position:absolute;left:0;top:0;width:1071;height:352" coordorigin="0,0" coordsize="1071,352" path="m0,352l1070,352,1070,0,0,0,0,352xe" filled="true" fillcolor="#ffffff" stroked="false">
                      <v:path arrowok="t"/>
                      <v:fill type="solid"/>
                    </v:shape>
                  </v:group>
                </v:group>
              </w:pict>
            </w:r>
            <w:r>
              <w:rPr>
                <w:rFonts w:ascii="Times New Roman" w:hAnsi="Times New Roman" w:cs="Times New Roman" w:eastAsia="Times New Roman" w:hint="default"/>
                <w:position w:val="-6"/>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4"/>
                <w:szCs w:val="24"/>
              </w:rPr>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截至报告期 </w:t>
            </w:r>
            <w:r>
              <w:rPr>
                <w:rFonts w:ascii="宋体" w:hAnsi="宋体" w:cs="宋体" w:eastAsia="宋体" w:hint="default"/>
                <w:spacing w:val="-5"/>
                <w:sz w:val="18"/>
                <w:szCs w:val="18"/>
              </w:rPr>
              <w:t>末，承诺方严</w:t>
            </w:r>
            <w:r>
              <w:rPr>
                <w:rFonts w:ascii="宋体" w:hAnsi="宋体" w:cs="宋体" w:eastAsia="宋体" w:hint="default"/>
                <w:sz w:val="18"/>
                <w:szCs w:val="18"/>
              </w:rPr>
              <w:t> 格遵守该承 </w:t>
            </w:r>
            <w:r>
              <w:rPr>
                <w:rFonts w:ascii="宋体" w:hAnsi="宋体" w:cs="宋体" w:eastAsia="宋体" w:hint="default"/>
                <w:spacing w:val="-5"/>
                <w:sz w:val="18"/>
                <w:szCs w:val="18"/>
              </w:rPr>
              <w:t>诺，未有违反</w:t>
            </w:r>
            <w:r>
              <w:rPr>
                <w:rFonts w:ascii="宋体" w:hAnsi="宋体" w:cs="宋体" w:eastAsia="宋体" w:hint="default"/>
                <w:sz w:val="18"/>
                <w:szCs w:val="18"/>
              </w:rPr>
              <w:t> 该承诺的情 况</w:t>
            </w:r>
          </w:p>
        </w:tc>
      </w:tr>
      <w:tr>
        <w:trPr>
          <w:trHeight w:val="1962" w:hRule="exact"/>
        </w:trPr>
        <w:tc>
          <w:tcPr>
            <w:tcW w:w="1843" w:type="dxa"/>
            <w:vMerge/>
            <w:tcBorders>
              <w:left w:val="single" w:sz="4" w:space="0" w:color="000000"/>
              <w:right w:val="single" w:sz="4" w:space="0" w:color="000000"/>
            </w:tcBorders>
            <w:shd w:val="clear" w:color="auto" w:fill="D2D2D2"/>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董泰湘、赵福君</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5"/>
              <w:jc w:val="both"/>
              <w:rPr>
                <w:rFonts w:ascii="宋体" w:hAnsi="宋体" w:cs="宋体" w:eastAsia="宋体" w:hint="default"/>
                <w:sz w:val="18"/>
                <w:szCs w:val="18"/>
              </w:rPr>
            </w:pPr>
            <w:r>
              <w:rPr>
                <w:rFonts w:ascii="宋体" w:hAnsi="宋体" w:cs="宋体" w:eastAsia="宋体" w:hint="default"/>
                <w:sz w:val="18"/>
                <w:szCs w:val="18"/>
              </w:rPr>
              <w:t>关于同业 竞争、关 联交易、 资金占用 方面的承 诺</w:t>
            </w:r>
          </w:p>
        </w:tc>
        <w:tc>
          <w:tcPr>
            <w:tcW w:w="6597"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44"/>
              <w:jc w:val="left"/>
              <w:rPr>
                <w:rFonts w:ascii="宋体" w:hAnsi="宋体" w:cs="宋体" w:eastAsia="宋体" w:hint="default"/>
                <w:sz w:val="18"/>
                <w:szCs w:val="18"/>
              </w:rPr>
            </w:pPr>
            <w:r>
              <w:rPr>
                <w:rFonts w:ascii="宋体" w:hAnsi="宋体" w:cs="宋体" w:eastAsia="宋体" w:hint="default"/>
                <w:sz w:val="18"/>
                <w:szCs w:val="18"/>
              </w:rPr>
              <w:t>将不在中国境内外以任何方式直接或间接从事或参与任何与发行人相同、相似或在 </w:t>
            </w:r>
            <w:r>
              <w:rPr>
                <w:rFonts w:ascii="宋体" w:hAnsi="宋体" w:cs="宋体" w:eastAsia="宋体" w:hint="default"/>
                <w:spacing w:val="-2"/>
                <w:sz w:val="18"/>
                <w:szCs w:val="18"/>
              </w:rPr>
              <w:t>商业上构成任何竞争的业务及活动，或拥有与发行人存在竞争关系的任何经济实体、</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机构、经济组织的权益，或以其他任何形式取得该经济实体、机构、经济组织的控</w:t>
            </w:r>
            <w:r>
              <w:rPr>
                <w:rFonts w:ascii="宋体" w:hAnsi="宋体" w:cs="宋体" w:eastAsia="宋体" w:hint="default"/>
                <w:sz w:val="18"/>
                <w:szCs w:val="18"/>
              </w:rPr>
              <w:t> 制权，或在该经济实体、机构、经济组织中担任高级管理人员或核心技术人员</w:t>
            </w:r>
          </w:p>
        </w:tc>
        <w:tc>
          <w:tcPr>
            <w:tcW w:w="112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1"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51" w:lineRule="exact"/>
              <w:ind w:left="11" w:right="-27"/>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pict>
                <v:group style="width:53.55pt;height:17.6pt;mso-position-horizontal-relative:char;mso-position-vertical-relative:line" coordorigin="0,0" coordsize="1071,352">
                  <v:group style="position:absolute;left:0;top:0;width:1071;height:352" coordorigin="0,0" coordsize="1071,352">
                    <v:shape style="position:absolute;left:0;top:0;width:1071;height:352" coordorigin="0,0" coordsize="1071,352" path="m0,352l1070,352,1070,0,0,0,0,352xe" filled="true" fillcolor="#ffffff" stroked="false">
                      <v:path arrowok="t"/>
                      <v:fill type="solid"/>
                    </v:shape>
                  </v:group>
                </v:group>
              </w:pict>
            </w:r>
            <w:r>
              <w:rPr>
                <w:rFonts w:ascii="Times New Roman" w:hAnsi="Times New Roman" w:cs="Times New Roman" w:eastAsia="Times New Roman" w:hint="default"/>
                <w:position w:val="-6"/>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4"/>
                <w:szCs w:val="24"/>
              </w:rPr>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截至报告期 </w:t>
            </w:r>
            <w:r>
              <w:rPr>
                <w:rFonts w:ascii="宋体" w:hAnsi="宋体" w:cs="宋体" w:eastAsia="宋体" w:hint="default"/>
                <w:spacing w:val="-5"/>
                <w:sz w:val="18"/>
                <w:szCs w:val="18"/>
              </w:rPr>
              <w:t>末，承诺方严</w:t>
            </w:r>
            <w:r>
              <w:rPr>
                <w:rFonts w:ascii="宋体" w:hAnsi="宋体" w:cs="宋体" w:eastAsia="宋体" w:hint="default"/>
                <w:sz w:val="18"/>
                <w:szCs w:val="18"/>
              </w:rPr>
              <w:t> 格遵守该承 </w:t>
            </w:r>
            <w:r>
              <w:rPr>
                <w:rFonts w:ascii="宋体" w:hAnsi="宋体" w:cs="宋体" w:eastAsia="宋体" w:hint="default"/>
                <w:spacing w:val="-5"/>
                <w:sz w:val="18"/>
                <w:szCs w:val="18"/>
              </w:rPr>
              <w:t>诺，未有违反</w:t>
            </w:r>
            <w:r>
              <w:rPr>
                <w:rFonts w:ascii="宋体" w:hAnsi="宋体" w:cs="宋体" w:eastAsia="宋体" w:hint="default"/>
                <w:sz w:val="18"/>
                <w:szCs w:val="18"/>
              </w:rPr>
              <w:t> 该承诺的情 况</w:t>
            </w:r>
          </w:p>
        </w:tc>
      </w:tr>
      <w:tr>
        <w:trPr>
          <w:trHeight w:val="1962" w:hRule="exact"/>
        </w:trPr>
        <w:tc>
          <w:tcPr>
            <w:tcW w:w="1843" w:type="dxa"/>
            <w:vMerge/>
            <w:tcBorders>
              <w:left w:val="single" w:sz="4" w:space="0" w:color="000000"/>
              <w:bottom w:val="single" w:sz="4" w:space="0" w:color="000000"/>
              <w:right w:val="single" w:sz="4" w:space="0" w:color="000000"/>
            </w:tcBorders>
            <w:shd w:val="clear" w:color="auto" w:fill="D2D2D2"/>
          </w:tcPr>
          <w:p>
            <w:pPr/>
          </w:p>
        </w:tc>
        <w:tc>
          <w:tcPr>
            <w:tcW w:w="1985"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46"/>
              <w:jc w:val="both"/>
              <w:rPr>
                <w:rFonts w:ascii="宋体" w:hAnsi="宋体" w:cs="宋体" w:eastAsia="宋体" w:hint="default"/>
                <w:sz w:val="18"/>
                <w:szCs w:val="18"/>
              </w:rPr>
            </w:pPr>
            <w:r>
              <w:rPr>
                <w:rFonts w:ascii="宋体" w:hAnsi="宋体" w:cs="宋体" w:eastAsia="宋体" w:hint="default"/>
                <w:sz w:val="18"/>
                <w:szCs w:val="18"/>
              </w:rPr>
              <w:t>赵福君、蒋硕、刘文圣、 </w:t>
            </w:r>
            <w:r>
              <w:rPr>
                <w:rFonts w:ascii="宋体" w:hAnsi="宋体" w:cs="宋体" w:eastAsia="宋体" w:hint="default"/>
                <w:spacing w:val="-15"/>
                <w:sz w:val="18"/>
                <w:szCs w:val="18"/>
              </w:rPr>
              <w:t>欧阳曜、邱安超、施瑞丰、</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王海霞、王劲岩、曾超、</w:t>
            </w:r>
            <w:r>
              <w:rPr>
                <w:rFonts w:ascii="宋体" w:hAnsi="宋体" w:cs="宋体" w:eastAsia="宋体" w:hint="default"/>
                <w:sz w:val="18"/>
                <w:szCs w:val="18"/>
              </w:rPr>
              <w:t> 朱晓钧</w:t>
            </w:r>
          </w:p>
        </w:tc>
        <w:tc>
          <w:tcPr>
            <w:tcW w:w="851" w:type="dxa"/>
            <w:tcBorders>
              <w:top w:val="single" w:sz="4" w:space="0" w:color="000000"/>
              <w:left w:val="single" w:sz="13" w:space="0" w:color="FFFFFF"/>
              <w:bottom w:val="single" w:sz="4" w:space="0" w:color="000000"/>
              <w:right w:val="single" w:sz="4" w:space="0" w:color="000000"/>
            </w:tcBorders>
          </w:tcPr>
          <w:p>
            <w:pPr>
              <w:pStyle w:val="TableParagraph"/>
              <w:spacing w:line="316" w:lineRule="auto" w:before="51"/>
              <w:ind w:left="11" w:right="95"/>
              <w:jc w:val="both"/>
              <w:rPr>
                <w:rFonts w:ascii="宋体" w:hAnsi="宋体" w:cs="宋体" w:eastAsia="宋体" w:hint="default"/>
                <w:sz w:val="18"/>
                <w:szCs w:val="18"/>
              </w:rPr>
            </w:pPr>
            <w:r>
              <w:rPr>
                <w:rFonts w:ascii="宋体" w:hAnsi="宋体" w:cs="宋体" w:eastAsia="宋体" w:hint="default"/>
                <w:sz w:val="18"/>
                <w:szCs w:val="18"/>
              </w:rPr>
              <w:t>关于同业 竞争、关 联交易、 资金占用 方面的承 诺</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312" w:lineRule="exact"/>
              <w:ind w:left="12" w:right="-27"/>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39.7pt;height:15.6pt;mso-position-horizontal-relative:char;mso-position-vertical-relative:line" coordorigin="0,0" coordsize="794,312">
                  <v:group style="position:absolute;left:0;top:0;width:794;height:312" coordorigin="0,0" coordsize="794,312">
                    <v:shape style="position:absolute;left:0;top:0;width:794;height:312" coordorigin="0,0" coordsize="794,312" path="m0,312l793,312,793,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4"/>
                <w:szCs w:val="24"/>
              </w:rPr>
            </w:pPr>
          </w:p>
        </w:tc>
        <w:tc>
          <w:tcPr>
            <w:tcW w:w="6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82"/>
              <w:jc w:val="left"/>
              <w:rPr>
                <w:rFonts w:ascii="宋体" w:hAnsi="宋体" w:cs="宋体" w:eastAsia="宋体" w:hint="default"/>
                <w:sz w:val="18"/>
                <w:szCs w:val="18"/>
              </w:rPr>
            </w:pPr>
            <w:r>
              <w:rPr>
                <w:rFonts w:ascii="宋体" w:hAnsi="宋体" w:cs="宋体" w:eastAsia="宋体" w:hint="default"/>
                <w:sz w:val="18"/>
                <w:szCs w:val="18"/>
              </w:rPr>
              <w:t>本人及近亲属在本人任职期间及离职后半年内，不从事自营或为他人经营与公司同 类的业务，也不从事与公司利益发生冲突的对外投资</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截至报告期 </w:t>
            </w:r>
            <w:r>
              <w:rPr>
                <w:rFonts w:ascii="宋体" w:hAnsi="宋体" w:cs="宋体" w:eastAsia="宋体" w:hint="default"/>
                <w:spacing w:val="-5"/>
                <w:sz w:val="18"/>
                <w:szCs w:val="18"/>
              </w:rPr>
              <w:t>末，承诺方严</w:t>
            </w:r>
            <w:r>
              <w:rPr>
                <w:rFonts w:ascii="宋体" w:hAnsi="宋体" w:cs="宋体" w:eastAsia="宋体" w:hint="default"/>
                <w:sz w:val="18"/>
                <w:szCs w:val="18"/>
              </w:rPr>
              <w:t> 格遵守该承 </w:t>
            </w:r>
            <w:r>
              <w:rPr>
                <w:rFonts w:ascii="宋体" w:hAnsi="宋体" w:cs="宋体" w:eastAsia="宋体" w:hint="default"/>
                <w:spacing w:val="-5"/>
                <w:sz w:val="18"/>
                <w:szCs w:val="18"/>
              </w:rPr>
              <w:t>诺，未有违反</w:t>
            </w:r>
            <w:r>
              <w:rPr>
                <w:rFonts w:ascii="宋体" w:hAnsi="宋体" w:cs="宋体" w:eastAsia="宋体" w:hint="default"/>
                <w:sz w:val="18"/>
                <w:szCs w:val="18"/>
              </w:rPr>
              <w:t> 该承诺的情 况</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985"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6597"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189"/>
              <w:jc w:val="left"/>
              <w:rPr>
                <w:rFonts w:ascii="宋体" w:hAnsi="宋体" w:cs="宋体" w:eastAsia="宋体" w:hint="default"/>
                <w:sz w:val="18"/>
                <w:szCs w:val="18"/>
              </w:rPr>
            </w:pPr>
            <w:r>
              <w:rPr>
                <w:rFonts w:ascii="宋体" w:hAnsi="宋体" w:cs="宋体" w:eastAsia="宋体" w:hint="default"/>
                <w:sz w:val="18"/>
                <w:szCs w:val="18"/>
              </w:rPr>
              <w:t>其他对公司中小股东 所作承诺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李坤奇</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5"/>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6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公司高管承诺离职后所持公司股份在法律、法规规定的限售期内不转让</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278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6840" w:h="11910" w:orient="landscape"/>
          <w:pgMar w:header="867" w:footer="979" w:top="1060" w:bottom="1160" w:left="1040" w:right="0"/>
        </w:sectPr>
      </w:pPr>
    </w:p>
    <w:p>
      <w:pPr>
        <w:spacing w:line="240" w:lineRule="auto" w:before="7"/>
        <w:rPr>
          <w:rFonts w:ascii="Times New Roman" w:hAnsi="Times New Roman" w:cs="Times New Roman" w:eastAsia="Times New Roman" w:hint="default"/>
          <w:sz w:val="23"/>
          <w:szCs w:val="23"/>
        </w:rPr>
      </w:pPr>
    </w:p>
    <w:p>
      <w:pPr>
        <w:pStyle w:val="Heading3"/>
        <w:spacing w:line="259" w:lineRule="auto" w:before="35"/>
        <w:ind w:left="153" w:right="0"/>
        <w:jc w:val="left"/>
        <w:rPr>
          <w:b w:val="0"/>
          <w:bCs w:val="0"/>
        </w:rPr>
      </w:pPr>
      <w:bookmarkStart w:name="2、公司资产或项目存在盈利预测，且报告期仍处在盈利预测期间，公司就资产或项目达到" w:id="67"/>
      <w:bookmarkEnd w:id="67"/>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06"/>
        <w:gridCol w:w="1178"/>
        <w:gridCol w:w="1181"/>
        <w:gridCol w:w="1013"/>
        <w:gridCol w:w="1134"/>
        <w:gridCol w:w="1277"/>
        <w:gridCol w:w="850"/>
        <w:gridCol w:w="1627"/>
      </w:tblGrid>
      <w:tr>
        <w:trPr>
          <w:trHeight w:val="714"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96" w:right="107"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1" w:right="51"/>
              <w:jc w:val="left"/>
              <w:rPr>
                <w:rFonts w:ascii="宋体" w:hAnsi="宋体" w:cs="宋体" w:eastAsia="宋体" w:hint="default"/>
                <w:sz w:val="18"/>
                <w:szCs w:val="18"/>
              </w:rPr>
            </w:pPr>
            <w:r>
              <w:rPr>
                <w:rFonts w:ascii="宋体" w:hAnsi="宋体" w:cs="宋体" w:eastAsia="宋体" w:hint="default"/>
                <w:sz w:val="18"/>
                <w:szCs w:val="18"/>
              </w:rPr>
              <w:t>当期预测业 绩（万元）</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2" w:right="109"/>
              <w:jc w:val="left"/>
              <w:rPr>
                <w:rFonts w:ascii="宋体" w:hAnsi="宋体" w:cs="宋体" w:eastAsia="宋体" w:hint="default"/>
                <w:sz w:val="18"/>
                <w:szCs w:val="18"/>
              </w:rPr>
            </w:pPr>
            <w:r>
              <w:rPr>
                <w:rFonts w:ascii="宋体" w:hAnsi="宋体" w:cs="宋体" w:eastAsia="宋体" w:hint="default"/>
                <w:sz w:val="18"/>
                <w:szCs w:val="18"/>
              </w:rPr>
              <w:t>当期实际业 绩（万元）</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3" w:right="93"/>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50" w:right="59" w:hanging="90"/>
              <w:jc w:val="left"/>
              <w:rPr>
                <w:rFonts w:ascii="宋体" w:hAnsi="宋体" w:cs="宋体" w:eastAsia="宋体" w:hint="default"/>
                <w:sz w:val="18"/>
                <w:szCs w:val="18"/>
              </w:rPr>
            </w:pPr>
            <w:r>
              <w:rPr>
                <w:rFonts w:ascii="宋体" w:hAnsi="宋体" w:cs="宋体" w:eastAsia="宋体" w:hint="default"/>
                <w:sz w:val="18"/>
                <w:szCs w:val="18"/>
              </w:rPr>
              <w:t>原预测披 露日期</w:t>
            </w:r>
          </w:p>
        </w:tc>
        <w:tc>
          <w:tcPr>
            <w:tcW w:w="1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原预测披露索引</w:t>
            </w:r>
          </w:p>
        </w:tc>
      </w:tr>
      <w:tr>
        <w:trPr>
          <w:trHeight w:val="1962"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亿起联科技</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5,028.61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6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关于重大资产重组 相关方承诺事项的 公告（公告编号 </w:t>
            </w:r>
            <w:r>
              <w:rPr>
                <w:rFonts w:ascii="Times New Roman" w:hAnsi="Times New Roman" w:cs="Times New Roman" w:eastAsia="Times New Roman" w:hint="default"/>
                <w:spacing w:val="-2"/>
                <w:sz w:val="18"/>
                <w:szCs w:val="18"/>
              </w:rPr>
              <w:t>2015-008</w:t>
            </w:r>
            <w:r>
              <w:rPr>
                <w:rFonts w:ascii="宋体" w:hAnsi="宋体" w:cs="宋体" w:eastAsia="宋体" w:hint="default"/>
                <w:spacing w:val="-2"/>
                <w:sz w:val="18"/>
                <w:szCs w:val="18"/>
              </w:rPr>
              <w:t>）已披露于</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巨潮资讯网</w:t>
            </w:r>
          </w:p>
          <w:p>
            <w:pPr>
              <w:pStyle w:val="TableParagraph"/>
              <w:spacing w:line="240" w:lineRule="auto" w:before="61"/>
              <w:ind w:left="22" w:right="0"/>
              <w:jc w:val="left"/>
              <w:rPr>
                <w:rFonts w:ascii="Times New Roman" w:hAnsi="Times New Roman" w:cs="Times New Roman" w:eastAsia="Times New Roman" w:hint="default"/>
                <w:sz w:val="18"/>
                <w:szCs w:val="18"/>
              </w:rPr>
            </w:pPr>
            <w:hyperlink r:id="rId13">
              <w:r>
                <w:rPr>
                  <w:rFonts w:ascii="Times New Roman"/>
                  <w:sz w:val="18"/>
                </w:rPr>
                <w:t>www.cninfo.com.cn</w:t>
              </w:r>
            </w:hyperlink>
          </w:p>
        </w:tc>
      </w:tr>
      <w:tr>
        <w:trPr>
          <w:trHeight w:val="1963"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华夏电通</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4,440.33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6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关于重大资产重组 相关方承诺事项的 公告（公告编号 </w:t>
            </w:r>
            <w:r>
              <w:rPr>
                <w:rFonts w:ascii="Times New Roman" w:hAnsi="Times New Roman" w:cs="Times New Roman" w:eastAsia="Times New Roman" w:hint="default"/>
                <w:spacing w:val="-2"/>
                <w:sz w:val="18"/>
                <w:szCs w:val="18"/>
              </w:rPr>
              <w:t>2015-117</w:t>
            </w:r>
            <w:r>
              <w:rPr>
                <w:rFonts w:ascii="宋体" w:hAnsi="宋体" w:cs="宋体" w:eastAsia="宋体" w:hint="default"/>
                <w:spacing w:val="-2"/>
                <w:sz w:val="18"/>
                <w:szCs w:val="18"/>
              </w:rPr>
              <w:t>）已披露于</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巨潮资讯网</w:t>
            </w:r>
          </w:p>
          <w:p>
            <w:pPr>
              <w:pStyle w:val="TableParagraph"/>
              <w:spacing w:line="240" w:lineRule="auto" w:before="61"/>
              <w:ind w:left="22" w:right="0"/>
              <w:jc w:val="left"/>
              <w:rPr>
                <w:rFonts w:ascii="Times New Roman" w:hAnsi="Times New Roman" w:cs="Times New Roman" w:eastAsia="Times New Roman" w:hint="default"/>
                <w:sz w:val="18"/>
                <w:szCs w:val="18"/>
              </w:rPr>
            </w:pPr>
            <w:hyperlink r:id="rId13">
              <w:r>
                <w:rPr>
                  <w:rFonts w:ascii="Times New Roman"/>
                  <w:sz w:val="18"/>
                </w:rPr>
                <w:t>www.cninfo.com.cn</w:t>
              </w:r>
            </w:hyperlink>
          </w:p>
        </w:tc>
      </w:tr>
    </w:tbl>
    <w:p>
      <w:pPr>
        <w:pStyle w:val="BodyText"/>
        <w:spacing w:line="240" w:lineRule="auto" w:before="51"/>
        <w:ind w:left="154" w:right="0"/>
        <w:jc w:val="left"/>
      </w:pPr>
      <w:r>
        <w:rPr/>
        <w:t>公司股东、交易对手方在报告年度经营业绩做出的承诺情况</w:t>
      </w:r>
    </w:p>
    <w:p>
      <w:pPr>
        <w:pStyle w:val="BodyText"/>
        <w:spacing w:line="240" w:lineRule="auto" w:before="116"/>
        <w:ind w:left="154" w:right="0"/>
        <w:jc w:val="left"/>
      </w:pPr>
      <w:r>
        <w:rPr/>
        <w:t>√ 适用 □ 不适用</w:t>
      </w:r>
    </w:p>
    <w:p>
      <w:pPr>
        <w:pStyle w:val="BodyText"/>
        <w:spacing w:line="240" w:lineRule="auto" w:before="117"/>
        <w:ind w:left="154" w:right="0"/>
        <w:jc w:val="left"/>
      </w:pPr>
      <w:r>
        <w:rPr/>
        <w:t>上述两项交易的交易对手方对相关资产在</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年度经营业绩所做承诺详见本节“三、承诺事项履行情况</w:t>
      </w:r>
      <w:r>
        <w:rPr>
          <w:spacing w:val="-90"/>
        </w:rPr>
        <w:t>”</w:t>
      </w:r>
      <w:r>
        <w:rPr/>
        <w:t>。</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四、控股股东及其关联方对上市公司的非经营性占用资金情况" w:id="68"/>
      <w:bookmarkEnd w:id="68"/>
      <w:r>
        <w:rPr>
          <w:b w:val="0"/>
          <w:bCs w:val="0"/>
        </w:rPr>
      </w:r>
      <w:r>
        <w:rPr/>
        <w:t>四、控股股东及其关联方对上市公司的非经营性占用资金情况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4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五、董事会、监事会、独立董事（如有）对会计师事务所本报告期“非标准审计报告”的说" w:id="69"/>
      <w:bookmarkEnd w:id="69"/>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六、与上年度财务报告相比，会计政策、会计估计和核算方法发生变化的情况说明" w:id="70"/>
      <w:bookmarkEnd w:id="70"/>
      <w:r>
        <w:rPr>
          <w:b w:val="0"/>
          <w:bCs w:val="0"/>
        </w:rPr>
      </w:r>
      <w:r>
        <w:rPr/>
        <w:t>六、与上年度财务报告相比，会计政策、会计估计和核算方法发生变化的情况说明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57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公司报告期无会计政策、会计估计和核算方法发生变化的情况。</w:t>
      </w:r>
    </w:p>
    <w:p>
      <w:pPr>
        <w:spacing w:line="240" w:lineRule="auto" w:before="3"/>
        <w:rPr>
          <w:rFonts w:ascii="宋体" w:hAnsi="宋体" w:cs="宋体" w:eastAsia="宋体" w:hint="default"/>
          <w:sz w:val="19"/>
          <w:szCs w:val="19"/>
        </w:rPr>
      </w:pPr>
    </w:p>
    <w:p>
      <w:pPr>
        <w:pStyle w:val="Heading2"/>
        <w:spacing w:line="240" w:lineRule="auto"/>
        <w:ind w:left="154" w:right="0"/>
        <w:jc w:val="left"/>
        <w:rPr>
          <w:b w:val="0"/>
          <w:bCs w:val="0"/>
        </w:rPr>
      </w:pPr>
      <w:bookmarkStart w:name="七、报告期内发生重大会计差错更正需追溯重述的情况说明" w:id="71"/>
      <w:bookmarkEnd w:id="71"/>
      <w:r>
        <w:rPr>
          <w:b w:val="0"/>
          <w:bCs w:val="0"/>
        </w:rPr>
      </w:r>
      <w:r>
        <w:rPr/>
        <w:t>七、报告期内发生重大会计差错更正需追溯重述的情况说明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公司报告期无重大会计差错更正需追溯重述的情况。</w:t>
      </w:r>
    </w:p>
    <w:p>
      <w:pPr>
        <w:spacing w:after="0" w:line="338" w:lineRule="auto"/>
        <w:jc w:val="left"/>
        <w:sectPr>
          <w:headerReference w:type="default" r:id="rId21"/>
          <w:footerReference w:type="default" r:id="rId22"/>
          <w:pgSz w:w="11910" w:h="16840"/>
          <w:pgMar w:header="877" w:footer="979" w:top="1100" w:bottom="1160" w:left="980" w:right="0"/>
          <w:pgNumType w:start="41"/>
        </w:sectPr>
      </w:pPr>
    </w:p>
    <w:p>
      <w:pPr>
        <w:spacing w:line="240" w:lineRule="auto" w:before="8"/>
        <w:rPr>
          <w:rFonts w:ascii="宋体" w:hAnsi="宋体" w:cs="宋体" w:eastAsia="宋体" w:hint="default"/>
          <w:sz w:val="19"/>
          <w:szCs w:val="19"/>
        </w:rPr>
      </w:pPr>
    </w:p>
    <w:p>
      <w:pPr>
        <w:pStyle w:val="Heading2"/>
        <w:spacing w:line="240" w:lineRule="auto" w:before="26"/>
        <w:ind w:right="0"/>
        <w:jc w:val="left"/>
        <w:rPr>
          <w:b w:val="0"/>
          <w:bCs w:val="0"/>
        </w:rPr>
      </w:pPr>
      <w:bookmarkStart w:name="八、与上年度财务报告相比，合并报表范围发生变化的情况说明" w:id="72"/>
      <w:bookmarkEnd w:id="72"/>
      <w:r>
        <w:rPr>
          <w:b w:val="0"/>
          <w:bCs w:val="0"/>
        </w:rPr>
      </w:r>
      <w:r>
        <w:rPr/>
        <w:t>八、与上年度财务报告相比，合并报表范围发生变化的情况说明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116"/>
        <w:jc w:val="left"/>
      </w:pPr>
      <w:r>
        <w:rPr/>
        <w:t>参见“第四节</w:t>
      </w:r>
      <w:r>
        <w:rPr>
          <w:spacing w:val="7"/>
        </w:rPr>
        <w:t> </w:t>
      </w:r>
      <w:r>
        <w:rPr/>
        <w:t>管理层讨论与分析”中的“二、主营业务与分析”中的“</w:t>
      </w:r>
      <w:r>
        <w:rPr>
          <w:rFonts w:ascii="Times New Roman" w:hAnsi="Times New Roman" w:cs="Times New Roman" w:eastAsia="Times New Roman" w:hint="default"/>
        </w:rPr>
        <w:t>2</w:t>
      </w:r>
      <w:r>
        <w:rPr/>
        <w:t>、收入与成本”中的“（</w:t>
      </w:r>
      <w:r>
        <w:rPr>
          <w:rFonts w:ascii="Times New Roman" w:hAnsi="Times New Roman" w:cs="Times New Roman" w:eastAsia="Times New Roman" w:hint="default"/>
        </w:rPr>
        <w:t>6</w:t>
      </w:r>
      <w:r>
        <w:rPr/>
        <w:t>）报告期内合并范围是 否发生变动”相关内容。</w:t>
      </w:r>
    </w:p>
    <w:p>
      <w:pPr>
        <w:spacing w:line="240" w:lineRule="auto" w:before="9"/>
        <w:rPr>
          <w:rFonts w:ascii="宋体" w:hAnsi="宋体" w:cs="宋体" w:eastAsia="宋体" w:hint="default"/>
          <w:sz w:val="21"/>
          <w:szCs w:val="21"/>
        </w:rPr>
      </w:pPr>
    </w:p>
    <w:p>
      <w:pPr>
        <w:pStyle w:val="Heading2"/>
        <w:spacing w:line="240" w:lineRule="auto"/>
        <w:ind w:left="154" w:right="0"/>
        <w:jc w:val="left"/>
        <w:rPr>
          <w:b w:val="0"/>
          <w:bCs w:val="0"/>
        </w:rPr>
      </w:pPr>
      <w:bookmarkStart w:name="九、聘任、解聘会计师事务所情况" w:id="73"/>
      <w:bookmarkEnd w:id="73"/>
      <w:r>
        <w:rPr>
          <w:b w:val="0"/>
          <w:bCs w:val="0"/>
        </w:rPr>
      </w:r>
      <w:r>
        <w:rPr/>
        <w:t>九、聘任、解聘会计师事务所情况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现聘任的会计师事务所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50</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陈勇波、梁谦海</w:t>
            </w:r>
          </w:p>
        </w:tc>
      </w:tr>
    </w:tbl>
    <w:p>
      <w:pPr>
        <w:pStyle w:val="BodyText"/>
        <w:spacing w:line="240" w:lineRule="auto" w:before="51"/>
        <w:ind w:left="154" w:right="0"/>
        <w:jc w:val="left"/>
      </w:pPr>
      <w:r>
        <w:rPr/>
        <w:t>当期是否改聘会计师事务所</w:t>
      </w:r>
    </w:p>
    <w:p>
      <w:pPr>
        <w:pStyle w:val="BodyText"/>
        <w:spacing w:line="338" w:lineRule="auto" w:before="117"/>
        <w:ind w:right="62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240" w:lineRule="auto" w:before="42"/>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十、年度报告披露后面临暂停上市和终止上市情况" w:id="74"/>
      <w:bookmarkEnd w:id="74"/>
      <w:r>
        <w:rPr>
          <w:b w:val="0"/>
          <w:bCs w:val="0"/>
        </w:rPr>
      </w:r>
      <w:r>
        <w:rPr/>
        <w:t>十、年度报告披露后面临暂停上市和终止上市情况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一、破产重整相关事项" w:id="75"/>
      <w:bookmarkEnd w:id="75"/>
      <w:r>
        <w:rPr>
          <w:b w:val="0"/>
          <w:bCs w:val="0"/>
        </w:rPr>
      </w:r>
      <w:r>
        <w:rPr/>
        <w:t>十一、破产重整相关事项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二、重大诉讼、仲裁事项" w:id="76"/>
      <w:bookmarkEnd w:id="76"/>
      <w:r>
        <w:rPr>
          <w:b w:val="0"/>
          <w:bCs w:val="0"/>
        </w:rPr>
      </w:r>
      <w:r>
        <w:rPr/>
        <w:t>十二、重大诉讼、仲裁事项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本报告期公司无重大诉讼、仲裁事项。</w:t>
      </w:r>
    </w:p>
    <w:p>
      <w:pPr>
        <w:spacing w:line="240" w:lineRule="auto" w:before="6"/>
        <w:rPr>
          <w:rFonts w:ascii="宋体" w:hAnsi="宋体" w:cs="宋体" w:eastAsia="宋体" w:hint="default"/>
          <w:sz w:val="19"/>
          <w:szCs w:val="19"/>
        </w:rPr>
      </w:pPr>
    </w:p>
    <w:p>
      <w:pPr>
        <w:pStyle w:val="Heading2"/>
        <w:spacing w:line="240" w:lineRule="auto"/>
        <w:ind w:left="154" w:right="0"/>
        <w:jc w:val="left"/>
        <w:rPr>
          <w:b w:val="0"/>
          <w:bCs w:val="0"/>
        </w:rPr>
      </w:pPr>
      <w:bookmarkStart w:name="十三、处罚及整改情况" w:id="77"/>
      <w:bookmarkEnd w:id="77"/>
      <w:r>
        <w:rPr>
          <w:b w:val="0"/>
          <w:bCs w:val="0"/>
        </w:rPr>
      </w:r>
      <w:r>
        <w:rPr/>
        <w:t>十三、处罚及整改情况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四、公司及其控股股东、实际控制人的诚信状况" w:id="78"/>
      <w:bookmarkEnd w:id="78"/>
      <w:r>
        <w:rPr>
          <w:b w:val="0"/>
          <w:bCs w:val="0"/>
        </w:rPr>
      </w:r>
      <w:r>
        <w:rPr/>
        <w:t>十四、公司及其控股股东、实际控制人的诚信状况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100" w:bottom="1160" w:left="980" w:right="0"/>
        </w:sectPr>
      </w:pPr>
    </w:p>
    <w:p>
      <w:pPr>
        <w:spacing w:line="240" w:lineRule="auto" w:before="8"/>
        <w:rPr>
          <w:rFonts w:ascii="宋体" w:hAnsi="宋体" w:cs="宋体" w:eastAsia="宋体" w:hint="default"/>
          <w:sz w:val="19"/>
          <w:szCs w:val="19"/>
        </w:rPr>
      </w:pPr>
    </w:p>
    <w:p>
      <w:pPr>
        <w:pStyle w:val="Heading2"/>
        <w:spacing w:line="240" w:lineRule="auto" w:before="26"/>
        <w:ind w:right="0"/>
        <w:jc w:val="left"/>
        <w:rPr>
          <w:b w:val="0"/>
          <w:bCs w:val="0"/>
        </w:rPr>
      </w:pPr>
      <w:bookmarkStart w:name="十五、公司股权激励计划、员工持股计划或其他员工激励措施的实施情况" w:id="79"/>
      <w:bookmarkEnd w:id="79"/>
      <w:r>
        <w:rPr>
          <w:b w:val="0"/>
          <w:bCs w:val="0"/>
        </w:rPr>
      </w:r>
      <w:r>
        <w:rPr/>
        <w:t>十五、公司股权激励计划、员工持股计划或其他员工激励措施的实施情况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319" w:lineRule="auto"/>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24</w:t>
      </w:r>
      <w:r>
        <w:rPr/>
        <w:t>日召开的</w:t>
      </w:r>
      <w:r>
        <w:rPr>
          <w:rFonts w:ascii="Times New Roman" w:hAnsi="Times New Roman" w:cs="Times New Roman" w:eastAsia="Times New Roman" w:hint="default"/>
        </w:rPr>
        <w:t>2015</w:t>
      </w:r>
      <w:r>
        <w:rPr/>
        <w:t>年第三次临时股东大会审议通过了公司《</w:t>
      </w:r>
      <w:r>
        <w:rPr>
          <w:rFonts w:ascii="Times New Roman" w:hAnsi="Times New Roman" w:cs="Times New Roman" w:eastAsia="Times New Roman" w:hint="default"/>
        </w:rPr>
        <w:t>2015</w:t>
      </w:r>
      <w:r>
        <w:rPr/>
        <w:t>年员工持股计划》及相关议案，同意公司实</w:t>
      </w:r>
      <w:r>
        <w:rPr>
          <w:spacing w:val="-83"/>
        </w:rPr>
        <w:t> </w:t>
      </w:r>
      <w:r>
        <w:rPr>
          <w:spacing w:val="-83"/>
        </w:rPr>
      </w:r>
      <w:r>
        <w:rPr/>
        <w:t>施本次员工持股计划，并委托财通证券资产管理有限公司设立</w:t>
      </w:r>
      <w:r>
        <w:rPr>
          <w:rFonts w:ascii="Times New Roman" w:hAnsi="Times New Roman" w:cs="Times New Roman" w:eastAsia="Times New Roman" w:hint="default"/>
        </w:rPr>
        <w:t>“</w:t>
      </w:r>
      <w:r>
        <w:rPr/>
        <w:t>财通证券资管久其财富</w:t>
      </w:r>
      <w:r>
        <w:rPr>
          <w:rFonts w:ascii="Times New Roman" w:hAnsi="Times New Roman" w:cs="Times New Roman" w:eastAsia="Times New Roman" w:hint="default"/>
        </w:rPr>
        <w:t>1</w:t>
      </w:r>
      <w:r>
        <w:rPr/>
        <w:t>号集合资产管理计划</w:t>
      </w:r>
      <w:r>
        <w:rPr>
          <w:rFonts w:ascii="Times New Roman" w:hAnsi="Times New Roman" w:cs="Times New Roman" w:eastAsia="Times New Roman" w:hint="default"/>
        </w:rPr>
        <w:t>”</w:t>
      </w:r>
      <w:r>
        <w:rPr/>
        <w:t>进行管理，通</w:t>
      </w:r>
    </w:p>
    <w:p>
      <w:pPr>
        <w:pStyle w:val="BodyText"/>
        <w:spacing w:line="304" w:lineRule="auto"/>
        <w:ind w:right="1126"/>
        <w:jc w:val="left"/>
      </w:pPr>
      <w:r>
        <w:rPr/>
        <w:t>过二级市场购买的方式取得并持有本公司股票。 </w:t>
      </w:r>
      <w:r>
        <w:rPr>
          <w:spacing w:val="-1"/>
        </w:rPr>
        <w:t>公司</w:t>
      </w:r>
      <w:r>
        <w:rPr>
          <w:rFonts w:ascii="Times New Roman" w:hAnsi="Times New Roman" w:cs="Times New Roman" w:eastAsia="Times New Roman" w:hint="default"/>
          <w:spacing w:val="-1"/>
        </w:rPr>
        <w:t>2015</w:t>
      </w:r>
      <w:r>
        <w:rPr>
          <w:spacing w:val="-1"/>
        </w:rPr>
        <w:t>年员工持股计划总额为</w:t>
      </w:r>
      <w:r>
        <w:rPr>
          <w:rFonts w:ascii="Times New Roman" w:hAnsi="Times New Roman" w:cs="Times New Roman" w:eastAsia="Times New Roman" w:hint="default"/>
          <w:spacing w:val="-1"/>
        </w:rPr>
        <w:t>10,050</w:t>
      </w:r>
      <w:r>
        <w:rPr>
          <w:spacing w:val="-1"/>
        </w:rPr>
        <w:t>万元。截止到</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w:t>
      </w:r>
      <w:r>
        <w:rPr>
          <w:spacing w:val="-1"/>
        </w:rPr>
        <w:t>日，本员工持股计划（财通证券资管久其财富</w:t>
      </w:r>
      <w:r>
        <w:rPr>
          <w:rFonts w:ascii="Times New Roman" w:hAnsi="Times New Roman" w:cs="Times New Roman" w:eastAsia="Times New Roman" w:hint="default"/>
          <w:spacing w:val="-1"/>
        </w:rPr>
        <w:t>1</w:t>
      </w:r>
      <w:r>
        <w:rPr>
          <w:spacing w:val="-1"/>
        </w:rPr>
        <w:t>号集合资产</w:t>
      </w:r>
      <w:r>
        <w:rPr>
          <w:spacing w:val="-68"/>
        </w:rPr>
        <w:t> </w:t>
      </w:r>
      <w:r>
        <w:rPr>
          <w:spacing w:val="-2"/>
        </w:rPr>
        <w:t>管理计划）已完成公司股票的购买，通过深圳证券交易所交易系统累计购买公司股票</w:t>
      </w:r>
      <w:r>
        <w:rPr>
          <w:rFonts w:ascii="Times New Roman" w:hAnsi="Times New Roman" w:cs="Times New Roman" w:eastAsia="Times New Roman" w:hint="default"/>
          <w:spacing w:val="-2"/>
        </w:rPr>
        <w:t>2,061,369</w:t>
      </w:r>
      <w:r>
        <w:rPr>
          <w:spacing w:val="-2"/>
        </w:rPr>
        <w:t>股，占公司截至报告期末总股</w:t>
      </w:r>
      <w:r>
        <w:rPr>
          <w:spacing w:val="-58"/>
        </w:rPr>
        <w:t> </w:t>
      </w:r>
      <w:r>
        <w:rPr>
          <w:spacing w:val="-58"/>
        </w:rPr>
      </w:r>
      <w:r>
        <w:rPr>
          <w:spacing w:val="-1"/>
        </w:rPr>
        <w:t>本比例为</w:t>
      </w:r>
      <w:r>
        <w:rPr>
          <w:rFonts w:ascii="Times New Roman" w:hAnsi="Times New Roman" w:cs="Times New Roman" w:eastAsia="Times New Roman" w:hint="default"/>
          <w:spacing w:val="-1"/>
        </w:rPr>
        <w:t>0.9517%</w:t>
      </w:r>
      <w:r>
        <w:rPr>
          <w:spacing w:val="-1"/>
        </w:rPr>
        <w:t>，成交均价约为</w:t>
      </w:r>
      <w:r>
        <w:rPr>
          <w:rFonts w:ascii="Times New Roman" w:hAnsi="Times New Roman" w:cs="Times New Roman" w:eastAsia="Times New Roman" w:hint="default"/>
          <w:spacing w:val="-1"/>
        </w:rPr>
        <w:t>47.89</w:t>
      </w:r>
      <w:r>
        <w:rPr>
          <w:spacing w:val="-1"/>
        </w:rPr>
        <w:t>元</w:t>
      </w:r>
      <w:r>
        <w:rPr>
          <w:rFonts w:ascii="Times New Roman" w:hAnsi="Times New Roman" w:cs="Times New Roman" w:eastAsia="Times New Roman" w:hint="default"/>
          <w:spacing w:val="-1"/>
        </w:rPr>
        <w:t>/</w:t>
      </w:r>
      <w:r>
        <w:rPr>
          <w:spacing w:val="-1"/>
        </w:rPr>
        <w:t>股，成交金额为</w:t>
      </w:r>
      <w:r>
        <w:rPr>
          <w:rFonts w:ascii="Times New Roman" w:hAnsi="Times New Roman" w:cs="Times New Roman" w:eastAsia="Times New Roman" w:hint="default"/>
          <w:spacing w:val="-1"/>
        </w:rPr>
        <w:t>98,712,492.59</w:t>
      </w:r>
      <w:r>
        <w:rPr>
          <w:spacing w:val="-1"/>
        </w:rPr>
        <w:t>元，剩余资金留作备付资金。本次员工持股计划所购</w:t>
      </w:r>
      <w:r>
        <w:rPr>
          <w:spacing w:val="-87"/>
        </w:rPr>
        <w:t> </w:t>
      </w:r>
      <w:r>
        <w:rPr>
          <w:spacing w:val="-87"/>
        </w:rPr>
      </w:r>
      <w:r>
        <w:rPr/>
        <w:t>买的公司股票锁定期为自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4</w:t>
      </w:r>
      <w:r>
        <w:rPr/>
        <w:t>日起</w:t>
      </w:r>
      <w:r>
        <w:rPr>
          <w:rFonts w:ascii="Times New Roman" w:hAnsi="Times New Roman" w:cs="Times New Roman" w:eastAsia="Times New Roman" w:hint="default"/>
        </w:rPr>
        <w:t>12</w:t>
      </w:r>
      <w:r>
        <w:rPr/>
        <w:t>个月。</w:t>
      </w:r>
    </w:p>
    <w:p>
      <w:pPr>
        <w:pStyle w:val="BodyText"/>
        <w:spacing w:line="240" w:lineRule="auto" w:before="9"/>
        <w:ind w:left="154" w:right="0"/>
        <w:jc w:val="left"/>
      </w:pPr>
      <w:r>
        <w:rPr/>
        <w:t>本</w:t>
      </w:r>
      <w:r>
        <w:rPr>
          <w:spacing w:val="-61"/>
        </w:rPr>
        <w:t> </w:t>
      </w:r>
      <w:r>
        <w:rPr/>
        <w:t>员</w:t>
      </w:r>
      <w:r>
        <w:rPr>
          <w:spacing w:val="-61"/>
        </w:rPr>
        <w:t> </w:t>
      </w:r>
      <w:r>
        <w:rPr/>
        <w:t>工</w:t>
      </w:r>
      <w:r>
        <w:rPr>
          <w:spacing w:val="-61"/>
        </w:rPr>
        <w:t> </w:t>
      </w:r>
      <w:r>
        <w:rPr/>
        <w:t>持</w:t>
      </w:r>
      <w:r>
        <w:rPr>
          <w:spacing w:val="-61"/>
        </w:rPr>
        <w:t> </w:t>
      </w:r>
      <w:r>
        <w:rPr/>
        <w:t>股</w:t>
      </w:r>
      <w:r>
        <w:rPr>
          <w:spacing w:val="-60"/>
        </w:rPr>
        <w:t> </w:t>
      </w:r>
      <w:r>
        <w:rPr/>
        <w:t>计</w:t>
      </w:r>
      <w:r>
        <w:rPr>
          <w:spacing w:val="-61"/>
        </w:rPr>
        <w:t> </w:t>
      </w:r>
      <w:r>
        <w:rPr/>
        <w:t>划</w:t>
      </w:r>
      <w:r>
        <w:rPr>
          <w:spacing w:val="-61"/>
        </w:rPr>
        <w:t> </w:t>
      </w:r>
      <w:r>
        <w:rPr/>
        <w:t>的</w:t>
      </w:r>
      <w:r>
        <w:rPr>
          <w:spacing w:val="-61"/>
        </w:rPr>
        <w:t> </w:t>
      </w:r>
      <w:r>
        <w:rPr/>
        <w:t>进</w:t>
      </w:r>
      <w:r>
        <w:rPr>
          <w:spacing w:val="-61"/>
        </w:rPr>
        <w:t> </w:t>
      </w:r>
      <w:r>
        <w:rPr/>
        <w:t>展</w:t>
      </w:r>
      <w:r>
        <w:rPr>
          <w:spacing w:val="-60"/>
        </w:rPr>
        <w:t> </w:t>
      </w:r>
      <w:r>
        <w:rPr/>
        <w:t>情</w:t>
      </w:r>
      <w:r>
        <w:rPr>
          <w:spacing w:val="-61"/>
        </w:rPr>
        <w:t> </w:t>
      </w:r>
      <w:r>
        <w:rPr/>
        <w:t>况</w:t>
      </w:r>
      <w:r>
        <w:rPr>
          <w:spacing w:val="-61"/>
        </w:rPr>
        <w:t> </w:t>
      </w:r>
      <w:r>
        <w:rPr/>
        <w:t>均</w:t>
      </w:r>
      <w:r>
        <w:rPr>
          <w:spacing w:val="-61"/>
        </w:rPr>
        <w:t> </w:t>
      </w:r>
      <w:r>
        <w:rPr/>
        <w:t>已</w:t>
      </w:r>
      <w:r>
        <w:rPr>
          <w:spacing w:val="-61"/>
        </w:rPr>
        <w:t> </w:t>
      </w:r>
      <w:r>
        <w:rPr/>
        <w:t>公</w:t>
      </w:r>
      <w:r>
        <w:rPr>
          <w:spacing w:val="-60"/>
        </w:rPr>
        <w:t> </w:t>
      </w:r>
      <w:r>
        <w:rPr/>
        <w:t>告</w:t>
      </w:r>
      <w:r>
        <w:rPr>
          <w:spacing w:val="-61"/>
        </w:rPr>
        <w:t> </w:t>
      </w:r>
      <w:r>
        <w:rPr/>
        <w:t>，</w:t>
      </w:r>
      <w:r>
        <w:rPr>
          <w:spacing w:val="-61"/>
        </w:rPr>
        <w:t> </w:t>
      </w:r>
      <w:r>
        <w:rPr/>
        <w:t>详</w:t>
      </w:r>
      <w:r>
        <w:rPr>
          <w:spacing w:val="-61"/>
        </w:rPr>
        <w:t> </w:t>
      </w:r>
      <w:r>
        <w:rPr/>
        <w:t>细</w:t>
      </w:r>
      <w:r>
        <w:rPr>
          <w:spacing w:val="-57"/>
        </w:rPr>
        <w:t> </w:t>
      </w:r>
      <w:r>
        <w:rPr/>
        <w:t>信</w:t>
      </w:r>
      <w:r>
        <w:rPr>
          <w:spacing w:val="-60"/>
        </w:rPr>
        <w:t> </w:t>
      </w:r>
      <w:r>
        <w:rPr/>
        <w:t>息</w:t>
      </w:r>
      <w:r>
        <w:rPr>
          <w:spacing w:val="-61"/>
        </w:rPr>
        <w:t> </w:t>
      </w:r>
      <w:r>
        <w:rPr/>
        <w:t>可</w:t>
      </w:r>
      <w:r>
        <w:rPr>
          <w:spacing w:val="-61"/>
        </w:rPr>
        <w:t> </w:t>
      </w:r>
      <w:r>
        <w:rPr/>
        <w:t>查</w:t>
      </w:r>
      <w:r>
        <w:rPr>
          <w:spacing w:val="-61"/>
        </w:rPr>
        <w:t> </w:t>
      </w:r>
      <w:r>
        <w:rPr/>
        <w:t>阅</w:t>
      </w:r>
      <w:r>
        <w:rPr>
          <w:spacing w:val="-61"/>
        </w:rPr>
        <w:t> </w:t>
      </w:r>
      <w:r>
        <w:rPr/>
        <w:t>信</w:t>
      </w:r>
      <w:r>
        <w:rPr>
          <w:spacing w:val="-60"/>
        </w:rPr>
        <w:t> </w:t>
      </w:r>
      <w:r>
        <w:rPr/>
        <w:t>息</w:t>
      </w:r>
      <w:r>
        <w:rPr>
          <w:spacing w:val="-61"/>
        </w:rPr>
        <w:t> </w:t>
      </w:r>
      <w:r>
        <w:rPr/>
        <w:t>披</w:t>
      </w:r>
      <w:r>
        <w:rPr>
          <w:spacing w:val="-61"/>
        </w:rPr>
        <w:t> </w:t>
      </w:r>
      <w:r>
        <w:rPr/>
        <w:t>露</w:t>
      </w:r>
      <w:r>
        <w:rPr>
          <w:spacing w:val="-61"/>
        </w:rPr>
        <w:t> </w:t>
      </w:r>
      <w:r>
        <w:rPr/>
        <w:t>媒</w:t>
      </w:r>
      <w:r>
        <w:rPr>
          <w:spacing w:val="-61"/>
        </w:rPr>
        <w:t> </w:t>
      </w:r>
      <w:r>
        <w:rPr/>
        <w:t>体</w:t>
      </w:r>
      <w:r>
        <w:rPr>
          <w:spacing w:val="-60"/>
        </w:rPr>
        <w:t> </w:t>
      </w:r>
      <w:r>
        <w:rPr/>
        <w:t>中</w:t>
      </w:r>
      <w:r>
        <w:rPr>
          <w:spacing w:val="-61"/>
        </w:rPr>
        <w:t> </w:t>
      </w:r>
      <w:r>
        <w:rPr/>
        <w:t>国</w:t>
      </w:r>
      <w:r>
        <w:rPr>
          <w:spacing w:val="-61"/>
        </w:rPr>
        <w:t> </w:t>
      </w:r>
      <w:r>
        <w:rPr/>
        <w:t>证</w:t>
      </w:r>
      <w:r>
        <w:rPr>
          <w:spacing w:val="-61"/>
        </w:rPr>
        <w:t> </w:t>
      </w:r>
      <w:r>
        <w:rPr/>
        <w:t>券</w:t>
      </w:r>
      <w:r>
        <w:rPr>
          <w:spacing w:val="-61"/>
        </w:rPr>
        <w:t> </w:t>
      </w:r>
      <w:r>
        <w:rPr/>
        <w:t>报</w:t>
      </w:r>
      <w:r>
        <w:rPr>
          <w:spacing w:val="-60"/>
        </w:rPr>
        <w:t> </w:t>
      </w:r>
      <w:r>
        <w:rPr/>
        <w:t>、</w:t>
      </w:r>
      <w:r>
        <w:rPr>
          <w:spacing w:val="-61"/>
        </w:rPr>
        <w:t> </w:t>
      </w:r>
      <w:r>
        <w:rPr/>
        <w:t>证</w:t>
      </w:r>
      <w:r>
        <w:rPr>
          <w:spacing w:val="-61"/>
        </w:rPr>
        <w:t> </w:t>
      </w:r>
      <w:r>
        <w:rPr/>
        <w:t>券</w:t>
      </w:r>
      <w:r>
        <w:rPr>
          <w:spacing w:val="-61"/>
        </w:rPr>
        <w:t> </w:t>
      </w:r>
      <w:r>
        <w:rPr/>
        <w:t>时</w:t>
      </w:r>
      <w:r>
        <w:rPr>
          <w:spacing w:val="-61"/>
        </w:rPr>
        <w:t> </w:t>
      </w:r>
      <w:r>
        <w:rPr/>
        <w:t>报</w:t>
      </w:r>
      <w:r>
        <w:rPr>
          <w:spacing w:val="-60"/>
        </w:rPr>
        <w:t> </w:t>
      </w:r>
      <w:r>
        <w:rPr/>
        <w:t>和</w:t>
      </w:r>
      <w:r>
        <w:rPr>
          <w:spacing w:val="-61"/>
        </w:rPr>
        <w:t> </w:t>
      </w:r>
      <w:r>
        <w:rPr/>
        <w:t>巨</w:t>
      </w:r>
      <w:r>
        <w:rPr>
          <w:spacing w:val="-61"/>
        </w:rPr>
        <w:t> </w:t>
      </w:r>
      <w:r>
        <w:rPr/>
        <w:t>潮</w:t>
      </w:r>
      <w:r>
        <w:rPr>
          <w:spacing w:val="-61"/>
        </w:rPr>
        <w:t> </w:t>
      </w:r>
      <w:r>
        <w:rPr/>
        <w:t>资</w:t>
      </w:r>
      <w:r>
        <w:rPr>
          <w:spacing w:val="-61"/>
        </w:rPr>
        <w:t> </w:t>
      </w:r>
      <w:r>
        <w:rPr/>
        <w:t>讯</w:t>
      </w:r>
      <w:r>
        <w:rPr>
          <w:spacing w:val="-61"/>
        </w:rPr>
        <w:t> </w:t>
      </w:r>
      <w:r>
        <w:rPr/>
        <w:t>网</w:t>
      </w:r>
    </w:p>
    <w:p>
      <w:pPr>
        <w:pStyle w:val="BodyText"/>
        <w:spacing w:line="240" w:lineRule="auto" w:before="76"/>
        <w:ind w:left="154" w:right="0"/>
        <w:jc w:val="left"/>
      </w:pPr>
      <w:hyperlink r:id="rId13">
        <w:r>
          <w:rPr>
            <w:rFonts w:ascii="Times New Roman" w:hAnsi="Times New Roman" w:cs="Times New Roman" w:eastAsia="Times New Roman" w:hint="default"/>
          </w:rPr>
          <w:t>www.cninfo.com.cn</w:t>
        </w:r>
      </w:hyperlink>
      <w:r>
        <w:rPr/>
        <w:t>。</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十六、重大关联交易" w:id="80"/>
      <w:bookmarkEnd w:id="80"/>
      <w:r>
        <w:rPr>
          <w:b w:val="0"/>
          <w:bCs w:val="0"/>
        </w:rPr>
      </w:r>
      <w:r>
        <w:rPr/>
        <w:t>十六、重大关联交易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与日常经营相关的关联交易" w:id="81"/>
      <w:bookmarkEnd w:id="81"/>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801"/>
        <w:gridCol w:w="677"/>
        <w:gridCol w:w="677"/>
        <w:gridCol w:w="706"/>
        <w:gridCol w:w="679"/>
        <w:gridCol w:w="675"/>
        <w:gridCol w:w="674"/>
        <w:gridCol w:w="673"/>
        <w:gridCol w:w="535"/>
        <w:gridCol w:w="568"/>
        <w:gridCol w:w="708"/>
        <w:gridCol w:w="566"/>
        <w:gridCol w:w="709"/>
        <w:gridCol w:w="922"/>
      </w:tblGrid>
      <w:tr>
        <w:trPr>
          <w:trHeight w:val="1650" w:hRule="exact"/>
        </w:trPr>
        <w:tc>
          <w:tcPr>
            <w:tcW w:w="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304" w:right="34"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43" w:right="61"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63" w:right="61"/>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76" w:right="77"/>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64" w:right="62"/>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61" w:right="63"/>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1" w:right="61"/>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319" w:lineRule="auto" w:before="19"/>
              <w:ind w:left="151" w:right="151"/>
              <w:jc w:val="left"/>
              <w:rPr>
                <w:rFonts w:ascii="宋体" w:hAnsi="宋体" w:cs="宋体" w:eastAsia="宋体" w:hint="default"/>
                <w:sz w:val="18"/>
                <w:szCs w:val="18"/>
              </w:rPr>
            </w:pPr>
            <w:r>
              <w:rPr>
                <w:rFonts w:ascii="宋体" w:hAnsi="宋体" w:cs="宋体" w:eastAsia="宋体" w:hint="default"/>
                <w:sz w:val="18"/>
                <w:szCs w:val="18"/>
              </w:rPr>
              <w:t>（万 元）</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1" w:right="60"/>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3" w:hanging="2"/>
              <w:jc w:val="center"/>
              <w:rPr>
                <w:rFonts w:ascii="宋体" w:hAnsi="宋体" w:cs="宋体" w:eastAsia="宋体" w:hint="default"/>
                <w:sz w:val="18"/>
                <w:szCs w:val="18"/>
              </w:rPr>
            </w:pPr>
            <w:r>
              <w:rPr>
                <w:rFonts w:ascii="宋体" w:hAnsi="宋体" w:cs="宋体" w:eastAsia="宋体" w:hint="default"/>
                <w:sz w:val="18"/>
                <w:szCs w:val="18"/>
              </w:rPr>
              <w:t>获批 的交 易额 </w:t>
            </w:r>
            <w:r>
              <w:rPr>
                <w:rFonts w:ascii="宋体" w:hAnsi="宋体" w:cs="宋体" w:eastAsia="宋体" w:hint="default"/>
                <w:spacing w:val="-21"/>
                <w:sz w:val="18"/>
                <w:szCs w:val="18"/>
              </w:rPr>
              <w:t>度（万</w:t>
            </w:r>
            <w:r>
              <w:rPr>
                <w:rFonts w:ascii="宋体" w:hAnsi="宋体" w:cs="宋体" w:eastAsia="宋体" w:hint="default"/>
                <w:sz w:val="18"/>
                <w:szCs w:val="18"/>
              </w:rPr>
              <w:t> 元）</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8" w:right="97"/>
              <w:jc w:val="both"/>
              <w:rPr>
                <w:rFonts w:ascii="宋体" w:hAnsi="宋体" w:cs="宋体" w:eastAsia="宋体" w:hint="default"/>
                <w:sz w:val="18"/>
                <w:szCs w:val="18"/>
              </w:rPr>
            </w:pPr>
            <w:r>
              <w:rPr>
                <w:rFonts w:ascii="宋体" w:hAnsi="宋体" w:cs="宋体" w:eastAsia="宋体" w:hint="default"/>
                <w:sz w:val="18"/>
                <w:szCs w:val="18"/>
              </w:rPr>
              <w:t>是否 超过 获批 额度</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77" w:right="78"/>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8" w:right="96"/>
              <w:jc w:val="both"/>
              <w:rPr>
                <w:rFonts w:ascii="宋体" w:hAnsi="宋体" w:cs="宋体" w:eastAsia="宋体" w:hint="default"/>
                <w:sz w:val="18"/>
                <w:szCs w:val="18"/>
              </w:rPr>
            </w:pPr>
            <w:r>
              <w:rPr>
                <w:rFonts w:ascii="宋体" w:hAnsi="宋体" w:cs="宋体" w:eastAsia="宋体" w:hint="default"/>
                <w:sz w:val="18"/>
                <w:szCs w:val="18"/>
              </w:rPr>
              <w:t>可获 得的 同类 交易 市价</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59" w:right="78"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650"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龙信数据</w:t>
            </w:r>
          </w:p>
          <w:p>
            <w:pPr>
              <w:pStyle w:val="TableParagraph"/>
              <w:spacing w:line="319" w:lineRule="auto" w:before="76"/>
              <w:ind w:left="22" w:right="46"/>
              <w:jc w:val="left"/>
              <w:rPr>
                <w:rFonts w:ascii="宋体" w:hAnsi="宋体" w:cs="宋体" w:eastAsia="宋体" w:hint="default"/>
                <w:sz w:val="18"/>
                <w:szCs w:val="18"/>
              </w:rPr>
            </w:pPr>
            <w:r>
              <w:rPr>
                <w:rFonts w:ascii="宋体" w:hAnsi="宋体" w:cs="宋体" w:eastAsia="宋体" w:hint="default"/>
                <w:sz w:val="18"/>
                <w:szCs w:val="18"/>
              </w:rPr>
              <w:t>（北京）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02"/>
              <w:jc w:val="left"/>
              <w:rPr>
                <w:rFonts w:ascii="宋体" w:hAnsi="宋体" w:cs="宋体" w:eastAsia="宋体" w:hint="default"/>
                <w:sz w:val="18"/>
                <w:szCs w:val="18"/>
              </w:rPr>
            </w:pPr>
            <w:r>
              <w:rPr>
                <w:rFonts w:ascii="宋体" w:hAnsi="宋体" w:cs="宋体" w:eastAsia="宋体" w:hint="default"/>
                <w:sz w:val="18"/>
                <w:szCs w:val="18"/>
              </w:rPr>
              <w:t>同一董 事</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02"/>
              <w:jc w:val="both"/>
              <w:rPr>
                <w:rFonts w:ascii="宋体" w:hAnsi="宋体" w:cs="宋体" w:eastAsia="宋体" w:hint="default"/>
                <w:sz w:val="18"/>
                <w:szCs w:val="18"/>
              </w:rPr>
            </w:pPr>
            <w:r>
              <w:rPr>
                <w:rFonts w:ascii="宋体" w:hAnsi="宋体" w:cs="宋体" w:eastAsia="宋体" w:hint="default"/>
                <w:sz w:val="18"/>
                <w:szCs w:val="18"/>
              </w:rPr>
              <w:t>向关联 方提供 劳务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久其龙 信向关 联方提 供技术 服务</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04"/>
              <w:jc w:val="both"/>
              <w:rPr>
                <w:rFonts w:ascii="宋体" w:hAnsi="宋体" w:cs="宋体" w:eastAsia="宋体" w:hint="default"/>
                <w:sz w:val="18"/>
                <w:szCs w:val="18"/>
              </w:rPr>
            </w:pPr>
            <w:r>
              <w:rPr>
                <w:rFonts w:ascii="宋体" w:hAnsi="宋体" w:cs="宋体" w:eastAsia="宋体" w:hint="default"/>
                <w:sz w:val="18"/>
                <w:szCs w:val="18"/>
              </w:rPr>
              <w:t>以市场 公允价 格定价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77"/>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364.2</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97.87%</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5"/>
              <w:jc w:val="both"/>
              <w:rPr>
                <w:rFonts w:ascii="宋体" w:hAnsi="宋体" w:cs="宋体" w:eastAsia="宋体" w:hint="default"/>
                <w:sz w:val="18"/>
                <w:szCs w:val="18"/>
              </w:rPr>
            </w:pPr>
            <w:r>
              <w:rPr>
                <w:rFonts w:ascii="宋体" w:hAnsi="宋体" w:cs="宋体" w:eastAsia="宋体" w:hint="default"/>
                <w:sz w:val="18"/>
                <w:szCs w:val="18"/>
              </w:rPr>
              <w:t>根据项 目实际 情况确 定并结 算</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316" w:lineRule="auto"/>
              <w:ind w:left="22" w:right="17"/>
              <w:jc w:val="left"/>
              <w:rPr>
                <w:rFonts w:ascii="宋体" w:hAnsi="宋体" w:cs="宋体" w:eastAsia="宋体" w:hint="default"/>
                <w:sz w:val="18"/>
                <w:szCs w:val="18"/>
              </w:rPr>
            </w:pPr>
            <w:r>
              <w:rPr>
                <w:rFonts w:ascii="宋体" w:hAnsi="宋体" w:cs="宋体" w:eastAsia="宋体" w:hint="default"/>
                <w:sz w:val="18"/>
                <w:szCs w:val="18"/>
              </w:rPr>
              <w:t>关于日常 关联交易 预计情况 </w:t>
            </w:r>
            <w:r>
              <w:rPr>
                <w:rFonts w:ascii="宋体" w:hAnsi="宋体" w:cs="宋体" w:eastAsia="宋体" w:hint="default"/>
                <w:spacing w:val="-7"/>
                <w:sz w:val="18"/>
                <w:szCs w:val="18"/>
              </w:rPr>
              <w:t>的公告（公</w:t>
            </w:r>
            <w:r>
              <w:rPr>
                <w:rFonts w:ascii="宋体" w:hAnsi="宋体" w:cs="宋体" w:eastAsia="宋体" w:hint="default"/>
                <w:sz w:val="18"/>
                <w:szCs w:val="18"/>
              </w:rPr>
              <w:t> 告编号 </w:t>
            </w:r>
            <w:r>
              <w:rPr>
                <w:rFonts w:ascii="Times New Roman" w:hAnsi="Times New Roman" w:cs="Times New Roman" w:eastAsia="Times New Roman" w:hint="default"/>
                <w:sz w:val="18"/>
                <w:szCs w:val="18"/>
              </w:rPr>
              <w:t>2015-074</w:t>
            </w:r>
            <w:r>
              <w:rPr>
                <w:rFonts w:ascii="宋体" w:hAnsi="宋体" w:cs="宋体" w:eastAsia="宋体" w:hint="default"/>
                <w:sz w:val="18"/>
                <w:szCs w:val="18"/>
              </w:rPr>
              <w:t>）</w:t>
            </w:r>
          </w:p>
          <w:p>
            <w:pPr>
              <w:pStyle w:val="TableParagraph"/>
              <w:spacing w:line="338" w:lineRule="auto"/>
              <w:ind w:left="22" w:right="94"/>
              <w:jc w:val="both"/>
              <w:rPr>
                <w:rFonts w:ascii="Times New Roman" w:hAnsi="Times New Roman" w:cs="Times New Roman" w:eastAsia="Times New Roman" w:hint="default"/>
                <w:sz w:val="18"/>
                <w:szCs w:val="18"/>
              </w:rPr>
            </w:pPr>
            <w:r>
              <w:rPr>
                <w:rFonts w:ascii="宋体" w:hAnsi="宋体" w:cs="宋体" w:eastAsia="宋体" w:hint="default"/>
                <w:sz w:val="18"/>
                <w:szCs w:val="18"/>
              </w:rPr>
              <w:t>披露于巨 潮资讯网 </w:t>
            </w:r>
            <w:r>
              <w:rPr>
                <w:rFonts w:ascii="Times New Roman" w:hAnsi="Times New Roman" w:cs="Times New Roman" w:eastAsia="Times New Roman" w:hint="default"/>
                <w:spacing w:val="-2"/>
                <w:sz w:val="18"/>
                <w:szCs w:val="18"/>
              </w:rPr>
              <w:t>www.cninf</w:t>
            </w:r>
          </w:p>
          <w:p>
            <w:pPr>
              <w:pStyle w:val="TableParagraph"/>
              <w:spacing w:line="240" w:lineRule="auto" w:before="24"/>
              <w:ind w:left="22" w:right="0"/>
              <w:jc w:val="left"/>
              <w:rPr>
                <w:rFonts w:ascii="Times New Roman" w:hAnsi="Times New Roman" w:cs="Times New Roman" w:eastAsia="Times New Roman" w:hint="default"/>
                <w:sz w:val="18"/>
                <w:szCs w:val="18"/>
              </w:rPr>
            </w:pPr>
            <w:r>
              <w:rPr>
                <w:rFonts w:ascii="Times New Roman"/>
                <w:sz w:val="18"/>
              </w:rPr>
              <w:t>o.com.cn</w:t>
            </w:r>
          </w:p>
        </w:tc>
      </w:tr>
      <w:tr>
        <w:trPr>
          <w:trHeight w:val="1650"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46"/>
              <w:jc w:val="both"/>
              <w:rPr>
                <w:rFonts w:ascii="宋体" w:hAnsi="宋体" w:cs="宋体" w:eastAsia="宋体" w:hint="default"/>
                <w:sz w:val="18"/>
                <w:szCs w:val="18"/>
              </w:rPr>
            </w:pPr>
            <w:r>
              <w:rPr>
                <w:rFonts w:ascii="宋体" w:hAnsi="宋体" w:cs="宋体" w:eastAsia="宋体" w:hint="default"/>
                <w:sz w:val="18"/>
                <w:szCs w:val="18"/>
              </w:rPr>
              <w:t>北京久其 移动商务 科技有限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02"/>
              <w:jc w:val="left"/>
              <w:rPr>
                <w:rFonts w:ascii="宋体" w:hAnsi="宋体" w:cs="宋体" w:eastAsia="宋体" w:hint="default"/>
                <w:sz w:val="18"/>
                <w:szCs w:val="18"/>
              </w:rPr>
            </w:pPr>
            <w:r>
              <w:rPr>
                <w:rFonts w:ascii="宋体" w:hAnsi="宋体" w:cs="宋体" w:eastAsia="宋体" w:hint="default"/>
                <w:sz w:val="18"/>
                <w:szCs w:val="18"/>
              </w:rPr>
              <w:t>同一控 股股东</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02"/>
              <w:jc w:val="both"/>
              <w:rPr>
                <w:rFonts w:ascii="宋体" w:hAnsi="宋体" w:cs="宋体" w:eastAsia="宋体" w:hint="default"/>
                <w:sz w:val="18"/>
                <w:szCs w:val="18"/>
              </w:rPr>
            </w:pPr>
            <w:r>
              <w:rPr>
                <w:rFonts w:ascii="宋体" w:hAnsi="宋体" w:cs="宋体" w:eastAsia="宋体" w:hint="default"/>
                <w:sz w:val="18"/>
                <w:szCs w:val="18"/>
              </w:rPr>
              <w:t>向关联 方提供 劳务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公司向 关联方 提供财 务共享 服务</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04"/>
              <w:jc w:val="both"/>
              <w:rPr>
                <w:rFonts w:ascii="宋体" w:hAnsi="宋体" w:cs="宋体" w:eastAsia="宋体" w:hint="default"/>
                <w:sz w:val="18"/>
                <w:szCs w:val="18"/>
              </w:rPr>
            </w:pPr>
            <w:r>
              <w:rPr>
                <w:rFonts w:ascii="宋体" w:hAnsi="宋体" w:cs="宋体" w:eastAsia="宋体" w:hint="default"/>
                <w:sz w:val="18"/>
                <w:szCs w:val="18"/>
              </w:rPr>
              <w:t>以市场 公允价 格定价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77"/>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7.92</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2.13%</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5"/>
              <w:jc w:val="both"/>
              <w:rPr>
                <w:rFonts w:ascii="宋体" w:hAnsi="宋体" w:cs="宋体" w:eastAsia="宋体" w:hint="default"/>
                <w:sz w:val="18"/>
                <w:szCs w:val="18"/>
              </w:rPr>
            </w:pPr>
            <w:r>
              <w:rPr>
                <w:rFonts w:ascii="宋体" w:hAnsi="宋体" w:cs="宋体" w:eastAsia="宋体" w:hint="default"/>
                <w:sz w:val="18"/>
                <w:szCs w:val="18"/>
              </w:rPr>
              <w:t>按照人 工成本 和预算 工时计 算</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2" w:type="dxa"/>
            <w:vMerge/>
            <w:tcBorders>
              <w:left w:val="single" w:sz="4" w:space="0" w:color="000000"/>
              <w:right w:val="single" w:sz="4" w:space="0" w:color="000000"/>
            </w:tcBorders>
          </w:tcPr>
          <w:p>
            <w:pPr/>
          </w:p>
        </w:tc>
      </w:tr>
      <w:tr>
        <w:trPr>
          <w:trHeight w:val="2274"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46"/>
              <w:jc w:val="both"/>
              <w:rPr>
                <w:rFonts w:ascii="宋体" w:hAnsi="宋体" w:cs="宋体" w:eastAsia="宋体" w:hint="default"/>
                <w:sz w:val="18"/>
                <w:szCs w:val="18"/>
              </w:rPr>
            </w:pPr>
            <w:r>
              <w:rPr>
                <w:rFonts w:ascii="宋体" w:hAnsi="宋体" w:cs="宋体" w:eastAsia="宋体" w:hint="default"/>
                <w:sz w:val="18"/>
                <w:szCs w:val="18"/>
              </w:rPr>
              <w:t>北京久其 移动商务 科技有限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102"/>
              <w:jc w:val="left"/>
              <w:rPr>
                <w:rFonts w:ascii="宋体" w:hAnsi="宋体" w:cs="宋体" w:eastAsia="宋体" w:hint="default"/>
                <w:sz w:val="18"/>
                <w:szCs w:val="18"/>
              </w:rPr>
            </w:pPr>
            <w:r>
              <w:rPr>
                <w:rFonts w:ascii="宋体" w:hAnsi="宋体" w:cs="宋体" w:eastAsia="宋体" w:hint="default"/>
                <w:sz w:val="18"/>
                <w:szCs w:val="18"/>
              </w:rPr>
              <w:t>同一控 股股东</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02"/>
              <w:jc w:val="both"/>
              <w:rPr>
                <w:rFonts w:ascii="宋体" w:hAnsi="宋体" w:cs="宋体" w:eastAsia="宋体" w:hint="default"/>
                <w:sz w:val="18"/>
                <w:szCs w:val="18"/>
              </w:rPr>
            </w:pPr>
            <w:r>
              <w:rPr>
                <w:rFonts w:ascii="宋体" w:hAnsi="宋体" w:cs="宋体" w:eastAsia="宋体" w:hint="default"/>
                <w:sz w:val="18"/>
                <w:szCs w:val="18"/>
              </w:rPr>
              <w:t>向关联 人方提 供租赁 等服务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公司向 关联方 出租办 公用房 及提供 物业服 务</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104"/>
              <w:jc w:val="both"/>
              <w:rPr>
                <w:rFonts w:ascii="宋体" w:hAnsi="宋体" w:cs="宋体" w:eastAsia="宋体" w:hint="default"/>
                <w:sz w:val="18"/>
                <w:szCs w:val="18"/>
              </w:rPr>
            </w:pPr>
            <w:r>
              <w:rPr>
                <w:rFonts w:ascii="宋体" w:hAnsi="宋体" w:cs="宋体" w:eastAsia="宋体" w:hint="default"/>
                <w:sz w:val="18"/>
                <w:szCs w:val="18"/>
              </w:rPr>
              <w:t>以市场 公允价 格定价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77"/>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9.45</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25</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135"/>
              <w:jc w:val="left"/>
              <w:rPr>
                <w:rFonts w:ascii="宋体" w:hAnsi="宋体" w:cs="宋体" w:eastAsia="宋体" w:hint="default"/>
                <w:sz w:val="18"/>
                <w:szCs w:val="18"/>
              </w:rPr>
            </w:pPr>
            <w:r>
              <w:rPr>
                <w:rFonts w:ascii="宋体" w:hAnsi="宋体" w:cs="宋体" w:eastAsia="宋体" w:hint="default"/>
                <w:sz w:val="18"/>
                <w:szCs w:val="18"/>
              </w:rPr>
              <w:t>按季结 算支付</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2" w:type="dxa"/>
            <w:vMerge/>
            <w:tcBorders>
              <w:left w:val="single" w:sz="4" w:space="0" w:color="000000"/>
              <w:bottom w:val="single" w:sz="4" w:space="0" w:color="000000"/>
              <w:right w:val="single" w:sz="4" w:space="0" w:color="000000"/>
            </w:tcBorders>
          </w:tcPr>
          <w:p>
            <w:pPr/>
          </w:p>
        </w:tc>
      </w:tr>
      <w:tr>
        <w:trPr>
          <w:trHeight w:val="402"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381.57</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35"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555</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1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859"/>
        <w:gridCol w:w="6711"/>
      </w:tblGrid>
      <w:tr>
        <w:trPr>
          <w:trHeight w:val="1026" w:hRule="exact"/>
        </w:trPr>
        <w:tc>
          <w:tcPr>
            <w:tcW w:w="2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5"/>
                <w:sz w:val="18"/>
                <w:szCs w:val="18"/>
              </w:rPr>
              <w:t>易进行总金额预计的，在报告期内的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实际履行情况（如有）</w:t>
            </w:r>
          </w:p>
        </w:tc>
        <w:tc>
          <w:tcPr>
            <w:tcW w:w="6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报告期，公司发生的日常关联交易金额均在预计范围内。</w:t>
            </w:r>
          </w:p>
        </w:tc>
      </w:tr>
      <w:tr>
        <w:trPr>
          <w:trHeight w:val="714" w:hRule="exact"/>
        </w:trPr>
        <w:tc>
          <w:tcPr>
            <w:tcW w:w="2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26"/>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资产或股权收购、出售发生的关联交易" w:id="82"/>
      <w:bookmarkEnd w:id="82"/>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3、共同对外投资的关联交易" w:id="83"/>
      <w:bookmarkEnd w:id="83"/>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77"/>
        <w:gridCol w:w="1073"/>
        <w:gridCol w:w="1076"/>
        <w:gridCol w:w="1224"/>
        <w:gridCol w:w="1080"/>
        <w:gridCol w:w="1350"/>
        <w:gridCol w:w="1347"/>
        <w:gridCol w:w="1342"/>
      </w:tblGrid>
      <w:tr>
        <w:trPr>
          <w:trHeight w:val="714" w:hRule="exact"/>
        </w:trPr>
        <w:tc>
          <w:tcPr>
            <w:tcW w:w="1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共同投资方</w:t>
            </w:r>
          </w:p>
        </w:tc>
        <w:tc>
          <w:tcPr>
            <w:tcW w:w="1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62" w:right="83" w:hanging="180"/>
              <w:jc w:val="left"/>
              <w:rPr>
                <w:rFonts w:ascii="宋体" w:hAnsi="宋体" w:cs="宋体" w:eastAsia="宋体" w:hint="default"/>
                <w:sz w:val="18"/>
                <w:szCs w:val="18"/>
              </w:rPr>
            </w:pPr>
            <w:r>
              <w:rPr>
                <w:rFonts w:ascii="宋体" w:hAnsi="宋体" w:cs="宋体" w:eastAsia="宋体" w:hint="default"/>
                <w:sz w:val="18"/>
                <w:szCs w:val="18"/>
              </w:rPr>
              <w:t>被投资企业 的名称</w:t>
            </w:r>
          </w:p>
        </w:tc>
        <w:tc>
          <w:tcPr>
            <w:tcW w:w="1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7" w:right="65" w:hanging="180"/>
              <w:jc w:val="left"/>
              <w:rPr>
                <w:rFonts w:ascii="宋体" w:hAnsi="宋体" w:cs="宋体" w:eastAsia="宋体" w:hint="default"/>
                <w:sz w:val="18"/>
                <w:szCs w:val="18"/>
              </w:rPr>
            </w:pPr>
            <w:r>
              <w:rPr>
                <w:rFonts w:ascii="宋体" w:hAnsi="宋体" w:cs="宋体" w:eastAsia="宋体" w:hint="default"/>
                <w:sz w:val="18"/>
                <w:szCs w:val="18"/>
              </w:rPr>
              <w:t>被投资企业的 主营业务</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5" w:right="83"/>
              <w:jc w:val="left"/>
              <w:rPr>
                <w:rFonts w:ascii="宋体" w:hAnsi="宋体" w:cs="宋体" w:eastAsia="宋体" w:hint="default"/>
                <w:sz w:val="18"/>
                <w:szCs w:val="18"/>
              </w:rPr>
            </w:pPr>
            <w:r>
              <w:rPr>
                <w:rFonts w:ascii="宋体" w:hAnsi="宋体" w:cs="宋体" w:eastAsia="宋体" w:hint="default"/>
                <w:sz w:val="18"/>
                <w:szCs w:val="18"/>
              </w:rPr>
              <w:t>被投资企业 的注册资本</w:t>
            </w:r>
          </w:p>
        </w:tc>
        <w:tc>
          <w:tcPr>
            <w:tcW w:w="1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9" w:right="38" w:hanging="90"/>
              <w:jc w:val="left"/>
              <w:rPr>
                <w:rFonts w:ascii="宋体" w:hAnsi="宋体" w:cs="宋体" w:eastAsia="宋体" w:hint="default"/>
                <w:sz w:val="18"/>
                <w:szCs w:val="18"/>
              </w:rPr>
            </w:pPr>
            <w:r>
              <w:rPr>
                <w:rFonts w:ascii="宋体" w:hAnsi="宋体" w:cs="宋体" w:eastAsia="宋体" w:hint="default"/>
                <w:sz w:val="18"/>
                <w:szCs w:val="18"/>
              </w:rPr>
              <w:t>被投资企业的总 资产（万元）</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8" w:right="36" w:hanging="91"/>
              <w:jc w:val="left"/>
              <w:rPr>
                <w:rFonts w:ascii="宋体" w:hAnsi="宋体" w:cs="宋体" w:eastAsia="宋体" w:hint="default"/>
                <w:sz w:val="18"/>
                <w:szCs w:val="18"/>
              </w:rPr>
            </w:pPr>
            <w:r>
              <w:rPr>
                <w:rFonts w:ascii="宋体" w:hAnsi="宋体" w:cs="宋体" w:eastAsia="宋体" w:hint="default"/>
                <w:sz w:val="18"/>
                <w:szCs w:val="18"/>
              </w:rPr>
              <w:t>被投资企业的净 资产（万元）</w:t>
            </w:r>
          </w:p>
        </w:tc>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6" w:right="35" w:hanging="90"/>
              <w:jc w:val="left"/>
              <w:rPr>
                <w:rFonts w:ascii="宋体" w:hAnsi="宋体" w:cs="宋体" w:eastAsia="宋体" w:hint="default"/>
                <w:sz w:val="18"/>
                <w:szCs w:val="18"/>
              </w:rPr>
            </w:pPr>
            <w:r>
              <w:rPr>
                <w:rFonts w:ascii="宋体" w:hAnsi="宋体" w:cs="宋体" w:eastAsia="宋体" w:hint="default"/>
                <w:sz w:val="18"/>
                <w:szCs w:val="18"/>
              </w:rPr>
              <w:t>被投资企业的净 利润（万元）</w:t>
            </w:r>
          </w:p>
        </w:tc>
      </w:tr>
      <w:tr>
        <w:trPr>
          <w:trHeight w:val="1338" w:hRule="exact"/>
        </w:trPr>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42"/>
              <w:jc w:val="both"/>
              <w:rPr>
                <w:rFonts w:ascii="宋体" w:hAnsi="宋体" w:cs="宋体" w:eastAsia="宋体" w:hint="default"/>
                <w:sz w:val="18"/>
                <w:szCs w:val="18"/>
              </w:rPr>
            </w:pPr>
            <w:r>
              <w:rPr>
                <w:rFonts w:ascii="宋体" w:hAnsi="宋体" w:cs="宋体" w:eastAsia="宋体" w:hint="default"/>
                <w:sz w:val="18"/>
                <w:szCs w:val="18"/>
              </w:rPr>
              <w:t>北京久其科 技投资有限 公司</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3"/>
              <w:jc w:val="both"/>
              <w:rPr>
                <w:rFonts w:ascii="宋体" w:hAnsi="宋体" w:cs="宋体" w:eastAsia="宋体" w:hint="default"/>
                <w:sz w:val="18"/>
                <w:szCs w:val="18"/>
              </w:rPr>
            </w:pPr>
            <w:r>
              <w:rPr>
                <w:rFonts w:ascii="宋体" w:hAnsi="宋体" w:cs="宋体" w:eastAsia="宋体" w:hint="default"/>
                <w:sz w:val="18"/>
                <w:szCs w:val="18"/>
              </w:rPr>
              <w:t>北京久其互 联网金融信 息服务有限 公司</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108"/>
              <w:jc w:val="left"/>
              <w:rPr>
                <w:rFonts w:ascii="宋体" w:hAnsi="宋体" w:cs="宋体" w:eastAsia="宋体" w:hint="default"/>
                <w:sz w:val="18"/>
                <w:szCs w:val="18"/>
              </w:rPr>
            </w:pPr>
            <w:r>
              <w:rPr>
                <w:rFonts w:ascii="宋体" w:hAnsi="宋体" w:cs="宋体" w:eastAsia="宋体" w:hint="default"/>
                <w:sz w:val="18"/>
                <w:szCs w:val="18"/>
              </w:rPr>
              <w:t>互联网金融信 息服务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456.91</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387.25</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-612.75</w:t>
            </w:r>
          </w:p>
        </w:tc>
      </w:tr>
      <w:tr>
        <w:trPr>
          <w:trHeight w:val="1026" w:hRule="exact"/>
        </w:trPr>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欧阳曜</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公司董事</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3"/>
              <w:jc w:val="both"/>
              <w:rPr>
                <w:rFonts w:ascii="宋体" w:hAnsi="宋体" w:cs="宋体" w:eastAsia="宋体" w:hint="default"/>
                <w:sz w:val="18"/>
                <w:szCs w:val="18"/>
              </w:rPr>
            </w:pPr>
            <w:r>
              <w:rPr>
                <w:rFonts w:ascii="宋体" w:hAnsi="宋体" w:cs="宋体" w:eastAsia="宋体" w:hint="default"/>
                <w:sz w:val="18"/>
                <w:szCs w:val="18"/>
              </w:rPr>
              <w:t>北京蜂语网 络科技有限 公司</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3" w:right="64"/>
              <w:jc w:val="left"/>
              <w:rPr>
                <w:rFonts w:ascii="宋体" w:hAnsi="宋体" w:cs="宋体" w:eastAsia="宋体" w:hint="default"/>
                <w:sz w:val="18"/>
                <w:szCs w:val="18"/>
              </w:rPr>
            </w:pPr>
            <w:r>
              <w:rPr>
                <w:rFonts w:ascii="Times New Roman" w:hAnsi="Times New Roman" w:cs="Times New Roman" w:eastAsia="Times New Roman" w:hint="default"/>
                <w:sz w:val="18"/>
                <w:szCs w:val="18"/>
              </w:rPr>
              <w:t>PaaS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平台研发 及服务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388.1</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370.5</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-29.5</w:t>
            </w:r>
          </w:p>
        </w:tc>
      </w:tr>
      <w:tr>
        <w:trPr>
          <w:trHeight w:val="1026" w:hRule="exact"/>
        </w:trPr>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施瑞丰</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公司董事</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3"/>
              <w:jc w:val="both"/>
              <w:rPr>
                <w:rFonts w:ascii="宋体" w:hAnsi="宋体" w:cs="宋体" w:eastAsia="宋体" w:hint="default"/>
                <w:sz w:val="18"/>
                <w:szCs w:val="18"/>
              </w:rPr>
            </w:pPr>
            <w:r>
              <w:rPr>
                <w:rFonts w:ascii="宋体" w:hAnsi="宋体" w:cs="宋体" w:eastAsia="宋体" w:hint="default"/>
                <w:sz w:val="18"/>
                <w:szCs w:val="18"/>
              </w:rPr>
              <w:t>北京中民颐 养科技服务 有限公司</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3" w:right="186"/>
              <w:jc w:val="left"/>
              <w:rPr>
                <w:rFonts w:ascii="宋体" w:hAnsi="宋体" w:cs="宋体" w:eastAsia="宋体" w:hint="default"/>
                <w:sz w:val="18"/>
                <w:szCs w:val="18"/>
              </w:rPr>
            </w:pPr>
            <w:r>
              <w:rPr>
                <w:rFonts w:ascii="宋体" w:hAnsi="宋体" w:cs="宋体" w:eastAsia="宋体" w:hint="default"/>
                <w:sz w:val="18"/>
                <w:szCs w:val="18"/>
              </w:rPr>
              <w:t>互联网</w:t>
            </w:r>
            <w:r>
              <w:rPr>
                <w:rFonts w:ascii="Times New Roman" w:hAnsi="Times New Roman" w:cs="Times New Roman" w:eastAsia="Times New Roman" w:hint="default"/>
                <w:sz w:val="18"/>
                <w:szCs w:val="18"/>
              </w:rPr>
              <w:t>+</w:t>
            </w:r>
            <w:r>
              <w:rPr>
                <w:rFonts w:ascii="宋体" w:hAnsi="宋体" w:cs="宋体" w:eastAsia="宋体" w:hint="default"/>
                <w:sz w:val="18"/>
                <w:szCs w:val="18"/>
              </w:rPr>
              <w:t>养老 信息化服务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董泰湘</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38"/>
              <w:jc w:val="left"/>
              <w:rPr>
                <w:rFonts w:ascii="宋体" w:hAnsi="宋体" w:cs="宋体" w:eastAsia="宋体" w:hint="default"/>
                <w:sz w:val="18"/>
                <w:szCs w:val="18"/>
              </w:rPr>
            </w:pPr>
            <w:r>
              <w:rPr>
                <w:rFonts w:ascii="宋体" w:hAnsi="宋体" w:cs="宋体" w:eastAsia="宋体" w:hint="default"/>
                <w:sz w:val="18"/>
                <w:szCs w:val="18"/>
              </w:rPr>
              <w:t>公司实际控 制人</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3"/>
              <w:jc w:val="both"/>
              <w:rPr>
                <w:rFonts w:ascii="宋体" w:hAnsi="宋体" w:cs="宋体" w:eastAsia="宋体" w:hint="default"/>
                <w:sz w:val="18"/>
                <w:szCs w:val="18"/>
              </w:rPr>
            </w:pPr>
            <w:r>
              <w:rPr>
                <w:rFonts w:ascii="宋体" w:hAnsi="宋体" w:cs="宋体" w:eastAsia="宋体" w:hint="default"/>
                <w:sz w:val="18"/>
                <w:szCs w:val="18"/>
              </w:rPr>
              <w:t>北京久其政 务软件股份 有限公司</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08"/>
              <w:jc w:val="left"/>
              <w:rPr>
                <w:rFonts w:ascii="宋体" w:hAnsi="宋体" w:cs="宋体" w:eastAsia="宋体" w:hint="default"/>
                <w:sz w:val="18"/>
                <w:szCs w:val="18"/>
              </w:rPr>
            </w:pPr>
            <w:r>
              <w:rPr>
                <w:rFonts w:ascii="宋体" w:hAnsi="宋体" w:cs="宋体" w:eastAsia="宋体" w:hint="default"/>
                <w:sz w:val="18"/>
                <w:szCs w:val="18"/>
              </w:rPr>
              <w:t>软件开发、服 务与信息咨询</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9,948.8</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8,975.69</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901.79</w:t>
            </w:r>
          </w:p>
        </w:tc>
      </w:tr>
      <w:tr>
        <w:trPr>
          <w:trHeight w:val="714" w:hRule="exact"/>
        </w:trPr>
        <w:tc>
          <w:tcPr>
            <w:tcW w:w="21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35"/>
              <w:jc w:val="left"/>
              <w:rPr>
                <w:rFonts w:ascii="宋体" w:hAnsi="宋体" w:cs="宋体" w:eastAsia="宋体" w:hint="default"/>
                <w:sz w:val="18"/>
                <w:szCs w:val="18"/>
              </w:rPr>
            </w:pPr>
            <w:r>
              <w:rPr>
                <w:rFonts w:ascii="宋体" w:hAnsi="宋体" w:cs="宋体" w:eastAsia="宋体" w:hint="default"/>
                <w:sz w:val="18"/>
                <w:szCs w:val="18"/>
              </w:rPr>
              <w:t>被投资企业的重大在建项 目的进展情况（如有）</w:t>
            </w:r>
          </w:p>
        </w:tc>
        <w:tc>
          <w:tcPr>
            <w:tcW w:w="741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关联债权债务往来" w:id="84"/>
      <w:bookmarkEnd w:id="84"/>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12"/>
        <w:rPr>
          <w:rFonts w:ascii="宋体" w:hAnsi="宋体" w:cs="宋体" w:eastAsia="宋体" w:hint="default"/>
          <w:sz w:val="20"/>
          <w:szCs w:val="20"/>
        </w:rPr>
      </w:pPr>
    </w:p>
    <w:p>
      <w:pPr>
        <w:pStyle w:val="Heading3"/>
        <w:spacing w:line="240" w:lineRule="auto"/>
        <w:ind w:left="153" w:right="0"/>
        <w:jc w:val="left"/>
        <w:rPr>
          <w:b w:val="0"/>
          <w:bCs w:val="0"/>
        </w:rPr>
      </w:pPr>
      <w:bookmarkStart w:name="5、其他重大关联交易" w:id="85"/>
      <w:bookmarkEnd w:id="85"/>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right="0"/>
        <w:jc w:val="left"/>
      </w:pPr>
      <w:r>
        <w:rPr>
          <w:rFonts w:ascii="Times New Roman" w:hAnsi="Times New Roman" w:cs="Times New Roman" w:eastAsia="Times New Roman" w:hint="default"/>
        </w:rPr>
        <w:t>1</w:t>
      </w:r>
      <w:r>
        <w:rPr/>
        <w:t>、因并购亿起联科技，公司在报告期以非公开发行股份方式向控股股东久其科技发行</w:t>
      </w:r>
      <w:r>
        <w:rPr>
          <w:spacing w:val="-55"/>
        </w:rPr>
        <w:t> </w:t>
      </w:r>
      <w:r>
        <w:rPr>
          <w:rFonts w:ascii="Times New Roman" w:hAnsi="Times New Roman" w:cs="Times New Roman" w:eastAsia="Times New Roman" w:hint="default"/>
        </w:rPr>
        <w:t>5,922,746</w:t>
      </w:r>
      <w:r>
        <w:rPr>
          <w:rFonts w:ascii="Times New Roman" w:hAnsi="Times New Roman" w:cs="Times New Roman" w:eastAsia="Times New Roman" w:hint="default"/>
          <w:spacing w:val="-10"/>
        </w:rPr>
        <w:t> </w:t>
      </w:r>
      <w:r>
        <w:rPr/>
        <w:t>股股份，发行价格</w:t>
      </w:r>
      <w:r>
        <w:rPr>
          <w:spacing w:val="-56"/>
        </w:rPr>
        <w:t> </w:t>
      </w:r>
      <w:r>
        <w:rPr>
          <w:rFonts w:ascii="Times New Roman" w:hAnsi="Times New Roman" w:cs="Times New Roman" w:eastAsia="Times New Roman" w:hint="default"/>
        </w:rPr>
        <w:t>23.30</w:t>
      </w:r>
      <w:r>
        <w:rPr>
          <w:rFonts w:ascii="Times New Roman" w:hAnsi="Times New Roman" w:cs="Times New Roman" w:eastAsia="Times New Roman" w:hint="default"/>
          <w:spacing w:val="-11"/>
        </w:rPr>
        <w:t> </w:t>
      </w:r>
      <w:r>
        <w:rPr/>
        <w:t>元</w:t>
      </w:r>
    </w:p>
    <w:p>
      <w:pPr>
        <w:pStyle w:val="BodyText"/>
        <w:spacing w:line="302" w:lineRule="auto" w:before="63"/>
        <w:ind w:left="154" w:right="1122"/>
        <w:jc w:val="left"/>
      </w:pPr>
      <w:r>
        <w:rPr>
          <w:rFonts w:ascii="Times New Roman" w:hAnsi="Times New Roman" w:cs="Times New Roman" w:eastAsia="Times New Roman" w:hint="default"/>
          <w:spacing w:val="-3"/>
        </w:rPr>
        <w:t>/</w:t>
      </w:r>
      <w:r>
        <w:rPr>
          <w:spacing w:val="-3"/>
        </w:rPr>
        <w:t>股，共募集资金</w:t>
      </w:r>
      <w:r>
        <w:rPr>
          <w:spacing w:val="-54"/>
        </w:rPr>
        <w:t> </w:t>
      </w:r>
      <w:r>
        <w:rPr>
          <w:rFonts w:ascii="Times New Roman" w:hAnsi="Times New Roman" w:cs="Times New Roman" w:eastAsia="Times New Roman" w:hint="default"/>
        </w:rPr>
        <w:t>13,800</w:t>
      </w:r>
      <w:r>
        <w:rPr>
          <w:rFonts w:ascii="Times New Roman" w:hAnsi="Times New Roman" w:cs="Times New Roman" w:eastAsia="Times New Roman" w:hint="default"/>
          <w:spacing w:val="-9"/>
        </w:rPr>
        <w:t> </w:t>
      </w:r>
      <w:r>
        <w:rPr/>
        <w:t>万元，久其科技获发股份已于</w:t>
      </w:r>
      <w:r>
        <w:rPr>
          <w:spacing w:val="-5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9"/>
        </w:rPr>
        <w:t> </w:t>
      </w:r>
      <w:r>
        <w:rPr/>
        <w:t>年</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8"/>
        </w:rPr>
        <w:t> </w:t>
      </w:r>
      <w:r>
        <w:rPr/>
        <w:t>月</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9"/>
        </w:rPr>
        <w:t> </w:t>
      </w:r>
      <w:r>
        <w:rPr/>
        <w:t>日上市流通，本次交易属于重大关联交易，已获公司股 东大会通过及证监会批文核准。</w:t>
      </w:r>
    </w:p>
    <w:p>
      <w:pPr>
        <w:spacing w:after="0" w:line="302"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240" w:lineRule="auto" w:before="44"/>
        <w:ind w:right="0"/>
        <w:jc w:val="left"/>
      </w:pPr>
      <w:r>
        <w:rPr>
          <w:rFonts w:ascii="Times New Roman" w:hAnsi="Times New Roman" w:cs="Times New Roman" w:eastAsia="Times New Roman" w:hint="default"/>
        </w:rPr>
        <w:t>2</w:t>
      </w:r>
      <w:r>
        <w:rPr/>
        <w:t>、因并购华夏电通，公司在报告期以非公开发行的方式向控股股东久其科技发行</w:t>
      </w:r>
      <w:r>
        <w:rPr>
          <w:spacing w:val="-45"/>
        </w:rPr>
        <w:t> </w:t>
      </w:r>
      <w:r>
        <w:rPr>
          <w:rFonts w:ascii="Times New Roman" w:hAnsi="Times New Roman" w:cs="Times New Roman" w:eastAsia="Times New Roman" w:hint="default"/>
        </w:rPr>
        <w:t>1,243,781 </w:t>
      </w:r>
      <w:r>
        <w:rPr/>
        <w:t>股股份，发行价格</w:t>
      </w:r>
      <w:r>
        <w:rPr>
          <w:spacing w:val="-46"/>
        </w:rPr>
        <w:t> </w:t>
      </w:r>
      <w:r>
        <w:rPr>
          <w:rFonts w:ascii="Times New Roman" w:hAnsi="Times New Roman" w:cs="Times New Roman" w:eastAsia="Times New Roman" w:hint="default"/>
        </w:rPr>
        <w:t>32.16</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股，</w:t>
      </w:r>
    </w:p>
    <w:p>
      <w:pPr>
        <w:pStyle w:val="BodyText"/>
        <w:spacing w:line="302" w:lineRule="auto" w:before="63"/>
        <w:ind w:left="154" w:right="1182"/>
        <w:jc w:val="left"/>
      </w:pPr>
      <w:r>
        <w:rPr/>
        <w:t>募集资金</w:t>
      </w:r>
      <w:r>
        <w:rPr>
          <w:spacing w:val="-46"/>
        </w:rPr>
        <w:t> </w:t>
      </w:r>
      <w:r>
        <w:rPr>
          <w:rFonts w:ascii="Times New Roman" w:hAnsi="Times New Roman" w:cs="Times New Roman" w:eastAsia="Times New Roman" w:hint="default"/>
        </w:rPr>
        <w:t>4,000</w:t>
      </w:r>
      <w:r>
        <w:rPr>
          <w:rFonts w:ascii="Times New Roman" w:hAnsi="Times New Roman" w:cs="Times New Roman" w:eastAsia="Times New Roman" w:hint="default"/>
          <w:spacing w:val="-1"/>
        </w:rPr>
        <w:t> </w:t>
      </w:r>
      <w:r>
        <w:rPr/>
        <w:t>万元，久其科技获发股份已于</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日上市，本次交易属于重大关联交易，已获公司股东大会通 过及证监会批文核准。</w:t>
      </w:r>
    </w:p>
    <w:p>
      <w:pPr>
        <w:spacing w:line="240" w:lineRule="auto" w:before="6"/>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3460"/>
        <w:gridCol w:w="2650"/>
        <w:gridCol w:w="3459"/>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0"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4"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5"/>
              <w:jc w:val="left"/>
              <w:rPr>
                <w:rFonts w:ascii="宋体" w:hAnsi="宋体" w:cs="宋体" w:eastAsia="宋体" w:hint="default"/>
                <w:sz w:val="18"/>
                <w:szCs w:val="18"/>
              </w:rPr>
            </w:pPr>
            <w:r>
              <w:rPr>
                <w:rFonts w:ascii="宋体" w:hAnsi="宋体" w:cs="宋体" w:eastAsia="宋体" w:hint="default"/>
                <w:sz w:val="18"/>
                <w:szCs w:val="18"/>
              </w:rPr>
              <w:t>关于签署附条件生效的股份认购协议暨关 联交易的公告（公告编号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2014-059</w:t>
            </w:r>
            <w:r>
              <w:rPr>
                <w:rFonts w:ascii="宋体" w:hAnsi="宋体" w:cs="宋体" w:eastAsia="宋体" w:hint="default"/>
                <w:sz w:val="18"/>
                <w:szCs w:val="18"/>
              </w:rPr>
              <w:t>）</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0"/>
                <w:sz w:val="18"/>
                <w:szCs w:val="18"/>
              </w:rPr>
              <w:t> </w:t>
            </w:r>
            <w:hyperlink r:id="rId13">
              <w:r>
                <w:rPr>
                  <w:rFonts w:ascii="Times New Roman" w:hAnsi="Times New Roman" w:cs="Times New Roman" w:eastAsia="Times New Roman" w:hint="default"/>
                  <w:sz w:val="18"/>
                  <w:szCs w:val="18"/>
                </w:rPr>
                <w:t>www.cninfo.com.cn</w:t>
              </w:r>
            </w:hyperlink>
          </w:p>
        </w:tc>
      </w:tr>
      <w:tr>
        <w:trPr>
          <w:trHeight w:val="715"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5"/>
              <w:jc w:val="left"/>
              <w:rPr>
                <w:rFonts w:ascii="宋体" w:hAnsi="宋体" w:cs="宋体" w:eastAsia="宋体" w:hint="default"/>
                <w:sz w:val="18"/>
                <w:szCs w:val="18"/>
              </w:rPr>
            </w:pPr>
            <w:r>
              <w:rPr>
                <w:rFonts w:ascii="宋体" w:hAnsi="宋体" w:cs="宋体" w:eastAsia="宋体" w:hint="default"/>
                <w:sz w:val="18"/>
                <w:szCs w:val="18"/>
              </w:rPr>
              <w:t>关于签署附条件生效的股份认购协议暨关 联交易的公告（公告编号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2015-030</w:t>
            </w:r>
            <w:r>
              <w:rPr>
                <w:rFonts w:ascii="宋体" w:hAnsi="宋体" w:cs="宋体" w:eastAsia="宋体" w:hint="default"/>
                <w:sz w:val="18"/>
                <w:szCs w:val="18"/>
              </w:rPr>
              <w:t>）</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0"/>
                <w:sz w:val="18"/>
                <w:szCs w:val="18"/>
              </w:rPr>
              <w:t> </w:t>
            </w:r>
            <w:hyperlink r:id="rId13">
              <w:r>
                <w:rPr>
                  <w:rFonts w:ascii="Times New Roman" w:hAnsi="Times New Roman" w:cs="Times New Roman" w:eastAsia="Times New Roman" w:hint="default"/>
                  <w:sz w:val="18"/>
                  <w:szCs w:val="18"/>
                </w:rPr>
                <w:t>www.cninfo.com.cn</w:t>
              </w:r>
            </w:hyperlink>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十七、重大合同及其履行情况" w:id="86"/>
      <w:bookmarkEnd w:id="86"/>
      <w:r>
        <w:rPr>
          <w:b w:val="0"/>
          <w:bCs w:val="0"/>
        </w:rPr>
      </w:r>
      <w:r>
        <w:rPr/>
        <w:t>十七、重大合同及其履行情况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托管、承包、租赁事项情况" w:id="87"/>
      <w:bookmarkEnd w:id="87"/>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托管情况" w:id="88"/>
      <w:bookmarkEnd w:id="88"/>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2"/>
        <w:rPr>
          <w:rFonts w:ascii="宋体" w:hAnsi="宋体" w:cs="宋体" w:eastAsia="宋体" w:hint="default"/>
          <w:sz w:val="21"/>
          <w:szCs w:val="21"/>
        </w:rPr>
      </w:pPr>
    </w:p>
    <w:p>
      <w:pPr>
        <w:pStyle w:val="Heading3"/>
        <w:spacing w:line="240" w:lineRule="auto"/>
        <w:ind w:left="153" w:right="0"/>
        <w:jc w:val="left"/>
        <w:rPr>
          <w:b w:val="0"/>
          <w:bCs w:val="0"/>
        </w:rPr>
      </w:pPr>
      <w:bookmarkStart w:name="（2）承包情况" w:id="89"/>
      <w:bookmarkEnd w:id="89"/>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12"/>
        <w:rPr>
          <w:rFonts w:ascii="宋体" w:hAnsi="宋体" w:cs="宋体" w:eastAsia="宋体" w:hint="default"/>
          <w:sz w:val="20"/>
          <w:szCs w:val="20"/>
        </w:rPr>
      </w:pPr>
    </w:p>
    <w:p>
      <w:pPr>
        <w:pStyle w:val="Heading3"/>
        <w:spacing w:line="240" w:lineRule="auto"/>
        <w:ind w:left="153" w:right="0"/>
        <w:jc w:val="left"/>
        <w:rPr>
          <w:b w:val="0"/>
          <w:bCs w:val="0"/>
        </w:rPr>
      </w:pPr>
      <w:bookmarkStart w:name="（3）租赁情况" w:id="90"/>
      <w:bookmarkEnd w:id="90"/>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公司报告期不存在租赁情况。</w:t>
      </w:r>
    </w:p>
    <w:p>
      <w:pPr>
        <w:spacing w:line="240" w:lineRule="auto" w:before="1"/>
        <w:rPr>
          <w:rFonts w:ascii="宋体" w:hAnsi="宋体" w:cs="宋体" w:eastAsia="宋体" w:hint="default"/>
          <w:sz w:val="21"/>
          <w:szCs w:val="21"/>
        </w:rPr>
      </w:pPr>
    </w:p>
    <w:p>
      <w:pPr>
        <w:pStyle w:val="Heading3"/>
        <w:spacing w:line="240" w:lineRule="auto"/>
        <w:ind w:left="153" w:right="0"/>
        <w:jc w:val="left"/>
        <w:rPr>
          <w:b w:val="0"/>
          <w:bCs w:val="0"/>
        </w:rPr>
      </w:pPr>
      <w:bookmarkStart w:name="2、重大担保" w:id="91"/>
      <w:bookmarkEnd w:id="91"/>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公司报告期不存在担保情况。</w:t>
      </w:r>
    </w:p>
    <w:p>
      <w:pPr>
        <w:spacing w:line="240" w:lineRule="auto" w:before="2"/>
        <w:rPr>
          <w:rFonts w:ascii="宋体" w:hAnsi="宋体" w:cs="宋体" w:eastAsia="宋体" w:hint="default"/>
          <w:sz w:val="21"/>
          <w:szCs w:val="21"/>
        </w:rPr>
      </w:pPr>
    </w:p>
    <w:p>
      <w:pPr>
        <w:pStyle w:val="Heading3"/>
        <w:spacing w:line="240" w:lineRule="auto"/>
        <w:ind w:left="153" w:right="0"/>
        <w:jc w:val="left"/>
        <w:rPr>
          <w:b w:val="0"/>
          <w:bCs w:val="0"/>
        </w:rPr>
      </w:pPr>
      <w:bookmarkStart w:name="3、委托他人进行现金资产管理情况" w:id="92"/>
      <w:bookmarkEnd w:id="92"/>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1）委托理财情况" w:id="93"/>
      <w:bookmarkEnd w:id="93"/>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01"/>
        <w:gridCol w:w="832"/>
        <w:gridCol w:w="838"/>
        <w:gridCol w:w="876"/>
        <w:gridCol w:w="804"/>
        <w:gridCol w:w="804"/>
        <w:gridCol w:w="803"/>
        <w:gridCol w:w="804"/>
        <w:gridCol w:w="804"/>
        <w:gridCol w:w="802"/>
        <w:gridCol w:w="804"/>
        <w:gridCol w:w="587"/>
      </w:tblGrid>
      <w:tr>
        <w:trPr>
          <w:trHeight w:val="1338" w:hRule="exact"/>
        </w:trPr>
        <w:tc>
          <w:tcPr>
            <w:tcW w:w="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04" w:right="34" w:hanging="270"/>
              <w:jc w:val="left"/>
              <w:rPr>
                <w:rFonts w:ascii="宋体" w:hAnsi="宋体" w:cs="宋体" w:eastAsia="宋体" w:hint="default"/>
                <w:sz w:val="18"/>
                <w:szCs w:val="18"/>
              </w:rPr>
            </w:pPr>
            <w:r>
              <w:rPr>
                <w:rFonts w:ascii="宋体" w:hAnsi="宋体" w:cs="宋体" w:eastAsia="宋体" w:hint="default"/>
                <w:sz w:val="18"/>
                <w:szCs w:val="18"/>
              </w:rPr>
              <w:t>受托人名 称</w:t>
            </w:r>
          </w:p>
        </w:tc>
        <w:tc>
          <w:tcPr>
            <w:tcW w:w="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0" w:right="49"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sz w:val="18"/>
                <w:szCs w:val="18"/>
              </w:rPr>
              <w:t>产品类型</w:t>
            </w:r>
          </w:p>
        </w:tc>
        <w:tc>
          <w:tcPr>
            <w:tcW w:w="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3" w:right="71" w:hanging="180"/>
              <w:jc w:val="left"/>
              <w:rPr>
                <w:rFonts w:ascii="宋体" w:hAnsi="宋体" w:cs="宋体" w:eastAsia="宋体" w:hint="default"/>
                <w:sz w:val="18"/>
                <w:szCs w:val="18"/>
              </w:rPr>
            </w:pPr>
            <w:r>
              <w:rPr>
                <w:rFonts w:ascii="宋体" w:hAnsi="宋体" w:cs="宋体" w:eastAsia="宋体" w:hint="default"/>
                <w:sz w:val="18"/>
                <w:szCs w:val="18"/>
              </w:rPr>
              <w:t>委托理财 金额</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7" w:right="0"/>
              <w:jc w:val="left"/>
              <w:rPr>
                <w:rFonts w:ascii="宋体" w:hAnsi="宋体" w:cs="宋体" w:eastAsia="宋体" w:hint="default"/>
                <w:sz w:val="18"/>
                <w:szCs w:val="18"/>
              </w:rPr>
            </w:pPr>
            <w:r>
              <w:rPr>
                <w:rFonts w:ascii="宋体" w:hAnsi="宋体" w:cs="宋体" w:eastAsia="宋体" w:hint="default"/>
                <w:sz w:val="18"/>
                <w:szCs w:val="18"/>
              </w:rPr>
              <w:t>起始日期</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7" w:right="0"/>
              <w:jc w:val="left"/>
              <w:rPr>
                <w:rFonts w:ascii="宋体" w:hAnsi="宋体" w:cs="宋体" w:eastAsia="宋体" w:hint="default"/>
                <w:sz w:val="18"/>
                <w:szCs w:val="18"/>
              </w:rPr>
            </w:pPr>
            <w:r>
              <w:rPr>
                <w:rFonts w:ascii="宋体" w:hAnsi="宋体" w:cs="宋体" w:eastAsia="宋体" w:hint="default"/>
                <w:sz w:val="18"/>
                <w:szCs w:val="18"/>
              </w:rPr>
              <w:t>终止日期</w:t>
            </w:r>
          </w:p>
        </w:tc>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17" w:right="35" w:hanging="180"/>
              <w:jc w:val="left"/>
              <w:rPr>
                <w:rFonts w:ascii="宋体" w:hAnsi="宋体" w:cs="宋体" w:eastAsia="宋体" w:hint="default"/>
                <w:sz w:val="18"/>
                <w:szCs w:val="18"/>
              </w:rPr>
            </w:pPr>
            <w:r>
              <w:rPr>
                <w:rFonts w:ascii="宋体" w:hAnsi="宋体" w:cs="宋体" w:eastAsia="宋体" w:hint="default"/>
                <w:sz w:val="18"/>
                <w:szCs w:val="18"/>
              </w:rPr>
              <w:t>报酬确定 方式</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6" w:right="36"/>
              <w:jc w:val="center"/>
              <w:rPr>
                <w:rFonts w:ascii="宋体" w:hAnsi="宋体" w:cs="宋体" w:eastAsia="宋体" w:hint="default"/>
                <w:sz w:val="18"/>
                <w:szCs w:val="18"/>
              </w:rPr>
            </w:pPr>
            <w:r>
              <w:rPr>
                <w:rFonts w:ascii="宋体" w:hAnsi="宋体" w:cs="宋体" w:eastAsia="宋体" w:hint="default"/>
                <w:sz w:val="18"/>
                <w:szCs w:val="18"/>
              </w:rPr>
              <w:t>本期实际 收回本金 金额</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6" w:right="36"/>
              <w:jc w:val="left"/>
              <w:rPr>
                <w:rFonts w:ascii="宋体" w:hAnsi="宋体" w:cs="宋体" w:eastAsia="宋体" w:hint="default"/>
                <w:sz w:val="18"/>
                <w:szCs w:val="18"/>
              </w:rPr>
            </w:pPr>
            <w:r>
              <w:rPr>
                <w:rFonts w:ascii="宋体" w:hAnsi="宋体" w:cs="宋体" w:eastAsia="宋体" w:hint="default"/>
                <w:sz w:val="18"/>
                <w:szCs w:val="18"/>
              </w:rPr>
              <w:t>计提减值 准备金额</w:t>
            </w:r>
          </w:p>
          <w:p>
            <w:pPr>
              <w:pStyle w:val="TableParagraph"/>
              <w:spacing w:line="240" w:lineRule="auto" w:before="20"/>
              <w:ind w:left="36"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预计收益</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6" w:right="36"/>
              <w:jc w:val="center"/>
              <w:rPr>
                <w:rFonts w:ascii="宋体" w:hAnsi="宋体" w:cs="宋体" w:eastAsia="宋体" w:hint="default"/>
                <w:sz w:val="18"/>
                <w:szCs w:val="18"/>
              </w:rPr>
            </w:pPr>
            <w:r>
              <w:rPr>
                <w:rFonts w:ascii="宋体" w:hAnsi="宋体" w:cs="宋体" w:eastAsia="宋体" w:hint="default"/>
                <w:sz w:val="18"/>
                <w:szCs w:val="18"/>
              </w:rPr>
              <w:t>报告期实 际损益金 额</w:t>
            </w:r>
          </w:p>
        </w:tc>
        <w:tc>
          <w:tcPr>
            <w:tcW w:w="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 w:right="11"/>
              <w:jc w:val="both"/>
              <w:rPr>
                <w:rFonts w:ascii="宋体" w:hAnsi="宋体" w:cs="宋体" w:eastAsia="宋体" w:hint="default"/>
                <w:sz w:val="18"/>
                <w:szCs w:val="18"/>
              </w:rPr>
            </w:pPr>
            <w:r>
              <w:rPr>
                <w:rFonts w:ascii="宋体" w:hAnsi="宋体" w:cs="宋体" w:eastAsia="宋体" w:hint="default"/>
                <w:sz w:val="18"/>
                <w:szCs w:val="18"/>
              </w:rPr>
              <w:t>报告期 损益实 际收回 情况</w:t>
            </w:r>
          </w:p>
        </w:tc>
      </w:tr>
    </w:tbl>
    <w:p>
      <w:pPr>
        <w:spacing w:after="0" w:line="316" w:lineRule="auto"/>
        <w:jc w:val="both"/>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801"/>
        <w:gridCol w:w="832"/>
        <w:gridCol w:w="838"/>
        <w:gridCol w:w="876"/>
        <w:gridCol w:w="804"/>
        <w:gridCol w:w="804"/>
        <w:gridCol w:w="803"/>
        <w:gridCol w:w="804"/>
        <w:gridCol w:w="804"/>
        <w:gridCol w:w="802"/>
        <w:gridCol w:w="804"/>
        <w:gridCol w:w="599"/>
      </w:tblGrid>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6"/>
              <w:jc w:val="right"/>
              <w:rPr>
                <w:rFonts w:ascii="宋体" w:hAnsi="宋体" w:cs="宋体" w:eastAsia="宋体" w:hint="default"/>
                <w:sz w:val="18"/>
                <w:szCs w:val="18"/>
              </w:rPr>
            </w:pPr>
            <w:r>
              <w:rPr>
                <w:rFonts w:ascii="宋体" w:hAnsi="宋体" w:cs="宋体" w:eastAsia="宋体" w:hint="default"/>
                <w:sz w:val="18"/>
                <w:szCs w:val="18"/>
              </w:rPr>
              <w:t>兴业银行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浮动利率</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34.19</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-1.88</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6"/>
              <w:jc w:val="center"/>
              <w:rPr>
                <w:rFonts w:ascii="Times New Roman" w:hAnsi="Times New Roman" w:cs="Times New Roman" w:eastAsia="Times New Roman" w:hint="default"/>
                <w:sz w:val="18"/>
                <w:szCs w:val="18"/>
              </w:rPr>
            </w:pPr>
            <w:r>
              <w:rPr>
                <w:rFonts w:ascii="Times New Roman"/>
                <w:sz w:val="18"/>
              </w:rPr>
              <w:t>-1.88</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6"/>
              <w:jc w:val="right"/>
              <w:rPr>
                <w:rFonts w:ascii="宋体" w:hAnsi="宋体" w:cs="宋体" w:eastAsia="宋体" w:hint="default"/>
                <w:sz w:val="18"/>
                <w:szCs w:val="18"/>
              </w:rPr>
            </w:pPr>
            <w:r>
              <w:rPr>
                <w:rFonts w:ascii="宋体" w:hAnsi="宋体" w:cs="宋体" w:eastAsia="宋体" w:hint="default"/>
                <w:sz w:val="18"/>
                <w:szCs w:val="18"/>
              </w:rPr>
              <w:t>长江财富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信托产品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浮动利率</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295.56</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46"/>
              <w:jc w:val="center"/>
              <w:rPr>
                <w:rFonts w:ascii="Times New Roman" w:hAnsi="Times New Roman" w:cs="Times New Roman" w:eastAsia="Times New Roman" w:hint="default"/>
                <w:sz w:val="18"/>
                <w:szCs w:val="18"/>
              </w:rPr>
            </w:pPr>
            <w:r>
              <w:rPr>
                <w:rFonts w:ascii="Times New Roman"/>
                <w:sz w:val="18"/>
              </w:rPr>
              <w:t>295.56</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6"/>
              <w:jc w:val="right"/>
              <w:rPr>
                <w:rFonts w:ascii="宋体" w:hAnsi="宋体" w:cs="宋体" w:eastAsia="宋体" w:hint="default"/>
                <w:sz w:val="18"/>
                <w:szCs w:val="18"/>
              </w:rPr>
            </w:pPr>
            <w:r>
              <w:rPr>
                <w:rFonts w:ascii="宋体" w:hAnsi="宋体" w:cs="宋体" w:eastAsia="宋体" w:hint="default"/>
                <w:sz w:val="18"/>
                <w:szCs w:val="18"/>
              </w:rPr>
              <w:t>四川信托</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信托产品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浮动利率</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248.09</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171.25</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46"/>
              <w:jc w:val="center"/>
              <w:rPr>
                <w:rFonts w:ascii="Times New Roman" w:hAnsi="Times New Roman" w:cs="Times New Roman" w:eastAsia="Times New Roman" w:hint="default"/>
                <w:sz w:val="18"/>
                <w:szCs w:val="18"/>
              </w:rPr>
            </w:pPr>
            <w:r>
              <w:rPr>
                <w:rFonts w:ascii="Times New Roman"/>
                <w:sz w:val="18"/>
              </w:rPr>
              <w:t>171.25</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6"/>
              <w:jc w:val="right"/>
              <w:rPr>
                <w:rFonts w:ascii="宋体" w:hAnsi="宋体" w:cs="宋体" w:eastAsia="宋体" w:hint="default"/>
                <w:sz w:val="18"/>
                <w:szCs w:val="18"/>
              </w:rPr>
            </w:pPr>
            <w:r>
              <w:rPr>
                <w:rFonts w:ascii="宋体" w:hAnsi="宋体" w:cs="宋体" w:eastAsia="宋体" w:hint="default"/>
                <w:sz w:val="18"/>
                <w:szCs w:val="18"/>
              </w:rPr>
              <w:t>中信证券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83"/>
              <w:jc w:val="left"/>
              <w:rPr>
                <w:rFonts w:ascii="宋体" w:hAnsi="宋体" w:cs="宋体" w:eastAsia="宋体" w:hint="default"/>
                <w:sz w:val="18"/>
                <w:szCs w:val="18"/>
              </w:rPr>
            </w:pPr>
            <w:r>
              <w:rPr>
                <w:rFonts w:ascii="宋体" w:hAnsi="宋体" w:cs="宋体" w:eastAsia="宋体" w:hint="default"/>
                <w:sz w:val="18"/>
                <w:szCs w:val="18"/>
              </w:rPr>
              <w:t>资产管理 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980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浮动利率</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980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56.89</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37.83</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36"/>
              <w:jc w:val="center"/>
              <w:rPr>
                <w:rFonts w:ascii="Times New Roman" w:hAnsi="Times New Roman" w:cs="Times New Roman" w:eastAsia="Times New Roman" w:hint="default"/>
                <w:sz w:val="18"/>
                <w:szCs w:val="18"/>
              </w:rPr>
            </w:pPr>
            <w:r>
              <w:rPr>
                <w:rFonts w:ascii="Times New Roman"/>
                <w:sz w:val="18"/>
              </w:rPr>
              <w:t>37.83</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6"/>
              <w:jc w:val="right"/>
              <w:rPr>
                <w:rFonts w:ascii="宋体" w:hAnsi="宋体" w:cs="宋体" w:eastAsia="宋体" w:hint="default"/>
                <w:sz w:val="18"/>
                <w:szCs w:val="18"/>
              </w:rPr>
            </w:pPr>
            <w:r>
              <w:rPr>
                <w:rFonts w:ascii="宋体" w:hAnsi="宋体" w:cs="宋体" w:eastAsia="宋体" w:hint="default"/>
                <w:sz w:val="18"/>
                <w:szCs w:val="18"/>
              </w:rPr>
              <w:t>中航信托</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信托产品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浮动利率</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63.91</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36"/>
              <w:jc w:val="center"/>
              <w:rPr>
                <w:rFonts w:ascii="Times New Roman" w:hAnsi="Times New Roman" w:cs="Times New Roman" w:eastAsia="Times New Roman" w:hint="default"/>
                <w:sz w:val="18"/>
                <w:szCs w:val="18"/>
              </w:rPr>
            </w:pPr>
            <w:r>
              <w:rPr>
                <w:rFonts w:ascii="Times New Roman"/>
                <w:sz w:val="18"/>
              </w:rPr>
              <w:t>63.91</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6"/>
              <w:jc w:val="right"/>
              <w:rPr>
                <w:rFonts w:ascii="宋体" w:hAnsi="宋体" w:cs="宋体" w:eastAsia="宋体" w:hint="default"/>
                <w:sz w:val="18"/>
                <w:szCs w:val="18"/>
              </w:rPr>
            </w:pPr>
            <w:r>
              <w:rPr>
                <w:rFonts w:ascii="宋体" w:hAnsi="宋体" w:cs="宋体" w:eastAsia="宋体" w:hint="default"/>
                <w:sz w:val="18"/>
                <w:szCs w:val="18"/>
              </w:rPr>
              <w:t>中航信托</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信托产品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浮动利率</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67.36</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36"/>
              <w:jc w:val="center"/>
              <w:rPr>
                <w:rFonts w:ascii="Times New Roman" w:hAnsi="Times New Roman" w:cs="Times New Roman" w:eastAsia="Times New Roman" w:hint="default"/>
                <w:sz w:val="18"/>
                <w:szCs w:val="18"/>
              </w:rPr>
            </w:pPr>
            <w:r>
              <w:rPr>
                <w:rFonts w:ascii="Times New Roman"/>
                <w:sz w:val="18"/>
              </w:rPr>
              <w:t>67.36</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6"/>
              <w:jc w:val="right"/>
              <w:rPr>
                <w:rFonts w:ascii="宋体" w:hAnsi="宋体" w:cs="宋体" w:eastAsia="宋体" w:hint="default"/>
                <w:sz w:val="18"/>
                <w:szCs w:val="18"/>
              </w:rPr>
            </w:pPr>
            <w:r>
              <w:rPr>
                <w:rFonts w:ascii="宋体" w:hAnsi="宋体" w:cs="宋体" w:eastAsia="宋体" w:hint="default"/>
                <w:sz w:val="18"/>
                <w:szCs w:val="18"/>
              </w:rPr>
              <w:t>中信证券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83"/>
              <w:jc w:val="left"/>
              <w:rPr>
                <w:rFonts w:ascii="宋体" w:hAnsi="宋体" w:cs="宋体" w:eastAsia="宋体" w:hint="default"/>
                <w:sz w:val="18"/>
                <w:szCs w:val="18"/>
              </w:rPr>
            </w:pPr>
            <w:r>
              <w:rPr>
                <w:rFonts w:ascii="宋体" w:hAnsi="宋体" w:cs="宋体" w:eastAsia="宋体" w:hint="default"/>
                <w:sz w:val="18"/>
                <w:szCs w:val="18"/>
              </w:rPr>
              <w:t>资产管理 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浮动利率</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24.59</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22.19</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36"/>
              <w:jc w:val="center"/>
              <w:rPr>
                <w:rFonts w:ascii="Times New Roman" w:hAnsi="Times New Roman" w:cs="Times New Roman" w:eastAsia="Times New Roman" w:hint="default"/>
                <w:sz w:val="18"/>
                <w:szCs w:val="18"/>
              </w:rPr>
            </w:pPr>
            <w:r>
              <w:rPr>
                <w:rFonts w:ascii="Times New Roman"/>
                <w:sz w:val="18"/>
              </w:rPr>
              <w:t>22.19</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6"/>
              <w:jc w:val="right"/>
              <w:rPr>
                <w:rFonts w:ascii="宋体" w:hAnsi="宋体" w:cs="宋体" w:eastAsia="宋体" w:hint="default"/>
                <w:sz w:val="18"/>
                <w:szCs w:val="18"/>
              </w:rPr>
            </w:pPr>
            <w:r>
              <w:rPr>
                <w:rFonts w:ascii="宋体" w:hAnsi="宋体" w:cs="宋体" w:eastAsia="宋体" w:hint="default"/>
                <w:sz w:val="18"/>
                <w:szCs w:val="18"/>
              </w:rPr>
              <w:t>民生银行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浮动利率</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5.28</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2.68</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6"/>
              <w:jc w:val="center"/>
              <w:rPr>
                <w:rFonts w:ascii="Times New Roman" w:hAnsi="Times New Roman" w:cs="Times New Roman" w:eastAsia="Times New Roman" w:hint="default"/>
                <w:sz w:val="18"/>
                <w:szCs w:val="18"/>
              </w:rPr>
            </w:pPr>
            <w:r>
              <w:rPr>
                <w:rFonts w:ascii="Times New Roman"/>
                <w:sz w:val="18"/>
              </w:rPr>
              <w:t>2.68</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6"/>
              <w:jc w:val="right"/>
              <w:rPr>
                <w:rFonts w:ascii="宋体" w:hAnsi="宋体" w:cs="宋体" w:eastAsia="宋体" w:hint="default"/>
                <w:sz w:val="18"/>
                <w:szCs w:val="18"/>
              </w:rPr>
            </w:pPr>
            <w:r>
              <w:rPr>
                <w:rFonts w:ascii="宋体" w:hAnsi="宋体" w:cs="宋体" w:eastAsia="宋体" w:hint="default"/>
                <w:sz w:val="18"/>
                <w:szCs w:val="18"/>
              </w:rPr>
              <w:t>中信证券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83"/>
              <w:jc w:val="left"/>
              <w:rPr>
                <w:rFonts w:ascii="宋体" w:hAnsi="宋体" w:cs="宋体" w:eastAsia="宋体" w:hint="default"/>
                <w:sz w:val="18"/>
                <w:szCs w:val="18"/>
              </w:rPr>
            </w:pPr>
            <w:r>
              <w:rPr>
                <w:rFonts w:ascii="宋体" w:hAnsi="宋体" w:cs="宋体" w:eastAsia="宋体" w:hint="default"/>
                <w:sz w:val="18"/>
                <w:szCs w:val="18"/>
              </w:rPr>
              <w:t>资产管理 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浮动利率</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35.62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25.11</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3"/>
              <w:jc w:val="center"/>
              <w:rPr>
                <w:rFonts w:ascii="Times New Roman" w:hAnsi="Times New Roman" w:cs="Times New Roman" w:eastAsia="Times New Roman" w:hint="default"/>
                <w:sz w:val="18"/>
                <w:szCs w:val="18"/>
              </w:rPr>
            </w:pPr>
            <w:r>
              <w:rPr>
                <w:rFonts w:ascii="Times New Roman"/>
                <w:sz w:val="18"/>
              </w:rPr>
              <w:t>25.11</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6"/>
              <w:jc w:val="right"/>
              <w:rPr>
                <w:rFonts w:ascii="宋体" w:hAnsi="宋体" w:cs="宋体" w:eastAsia="宋体" w:hint="default"/>
                <w:sz w:val="18"/>
                <w:szCs w:val="18"/>
              </w:rPr>
            </w:pPr>
            <w:r>
              <w:rPr>
                <w:rFonts w:ascii="宋体" w:hAnsi="宋体" w:cs="宋体" w:eastAsia="宋体" w:hint="default"/>
                <w:sz w:val="18"/>
                <w:szCs w:val="18"/>
              </w:rPr>
              <w:t>民生银行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浮动利率</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1.96</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6"/>
              <w:jc w:val="center"/>
              <w:rPr>
                <w:rFonts w:ascii="Times New Roman" w:hAnsi="Times New Roman" w:cs="Times New Roman" w:eastAsia="Times New Roman" w:hint="default"/>
                <w:sz w:val="18"/>
                <w:szCs w:val="18"/>
              </w:rPr>
            </w:pPr>
            <w:r>
              <w:rPr>
                <w:rFonts w:ascii="Times New Roman"/>
                <w:sz w:val="18"/>
              </w:rPr>
              <w:t>1.96</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6"/>
              <w:jc w:val="right"/>
              <w:rPr>
                <w:rFonts w:ascii="宋体" w:hAnsi="宋体" w:cs="宋体" w:eastAsia="宋体" w:hint="default"/>
                <w:sz w:val="18"/>
                <w:szCs w:val="18"/>
              </w:rPr>
            </w:pPr>
            <w:r>
              <w:rPr>
                <w:rFonts w:ascii="宋体" w:hAnsi="宋体" w:cs="宋体" w:eastAsia="宋体" w:hint="default"/>
                <w:sz w:val="18"/>
                <w:szCs w:val="18"/>
              </w:rPr>
              <w:t>兴业银行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浮动利率</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141.55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60.81</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36"/>
              <w:jc w:val="center"/>
              <w:rPr>
                <w:rFonts w:ascii="Times New Roman" w:hAnsi="Times New Roman" w:cs="Times New Roman" w:eastAsia="Times New Roman" w:hint="default"/>
                <w:sz w:val="18"/>
                <w:szCs w:val="18"/>
              </w:rPr>
            </w:pPr>
            <w:r>
              <w:rPr>
                <w:rFonts w:ascii="Times New Roman"/>
                <w:sz w:val="18"/>
              </w:rPr>
              <w:t>60.81</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6"/>
              <w:jc w:val="right"/>
              <w:rPr>
                <w:rFonts w:ascii="宋体" w:hAnsi="宋体" w:cs="宋体" w:eastAsia="宋体" w:hint="default"/>
                <w:sz w:val="18"/>
                <w:szCs w:val="18"/>
              </w:rPr>
            </w:pPr>
            <w:r>
              <w:rPr>
                <w:rFonts w:ascii="宋体" w:hAnsi="宋体" w:cs="宋体" w:eastAsia="宋体" w:hint="default"/>
                <w:sz w:val="18"/>
                <w:szCs w:val="18"/>
              </w:rPr>
              <w:t>民生银行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1,020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浮动利率</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1,020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13.99</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13.99</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36"/>
              <w:jc w:val="center"/>
              <w:rPr>
                <w:rFonts w:ascii="Times New Roman" w:hAnsi="Times New Roman" w:cs="Times New Roman" w:eastAsia="Times New Roman" w:hint="default"/>
                <w:sz w:val="18"/>
                <w:szCs w:val="18"/>
              </w:rPr>
            </w:pPr>
            <w:r>
              <w:rPr>
                <w:rFonts w:ascii="Times New Roman"/>
                <w:sz w:val="18"/>
              </w:rPr>
              <w:t>13.99</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6"/>
              <w:jc w:val="right"/>
              <w:rPr>
                <w:rFonts w:ascii="宋体" w:hAnsi="宋体" w:cs="宋体" w:eastAsia="宋体" w:hint="default"/>
                <w:sz w:val="18"/>
                <w:szCs w:val="18"/>
              </w:rPr>
            </w:pPr>
            <w:r>
              <w:rPr>
                <w:rFonts w:ascii="宋体" w:hAnsi="宋体" w:cs="宋体" w:eastAsia="宋体" w:hint="default"/>
                <w:sz w:val="18"/>
                <w:szCs w:val="18"/>
              </w:rPr>
              <w:t>民生银行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浮动利率</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6"/>
              <w:jc w:val="center"/>
              <w:rPr>
                <w:rFonts w:ascii="Times New Roman" w:hAnsi="Times New Roman" w:cs="Times New Roman" w:eastAsia="Times New Roman" w:hint="default"/>
                <w:sz w:val="18"/>
                <w:szCs w:val="18"/>
              </w:rPr>
            </w:pPr>
            <w:r>
              <w:rPr>
                <w:rFonts w:ascii="Times New Roman"/>
                <w:sz w:val="18"/>
              </w:rPr>
              <w:t>5.70</w:t>
            </w:r>
          </w:p>
        </w:tc>
      </w:tr>
      <w:tr>
        <w:trPr>
          <w:trHeight w:val="402"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6"/>
              <w:jc w:val="right"/>
              <w:rPr>
                <w:rFonts w:ascii="宋体" w:hAnsi="宋体" w:cs="宋体" w:eastAsia="宋体" w:hint="default"/>
                <w:sz w:val="18"/>
                <w:szCs w:val="18"/>
              </w:rPr>
            </w:pPr>
            <w:r>
              <w:rPr>
                <w:rFonts w:ascii="宋体" w:hAnsi="宋体" w:cs="宋体" w:eastAsia="宋体" w:hint="default"/>
                <w:sz w:val="18"/>
                <w:szCs w:val="18"/>
              </w:rPr>
              <w:t>民生银行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1,020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浮动利率</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1,020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18.66</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18.66</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6"/>
              <w:jc w:val="center"/>
              <w:rPr>
                <w:rFonts w:ascii="Times New Roman" w:hAnsi="Times New Roman" w:cs="Times New Roman" w:eastAsia="Times New Roman" w:hint="default"/>
                <w:sz w:val="18"/>
                <w:szCs w:val="18"/>
              </w:rPr>
            </w:pPr>
            <w:r>
              <w:rPr>
                <w:rFonts w:ascii="Times New Roman"/>
                <w:sz w:val="18"/>
              </w:rPr>
              <w:t>18.66</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801"/>
        <w:gridCol w:w="832"/>
        <w:gridCol w:w="838"/>
        <w:gridCol w:w="876"/>
        <w:gridCol w:w="804"/>
        <w:gridCol w:w="804"/>
        <w:gridCol w:w="803"/>
        <w:gridCol w:w="804"/>
        <w:gridCol w:w="804"/>
        <w:gridCol w:w="802"/>
        <w:gridCol w:w="804"/>
        <w:gridCol w:w="599"/>
      </w:tblGrid>
      <w:tr>
        <w:trPr>
          <w:trHeight w:val="674" w:hRule="exact"/>
        </w:trPr>
        <w:tc>
          <w:tcPr>
            <w:tcW w:w="801"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6"/>
              <w:jc w:val="right"/>
              <w:rPr>
                <w:rFonts w:ascii="宋体" w:hAnsi="宋体" w:cs="宋体" w:eastAsia="宋体" w:hint="default"/>
                <w:sz w:val="18"/>
                <w:szCs w:val="18"/>
              </w:rPr>
            </w:pPr>
            <w:r>
              <w:rPr>
                <w:rFonts w:ascii="宋体" w:hAnsi="宋体" w:cs="宋体" w:eastAsia="宋体" w:hint="default"/>
                <w:sz w:val="18"/>
                <w:szCs w:val="18"/>
              </w:rPr>
              <w:t>民生银行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center"/>
              <w:rPr>
                <w:rFonts w:ascii="宋体" w:hAnsi="宋体" w:cs="宋体" w:eastAsia="宋体" w:hint="default"/>
                <w:sz w:val="18"/>
                <w:szCs w:val="18"/>
              </w:rPr>
            </w:pPr>
            <w:r>
              <w:rPr>
                <w:rFonts w:ascii="宋体" w:hAnsi="宋体" w:cs="宋体" w:eastAsia="宋体" w:hint="default"/>
                <w:sz w:val="18"/>
                <w:szCs w:val="18"/>
              </w:rPr>
              <w:t>浮动利率</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0.34</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0.34</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6"/>
              <w:jc w:val="left"/>
              <w:rPr>
                <w:rFonts w:ascii="宋体" w:hAnsi="宋体" w:cs="宋体" w:eastAsia="宋体" w:hint="default"/>
                <w:sz w:val="18"/>
                <w:szCs w:val="18"/>
              </w:rPr>
            </w:pPr>
            <w:r>
              <w:rPr>
                <w:rFonts w:ascii="宋体" w:hAnsi="宋体" w:cs="宋体" w:eastAsia="宋体" w:hint="default"/>
                <w:sz w:val="18"/>
                <w:szCs w:val="18"/>
              </w:rPr>
              <w:t>汇添富资 本</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资产管理 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center"/>
              <w:rPr>
                <w:rFonts w:ascii="宋体" w:hAnsi="宋体" w:cs="宋体" w:eastAsia="宋体" w:hint="default"/>
                <w:sz w:val="18"/>
                <w:szCs w:val="18"/>
              </w:rPr>
            </w:pPr>
            <w:r>
              <w:rPr>
                <w:rFonts w:ascii="宋体" w:hAnsi="宋体" w:cs="宋体" w:eastAsia="宋体" w:hint="default"/>
                <w:sz w:val="18"/>
                <w:szCs w:val="18"/>
              </w:rPr>
              <w:t>浮动利率</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37.9</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37.9</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37.90</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6"/>
              <w:jc w:val="right"/>
              <w:rPr>
                <w:rFonts w:ascii="宋体" w:hAnsi="宋体" w:cs="宋体" w:eastAsia="宋体" w:hint="default"/>
                <w:sz w:val="18"/>
                <w:szCs w:val="18"/>
              </w:rPr>
            </w:pPr>
            <w:r>
              <w:rPr>
                <w:rFonts w:ascii="宋体" w:hAnsi="宋体" w:cs="宋体" w:eastAsia="宋体" w:hint="default"/>
                <w:sz w:val="18"/>
                <w:szCs w:val="18"/>
              </w:rPr>
              <w:t>兴业银行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1,880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center"/>
              <w:rPr>
                <w:rFonts w:ascii="宋体" w:hAnsi="宋体" w:cs="宋体" w:eastAsia="宋体" w:hint="default"/>
                <w:sz w:val="18"/>
                <w:szCs w:val="18"/>
              </w:rPr>
            </w:pPr>
            <w:r>
              <w:rPr>
                <w:rFonts w:ascii="宋体" w:hAnsi="宋体" w:cs="宋体" w:eastAsia="宋体" w:hint="default"/>
                <w:sz w:val="18"/>
                <w:szCs w:val="18"/>
              </w:rPr>
              <w:t>浮动利率</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1,880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26.4</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26.40</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6"/>
              <w:jc w:val="right"/>
              <w:rPr>
                <w:rFonts w:ascii="宋体" w:hAnsi="宋体" w:cs="宋体" w:eastAsia="宋体" w:hint="default"/>
                <w:sz w:val="18"/>
                <w:szCs w:val="18"/>
              </w:rPr>
            </w:pPr>
            <w:r>
              <w:rPr>
                <w:rFonts w:ascii="宋体" w:hAnsi="宋体" w:cs="宋体" w:eastAsia="宋体" w:hint="default"/>
                <w:sz w:val="18"/>
                <w:szCs w:val="18"/>
              </w:rPr>
              <w:t>兴业银行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center"/>
              <w:rPr>
                <w:rFonts w:ascii="宋体" w:hAnsi="宋体" w:cs="宋体" w:eastAsia="宋体" w:hint="default"/>
                <w:sz w:val="18"/>
                <w:szCs w:val="18"/>
              </w:rPr>
            </w:pPr>
            <w:r>
              <w:rPr>
                <w:rFonts w:ascii="宋体" w:hAnsi="宋体" w:cs="宋体" w:eastAsia="宋体" w:hint="default"/>
                <w:sz w:val="18"/>
                <w:szCs w:val="18"/>
              </w:rPr>
              <w:t>浮动利率</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41.45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41.45</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41.45</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6"/>
              <w:jc w:val="right"/>
              <w:rPr>
                <w:rFonts w:ascii="宋体" w:hAnsi="宋体" w:cs="宋体" w:eastAsia="宋体" w:hint="default"/>
                <w:sz w:val="18"/>
                <w:szCs w:val="18"/>
              </w:rPr>
            </w:pPr>
            <w:r>
              <w:rPr>
                <w:rFonts w:ascii="宋体" w:hAnsi="宋体" w:cs="宋体" w:eastAsia="宋体" w:hint="default"/>
                <w:sz w:val="18"/>
                <w:szCs w:val="18"/>
              </w:rPr>
              <w:t>兴业银行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center"/>
              <w:rPr>
                <w:rFonts w:ascii="宋体" w:hAnsi="宋体" w:cs="宋体" w:eastAsia="宋体" w:hint="default"/>
                <w:sz w:val="18"/>
                <w:szCs w:val="18"/>
              </w:rPr>
            </w:pPr>
            <w:r>
              <w:rPr>
                <w:rFonts w:ascii="宋体" w:hAnsi="宋体" w:cs="宋体" w:eastAsia="宋体" w:hint="default"/>
                <w:sz w:val="18"/>
                <w:szCs w:val="18"/>
              </w:rPr>
              <w:t>浮动利率</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21.79</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13.54</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13.54</w:t>
            </w:r>
          </w:p>
        </w:tc>
      </w:tr>
      <w:tr>
        <w:trPr>
          <w:trHeight w:val="402"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27,400</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27,400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1,335.96</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904.76</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委托理财资金来源</w:t>
            </w:r>
          </w:p>
        </w:tc>
        <w:tc>
          <w:tcPr>
            <w:tcW w:w="710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714"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逾期未收回的本金和收益累计 金额</w:t>
            </w:r>
          </w:p>
        </w:tc>
        <w:tc>
          <w:tcPr>
            <w:tcW w:w="710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涉诉情况（如适用）</w:t>
            </w:r>
          </w:p>
        </w:tc>
        <w:tc>
          <w:tcPr>
            <w:tcW w:w="710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5"/>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委托理财审批董事会公告披露 日期（如有</w:t>
            </w:r>
            <w:r>
              <w:rPr>
                <w:rFonts w:ascii="Times New Roman" w:hAnsi="Times New Roman" w:cs="Times New Roman" w:eastAsia="Times New Roman" w:hint="default"/>
                <w:sz w:val="18"/>
                <w:szCs w:val="18"/>
              </w:rPr>
              <w:t>)</w:t>
            </w:r>
          </w:p>
        </w:tc>
        <w:tc>
          <w:tcPr>
            <w:tcW w:w="710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5"/>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委托理财审批股东会公告披露 日期（如有</w:t>
            </w:r>
            <w:r>
              <w:rPr>
                <w:rFonts w:ascii="Times New Roman" w:hAnsi="Times New Roman" w:cs="Times New Roman" w:eastAsia="Times New Roman" w:hint="default"/>
                <w:sz w:val="18"/>
                <w:szCs w:val="18"/>
              </w:rPr>
              <w:t>)</w:t>
            </w:r>
          </w:p>
        </w:tc>
        <w:tc>
          <w:tcPr>
            <w:tcW w:w="710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未来是否还有委托理财计划</w:t>
            </w:r>
          </w:p>
        </w:tc>
        <w:tc>
          <w:tcPr>
            <w:tcW w:w="710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2）委托贷款情况" w:id="94"/>
      <w:bookmarkEnd w:id="94"/>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2"/>
        <w:rPr>
          <w:rFonts w:ascii="宋体" w:hAnsi="宋体" w:cs="宋体" w:eastAsia="宋体" w:hint="default"/>
          <w:sz w:val="21"/>
          <w:szCs w:val="21"/>
        </w:rPr>
      </w:pPr>
    </w:p>
    <w:p>
      <w:pPr>
        <w:pStyle w:val="Heading3"/>
        <w:spacing w:line="240" w:lineRule="auto"/>
        <w:ind w:left="153" w:right="0"/>
        <w:jc w:val="left"/>
        <w:rPr>
          <w:b w:val="0"/>
          <w:bCs w:val="0"/>
        </w:rPr>
      </w:pPr>
      <w:bookmarkStart w:name="4、其他重大合同" w:id="95"/>
      <w:bookmarkEnd w:id="95"/>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八、其他重大事项的说明" w:id="96"/>
      <w:bookmarkEnd w:id="96"/>
      <w:r>
        <w:rPr>
          <w:b w:val="0"/>
          <w:bCs w:val="0"/>
        </w:rPr>
      </w:r>
      <w:r>
        <w:rPr/>
        <w:t>十八、其他重大事项的说明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16" w:lineRule="auto" w:before="44"/>
        <w:ind w:right="1127"/>
        <w:jc w:val="left"/>
      </w:pPr>
      <w:r>
        <w:rPr>
          <w:spacing w:val="-2"/>
        </w:rPr>
        <w:t>公司实际控制人、董事长赵福君先生，以及董事兼总裁施瑞丰先生、董事兼副总裁及财务总监邱安超先生、董事会秘书王海</w:t>
      </w:r>
      <w:r>
        <w:rPr>
          <w:spacing w:val="-66"/>
        </w:rPr>
        <w:t> </w:t>
      </w:r>
      <w:r>
        <w:rPr>
          <w:spacing w:val="-66"/>
        </w:rPr>
      </w:r>
      <w:r>
        <w:rPr/>
        <w:t>霞女士基于对公司发展的信心，计划自</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日起六个月内，根据中国证监会和深圳证券交易所的有关规定，以自</w:t>
      </w:r>
    </w:p>
    <w:p>
      <w:pPr>
        <w:pStyle w:val="BodyText"/>
        <w:spacing w:line="248" w:lineRule="exact"/>
        <w:ind w:left="154" w:right="0"/>
        <w:jc w:val="left"/>
        <w:rPr>
          <w:rFonts w:ascii="Times New Roman" w:hAnsi="Times New Roman" w:cs="Times New Roman" w:eastAsia="Times New Roman" w:hint="default"/>
        </w:rPr>
      </w:pPr>
      <w:r>
        <w:rPr>
          <w:spacing w:val="-5"/>
        </w:rPr>
        <w:t>有资金通过二级市场增持公司股份。截止到报告期末，赵福君先生累计增持 </w:t>
      </w:r>
      <w:r>
        <w:rPr>
          <w:rFonts w:ascii="Times New Roman" w:hAnsi="Times New Roman" w:cs="Times New Roman" w:eastAsia="Times New Roman" w:hint="default"/>
        </w:rPr>
        <w:t>300,000 </w:t>
      </w:r>
      <w:r>
        <w:rPr>
          <w:spacing w:val="-5"/>
        </w:rPr>
        <w:t>股公司股份，施瑞丰先生累计增持</w:t>
      </w:r>
      <w:r>
        <w:rPr>
          <w:spacing w:val="-64"/>
        </w:rPr>
        <w:t> </w:t>
      </w:r>
      <w:r>
        <w:rPr>
          <w:rFonts w:ascii="Times New Roman" w:hAnsi="Times New Roman" w:cs="Times New Roman" w:eastAsia="Times New Roman" w:hint="default"/>
        </w:rPr>
        <w:t>30,000</w:t>
      </w:r>
    </w:p>
    <w:p>
      <w:pPr>
        <w:pStyle w:val="BodyText"/>
        <w:spacing w:line="240" w:lineRule="auto" w:before="63"/>
        <w:ind w:right="0"/>
        <w:jc w:val="left"/>
        <w:rPr>
          <w:rFonts w:ascii="Times New Roman" w:hAnsi="Times New Roman" w:cs="Times New Roman" w:eastAsia="Times New Roman" w:hint="default"/>
        </w:rPr>
      </w:pPr>
      <w:r>
        <w:rPr/>
        <w:t>股公司股份，邱安超先生累计增持</w:t>
      </w:r>
      <w:r>
        <w:rPr>
          <w:spacing w:val="-52"/>
        </w:rPr>
        <w:t> </w:t>
      </w:r>
      <w:r>
        <w:rPr>
          <w:rFonts w:ascii="Times New Roman" w:hAnsi="Times New Roman" w:cs="Times New Roman" w:eastAsia="Times New Roman" w:hint="default"/>
        </w:rPr>
        <w:t>26,300</w:t>
      </w:r>
      <w:r>
        <w:rPr>
          <w:rFonts w:ascii="Times New Roman" w:hAnsi="Times New Roman" w:cs="Times New Roman" w:eastAsia="Times New Roman" w:hint="default"/>
          <w:spacing w:val="-7"/>
        </w:rPr>
        <w:t> </w:t>
      </w:r>
      <w:r>
        <w:rPr/>
        <w:t>股，王海霞女士累计增持</w:t>
      </w:r>
      <w:r>
        <w:rPr>
          <w:spacing w:val="-52"/>
        </w:rPr>
        <w:t> </w:t>
      </w:r>
      <w:r>
        <w:rPr>
          <w:rFonts w:ascii="Times New Roman" w:hAnsi="Times New Roman" w:cs="Times New Roman" w:eastAsia="Times New Roman" w:hint="default"/>
        </w:rPr>
        <w:t>25,400</w:t>
      </w:r>
      <w:r>
        <w:rPr>
          <w:rFonts w:ascii="Times New Roman" w:hAnsi="Times New Roman" w:cs="Times New Roman" w:eastAsia="Times New Roman" w:hint="default"/>
          <w:spacing w:val="-7"/>
        </w:rPr>
        <w:t> </w:t>
      </w:r>
      <w:r>
        <w:rPr/>
        <w:t>股。本次增持计划及进展公告已披露于</w:t>
      </w:r>
      <w:r>
        <w:rPr>
          <w:spacing w:val="-52"/>
        </w:rPr>
        <w:t> </w:t>
      </w:r>
      <w:r>
        <w:rPr>
          <w:rFonts w:ascii="Times New Roman" w:hAnsi="Times New Roman" w:cs="Times New Roman" w:eastAsia="Times New Roman" w:hint="default"/>
        </w:rPr>
        <w:t>2015</w:t>
      </w:r>
      <w:r>
        <w:rPr>
          <w:rFonts w:ascii="Times New Roman" w:hAnsi="Times New Roman" w:cs="Times New Roman" w:eastAsia="Times New Roman" w:hint="default"/>
          <w:spacing w:val="-7"/>
        </w:rPr>
        <w:t> </w:t>
      </w:r>
      <w:r>
        <w:rPr/>
        <w:t>年</w:t>
      </w:r>
      <w:r>
        <w:rPr>
          <w:spacing w:val="-52"/>
        </w:rPr>
        <w:t> </w:t>
      </w:r>
      <w:r>
        <w:rPr>
          <w:rFonts w:ascii="Times New Roman" w:hAnsi="Times New Roman" w:cs="Times New Roman" w:eastAsia="Times New Roman" w:hint="default"/>
        </w:rPr>
        <w:t>7</w:t>
      </w:r>
    </w:p>
    <w:p>
      <w:pPr>
        <w:pStyle w:val="BodyText"/>
        <w:spacing w:line="240" w:lineRule="auto" w:before="64"/>
        <w:ind w:left="154" w:right="0"/>
        <w:jc w:val="left"/>
      </w:pPr>
      <w:r>
        <w:rPr/>
        <w:t>月</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7 </w:t>
      </w:r>
      <w:r>
        <w:rPr/>
        <w:t>月</w:t>
      </w:r>
      <w:r>
        <w:rPr>
          <w:spacing w:val="-46"/>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7 </w:t>
      </w:r>
      <w:r>
        <w:rPr/>
        <w:t>日、</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26</w:t>
      </w:r>
      <w:r>
        <w:rPr>
          <w:rFonts w:ascii="Times New Roman" w:hAnsi="Times New Roman" w:cs="Times New Roman" w:eastAsia="Times New Roman" w:hint="default"/>
          <w:spacing w:val="-1"/>
        </w:rPr>
        <w:t> </w:t>
      </w:r>
      <w:r>
        <w:rPr>
          <w:spacing w:val="1"/>
        </w:rPr>
        <w:t>日</w:t>
      </w:r>
      <w:r>
        <w:rPr/>
        <w:t>、</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日的</w:t>
      </w:r>
      <w:r>
        <w:rPr>
          <w:spacing w:val="1"/>
        </w:rPr>
        <w:t>中</w:t>
      </w:r>
      <w:r>
        <w:rPr/>
        <w:t>国证券报、证券时报和巨潮资讯网（</w:t>
      </w:r>
      <w:hyperlink r:id="rId13">
        <w:r>
          <w:rPr>
            <w:rFonts w:ascii="Times New Roman" w:hAnsi="Times New Roman" w:cs="Times New Roman" w:eastAsia="Times New Roman" w:hint="default"/>
            <w:w w:val="99"/>
          </w:rPr>
          <w:t>w</w:t>
        </w:r>
        <w:r>
          <w:rPr>
            <w:rFonts w:ascii="Times New Roman" w:hAnsi="Times New Roman" w:cs="Times New Roman" w:eastAsia="Times New Roman" w:hint="default"/>
            <w:spacing w:val="-1"/>
            <w:w w:val="99"/>
          </w:rPr>
          <w:t>w</w:t>
        </w:r>
        <w:r>
          <w:rPr>
            <w:rFonts w:ascii="Times New Roman" w:hAnsi="Times New Roman" w:cs="Times New Roman" w:eastAsia="Times New Roman" w:hint="default"/>
            <w:spacing w:val="-13"/>
            <w:w w:val="99"/>
          </w:rPr>
          <w:t>w</w:t>
        </w:r>
        <w:r>
          <w:rPr>
            <w:rFonts w:ascii="Times New Roman" w:hAnsi="Times New Roman" w:cs="Times New Roman" w:eastAsia="Times New Roman" w:hint="default"/>
          </w:rPr>
          <w:t>.cninfo.com</w:t>
        </w:r>
        <w:r>
          <w:rPr>
            <w:rFonts w:ascii="Times New Roman" w:hAnsi="Times New Roman" w:cs="Times New Roman" w:eastAsia="Times New Roman" w:hint="default"/>
            <w:spacing w:val="-1"/>
          </w:rPr>
          <w:t>.</w:t>
        </w:r>
        <w:r>
          <w:rPr>
            <w:rFonts w:ascii="Times New Roman" w:hAnsi="Times New Roman" w:cs="Times New Roman" w:eastAsia="Times New Roman" w:hint="default"/>
          </w:rPr>
          <w:t>cn</w:t>
        </w:r>
      </w:hyperlink>
      <w:r>
        <w:rPr>
          <w:spacing w:val="-90"/>
        </w:rPr>
        <w:t>）。</w:t>
      </w:r>
      <w:r>
        <w:rPr/>
      </w:r>
    </w:p>
    <w:p>
      <w:pPr>
        <w:spacing w:line="240" w:lineRule="auto" w:before="12"/>
        <w:rPr>
          <w:rFonts w:ascii="宋体" w:hAnsi="宋体" w:cs="宋体" w:eastAsia="宋体" w:hint="default"/>
          <w:sz w:val="23"/>
          <w:szCs w:val="23"/>
        </w:rPr>
      </w:pPr>
    </w:p>
    <w:p>
      <w:pPr>
        <w:pStyle w:val="Heading2"/>
        <w:spacing w:line="240" w:lineRule="auto"/>
        <w:ind w:left="154" w:right="0"/>
        <w:jc w:val="left"/>
        <w:rPr>
          <w:b w:val="0"/>
          <w:bCs w:val="0"/>
        </w:rPr>
      </w:pPr>
      <w:bookmarkStart w:name="十九、公司子公司重大事项" w:id="97"/>
      <w:bookmarkEnd w:id="97"/>
      <w:r>
        <w:rPr>
          <w:b w:val="0"/>
          <w:bCs w:val="0"/>
        </w:rPr>
      </w:r>
      <w:r>
        <w:rPr/>
        <w:t>十九、公司子公司重大事项</w:t>
      </w:r>
      <w:r>
        <w:rPr>
          <w:b w:val="0"/>
          <w:bCs w:val="0"/>
        </w:rPr>
      </w:r>
    </w:p>
    <w:p>
      <w:pPr>
        <w:spacing w:line="240" w:lineRule="auto" w:before="9"/>
        <w:rPr>
          <w:rFonts w:ascii="宋体" w:hAnsi="宋体" w:cs="宋体" w:eastAsia="宋体" w:hint="default"/>
          <w:b/>
          <w:bCs/>
          <w:sz w:val="26"/>
          <w:szCs w:val="26"/>
        </w:rPr>
      </w:pPr>
    </w:p>
    <w:p>
      <w:pPr>
        <w:pStyle w:val="BodyText"/>
        <w:spacing w:line="319" w:lineRule="auto"/>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公司第五届董事会第十六次（临时）会议审议通过了《关于北京亿起联科技有限公司对外投资设立全资子公司的议案》。亿</w:t>
      </w:r>
      <w:r>
        <w:rPr>
          <w:spacing w:val="-66"/>
        </w:rPr>
        <w:t> </w:t>
      </w:r>
      <w:r>
        <w:rPr>
          <w:spacing w:val="-66"/>
        </w:rPr>
      </w:r>
      <w:r>
        <w:rPr/>
        <w:t>起联科技以自有资金出资人民币</w:t>
      </w:r>
      <w:r>
        <w:rPr>
          <w:rFonts w:ascii="Times New Roman" w:hAnsi="Times New Roman" w:cs="Times New Roman" w:eastAsia="Times New Roman" w:hint="default"/>
        </w:rPr>
        <w:t>500</w:t>
      </w:r>
      <w:r>
        <w:rPr/>
        <w:t>万元在上海自贸区设立全资子公司上海亿起联科技有限公司，专门从事海外移动广告运 </w:t>
      </w:r>
      <w:r>
        <w:rPr>
          <w:spacing w:val="-2"/>
        </w:rPr>
        <w:t>营业务。该投资事项公告及进展情况公告详见</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10</w:t>
      </w:r>
      <w:r>
        <w:rPr>
          <w:spacing w:val="-2"/>
        </w:rPr>
        <w:t>日和</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25</w:t>
      </w:r>
      <w:r>
        <w:rPr>
          <w:spacing w:val="-2"/>
        </w:rPr>
        <w:t>日的信息披露媒体中国证券报、证券时报和巨潮资讯网</w:t>
      </w:r>
    </w:p>
    <w:p>
      <w:pPr>
        <w:pStyle w:val="BodyText"/>
        <w:spacing w:line="307" w:lineRule="auto"/>
        <w:ind w:right="1033"/>
        <w:jc w:val="left"/>
      </w:pPr>
      <w:r>
        <w:rPr/>
        <w:t>（</w:t>
      </w:r>
      <w:hyperlink r:id="rId13">
        <w:r>
          <w:rPr>
            <w:rFonts w:ascii="Times New Roman" w:hAnsi="Times New Roman" w:cs="Times New Roman" w:eastAsia="Times New Roman" w:hint="default"/>
          </w:rPr>
          <w:t>www.cninfo.com.cn</w:t>
        </w:r>
      </w:hyperlink>
      <w:r>
        <w:rPr/>
        <w:t>）。</w:t>
      </w:r>
      <w:r>
        <w:rPr>
          <w:w w:val="99"/>
        </w:rPr>
        <w:t> </w:t>
      </w:r>
      <w:r>
        <w:rPr/>
        <w:t>公司第五届董事会第二十一次（临时）会议审议通过了《关于北京亿起联科技有限公司对外投资设立全资子公司的议案》。</w:t>
      </w:r>
      <w:r>
        <w:rPr>
          <w:w w:val="99"/>
        </w:rPr>
        <w:t> </w:t>
      </w:r>
      <w:r>
        <w:rPr/>
        <w:t>亿起联科技出资</w:t>
      </w:r>
      <w:r>
        <w:rPr>
          <w:rFonts w:ascii="Times New Roman" w:hAnsi="Times New Roman" w:cs="Times New Roman" w:eastAsia="Times New Roman" w:hint="default"/>
        </w:rPr>
        <w:t>1,000</w:t>
      </w:r>
      <w:r>
        <w:rPr/>
        <w:t>万元人民币设立其全资子公司上海轻点网络科技有限公司，从事手机游戏运营发行业务。该投资事项</w:t>
      </w:r>
      <w:r>
        <w:rPr>
          <w:w w:val="99"/>
        </w:rPr>
        <w:t> </w:t>
      </w:r>
      <w:r>
        <w:rPr>
          <w:spacing w:val="-4"/>
        </w:rPr>
        <w:t>公告及进展公告详见</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22</w:t>
      </w:r>
      <w:r>
        <w:rPr>
          <w:spacing w:val="-4"/>
        </w:rPr>
        <w:t>日和和</w:t>
      </w:r>
      <w:r>
        <w:rPr>
          <w:rFonts w:ascii="Times New Roman" w:hAnsi="Times New Roman" w:cs="Times New Roman" w:eastAsia="Times New Roman" w:hint="default"/>
          <w:spacing w:val="-4"/>
        </w:rPr>
        <w:t>7</w:t>
      </w:r>
      <w:r>
        <w:rPr>
          <w:spacing w:val="-4"/>
        </w:rPr>
        <w:t>月</w:t>
      </w:r>
      <w:r>
        <w:rPr>
          <w:rFonts w:ascii="Times New Roman" w:hAnsi="Times New Roman" w:cs="Times New Roman" w:eastAsia="Times New Roman" w:hint="default"/>
          <w:spacing w:val="-4"/>
        </w:rPr>
        <w:t>25</w:t>
      </w:r>
      <w:r>
        <w:rPr>
          <w:spacing w:val="-4"/>
        </w:rPr>
        <w:t>日的信息披露媒体中国证券报、证券时报和巨潮资讯网（</w:t>
      </w:r>
      <w:hyperlink r:id="rId13">
        <w:r>
          <w:rPr>
            <w:rFonts w:ascii="Times New Roman" w:hAnsi="Times New Roman" w:cs="Times New Roman" w:eastAsia="Times New Roman" w:hint="default"/>
            <w:spacing w:val="-4"/>
          </w:rPr>
          <w:t>www.cninfo.com.cn</w:t>
        </w:r>
      </w:hyperlink>
      <w:r>
        <w:rPr>
          <w:spacing w:val="-4"/>
        </w:rPr>
        <w:t>）。</w:t>
      </w:r>
      <w:r>
        <w:rPr/>
      </w:r>
    </w:p>
    <w:p>
      <w:pPr>
        <w:spacing w:line="240" w:lineRule="auto" w:before="11"/>
        <w:rPr>
          <w:rFonts w:ascii="宋体" w:hAnsi="宋体" w:cs="宋体" w:eastAsia="宋体" w:hint="default"/>
          <w:sz w:val="19"/>
          <w:szCs w:val="19"/>
        </w:rPr>
      </w:pPr>
    </w:p>
    <w:p>
      <w:pPr>
        <w:pStyle w:val="Heading2"/>
        <w:spacing w:line="240" w:lineRule="auto"/>
        <w:ind w:right="0"/>
        <w:jc w:val="left"/>
        <w:rPr>
          <w:b w:val="0"/>
          <w:bCs w:val="0"/>
        </w:rPr>
      </w:pPr>
      <w:bookmarkStart w:name="二十、社会责任情况" w:id="98"/>
      <w:bookmarkEnd w:id="98"/>
      <w:r>
        <w:rPr>
          <w:b w:val="0"/>
          <w:bCs w:val="0"/>
        </w:rPr>
      </w:r>
      <w:r>
        <w:rPr/>
        <w:t>二十、社会责任情况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二十一、公司债券相关情况" w:id="99"/>
      <w:bookmarkEnd w:id="99"/>
      <w:r>
        <w:rPr>
          <w:b w:val="0"/>
          <w:bCs w:val="0"/>
        </w:rPr>
      </w:r>
      <w:r>
        <w:rPr/>
        <w:t>二十一、公司债券相关情况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2113"/>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2965" w:right="0"/>
        <w:jc w:val="left"/>
        <w:rPr>
          <w:b w:val="0"/>
          <w:bCs w:val="0"/>
        </w:rPr>
      </w:pPr>
      <w:bookmarkStart w:name="第六节 股份变动及股东情况" w:id="100"/>
      <w:bookmarkEnd w:id="100"/>
      <w:r>
        <w:rPr>
          <w:b w:val="0"/>
          <w:bCs w:val="0"/>
        </w:rPr>
      </w:r>
      <w:bookmarkStart w:name="_bookmark5" w:id="101"/>
      <w:bookmarkEnd w:id="101"/>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02"/>
      <w:bookmarkEnd w:id="102"/>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股份变动情况" w:id="103"/>
      <w:bookmarkEnd w:id="103"/>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053"/>
        <w:gridCol w:w="967"/>
        <w:gridCol w:w="752"/>
        <w:gridCol w:w="866"/>
        <w:gridCol w:w="750"/>
        <w:gridCol w:w="751"/>
        <w:gridCol w:w="926"/>
        <w:gridCol w:w="956"/>
        <w:gridCol w:w="956"/>
        <w:gridCol w:w="706"/>
      </w:tblGrid>
      <w:tr>
        <w:trPr>
          <w:trHeight w:val="402" w:hRule="exact"/>
        </w:trPr>
        <w:tc>
          <w:tcPr>
            <w:tcW w:w="2053" w:type="dxa"/>
            <w:tcBorders>
              <w:top w:val="single" w:sz="4" w:space="0" w:color="000000"/>
              <w:left w:val="single" w:sz="4" w:space="0" w:color="000000"/>
              <w:bottom w:val="nil" w:sz="6" w:space="0" w:color="auto"/>
              <w:right w:val="single" w:sz="4" w:space="0" w:color="000000"/>
            </w:tcBorders>
            <w:shd w:val="clear" w:color="auto" w:fill="D2D2D2"/>
          </w:tcPr>
          <w:p>
            <w:pPr/>
          </w:p>
        </w:tc>
        <w:tc>
          <w:tcPr>
            <w:tcW w:w="171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0"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5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2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6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5"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053" w:type="dxa"/>
            <w:vMerge w:val="restart"/>
            <w:tcBorders>
              <w:top w:val="nil" w:sz="6" w:space="0" w:color="auto"/>
              <w:left w:val="single" w:sz="4" w:space="0" w:color="000000"/>
              <w:right w:val="single" w:sz="4" w:space="0" w:color="000000"/>
            </w:tcBorders>
            <w:shd w:val="clear" w:color="auto" w:fill="D2D2D2"/>
          </w:tcPr>
          <w:p>
            <w:pPr/>
          </w:p>
        </w:tc>
        <w:tc>
          <w:tcPr>
            <w:tcW w:w="967" w:type="dxa"/>
            <w:tcBorders>
              <w:top w:val="single" w:sz="4" w:space="0" w:color="000000"/>
              <w:left w:val="single" w:sz="4" w:space="0" w:color="000000"/>
              <w:bottom w:val="nil" w:sz="6" w:space="0" w:color="auto"/>
              <w:right w:val="single" w:sz="4" w:space="0" w:color="000000"/>
            </w:tcBorders>
            <w:shd w:val="clear" w:color="auto" w:fill="D2D2D2"/>
          </w:tcPr>
          <w:p>
            <w:pPr/>
          </w:p>
        </w:tc>
        <w:tc>
          <w:tcPr>
            <w:tcW w:w="752" w:type="dxa"/>
            <w:tcBorders>
              <w:top w:val="single" w:sz="4" w:space="0" w:color="000000"/>
              <w:left w:val="single" w:sz="4" w:space="0" w:color="000000"/>
              <w:bottom w:val="nil" w:sz="6" w:space="0" w:color="auto"/>
              <w:right w:val="single" w:sz="4" w:space="0" w:color="000000"/>
            </w:tcBorders>
            <w:shd w:val="clear" w:color="auto" w:fill="D2D2D2"/>
          </w:tcPr>
          <w:p>
            <w:pPr/>
          </w:p>
        </w:tc>
        <w:tc>
          <w:tcPr>
            <w:tcW w:w="866" w:type="dxa"/>
            <w:tcBorders>
              <w:top w:val="single" w:sz="4" w:space="0" w:color="000000"/>
              <w:left w:val="single" w:sz="4" w:space="0" w:color="000000"/>
              <w:bottom w:val="nil" w:sz="6" w:space="0" w:color="auto"/>
              <w:right w:val="single" w:sz="4" w:space="0" w:color="000000"/>
            </w:tcBorders>
            <w:shd w:val="clear" w:color="auto" w:fill="D2D2D2"/>
          </w:tcPr>
          <w:p>
            <w:pPr/>
          </w:p>
        </w:tc>
        <w:tc>
          <w:tcPr>
            <w:tcW w:w="7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5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89" w:right="101" w:hanging="90"/>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926" w:type="dxa"/>
            <w:tcBorders>
              <w:top w:val="single" w:sz="4" w:space="0" w:color="000000"/>
              <w:left w:val="single" w:sz="4" w:space="0" w:color="000000"/>
              <w:bottom w:val="nil" w:sz="6" w:space="0" w:color="auto"/>
              <w:right w:val="single" w:sz="4" w:space="0" w:color="000000"/>
            </w:tcBorders>
            <w:shd w:val="clear" w:color="auto" w:fill="D2D2D2"/>
          </w:tcPr>
          <w:p>
            <w:pPr/>
          </w:p>
        </w:tc>
        <w:tc>
          <w:tcPr>
            <w:tcW w:w="956" w:type="dxa"/>
            <w:tcBorders>
              <w:top w:val="single" w:sz="4" w:space="0" w:color="000000"/>
              <w:left w:val="single" w:sz="4" w:space="0" w:color="000000"/>
              <w:bottom w:val="nil" w:sz="6" w:space="0" w:color="auto"/>
              <w:right w:val="single" w:sz="4" w:space="0" w:color="000000"/>
            </w:tcBorders>
            <w:shd w:val="clear" w:color="auto" w:fill="D2D2D2"/>
          </w:tcPr>
          <w:p>
            <w:pPr/>
          </w:p>
        </w:tc>
        <w:tc>
          <w:tcPr>
            <w:tcW w:w="95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053" w:type="dxa"/>
            <w:vMerge/>
            <w:tcBorders>
              <w:left w:val="single" w:sz="4" w:space="0" w:color="000000"/>
              <w:bottom w:val="nil" w:sz="6" w:space="0" w:color="auto"/>
              <w:right w:val="single" w:sz="4" w:space="0" w:color="000000"/>
            </w:tcBorders>
            <w:shd w:val="clear" w:color="auto" w:fill="D2D2D2"/>
          </w:tcPr>
          <w:p>
            <w:pPr/>
          </w:p>
        </w:tc>
        <w:tc>
          <w:tcPr>
            <w:tcW w:w="9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04"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7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89"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51" w:type="dxa"/>
            <w:vMerge/>
            <w:tcBorders>
              <w:left w:val="single" w:sz="4" w:space="0" w:color="000000"/>
              <w:right w:val="single" w:sz="4" w:space="0" w:color="000000"/>
            </w:tcBorders>
            <w:shd w:val="clear" w:color="auto" w:fill="D2D2D2"/>
          </w:tcPr>
          <w:p>
            <w:pPr/>
          </w:p>
        </w:tc>
        <w:tc>
          <w:tcPr>
            <w:tcW w:w="9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7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9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0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7"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053" w:type="dxa"/>
            <w:vMerge w:val="restart"/>
            <w:tcBorders>
              <w:top w:val="nil" w:sz="6" w:space="0" w:color="auto"/>
              <w:left w:val="single" w:sz="4" w:space="0" w:color="000000"/>
              <w:right w:val="single" w:sz="4" w:space="0" w:color="000000"/>
            </w:tcBorders>
            <w:shd w:val="clear" w:color="auto" w:fill="D2D2D2"/>
          </w:tcPr>
          <w:p>
            <w:pPr/>
          </w:p>
        </w:tc>
        <w:tc>
          <w:tcPr>
            <w:tcW w:w="967" w:type="dxa"/>
            <w:vMerge/>
            <w:tcBorders>
              <w:left w:val="single" w:sz="4" w:space="0" w:color="000000"/>
              <w:bottom w:val="nil" w:sz="6" w:space="0" w:color="auto"/>
              <w:right w:val="single" w:sz="4" w:space="0" w:color="000000"/>
            </w:tcBorders>
            <w:shd w:val="clear" w:color="auto" w:fill="D2D2D2"/>
          </w:tcPr>
          <w:p>
            <w:pPr/>
          </w:p>
        </w:tc>
        <w:tc>
          <w:tcPr>
            <w:tcW w:w="752" w:type="dxa"/>
            <w:vMerge/>
            <w:tcBorders>
              <w:left w:val="single" w:sz="4" w:space="0" w:color="000000"/>
              <w:bottom w:val="nil" w:sz="6" w:space="0" w:color="auto"/>
              <w:right w:val="single" w:sz="4" w:space="0" w:color="000000"/>
            </w:tcBorders>
            <w:shd w:val="clear" w:color="auto" w:fill="D2D2D2"/>
          </w:tcPr>
          <w:p>
            <w:pPr/>
          </w:p>
        </w:tc>
        <w:tc>
          <w:tcPr>
            <w:tcW w:w="866" w:type="dxa"/>
            <w:vMerge/>
            <w:tcBorders>
              <w:left w:val="single" w:sz="4" w:space="0" w:color="000000"/>
              <w:bottom w:val="nil" w:sz="6" w:space="0" w:color="auto"/>
              <w:right w:val="single" w:sz="4" w:space="0" w:color="000000"/>
            </w:tcBorders>
            <w:shd w:val="clear" w:color="auto" w:fill="D2D2D2"/>
          </w:tcPr>
          <w:p>
            <w:pPr/>
          </w:p>
        </w:tc>
        <w:tc>
          <w:tcPr>
            <w:tcW w:w="750" w:type="dxa"/>
            <w:vMerge/>
            <w:tcBorders>
              <w:left w:val="single" w:sz="4" w:space="0" w:color="000000"/>
              <w:bottom w:val="nil" w:sz="6" w:space="0" w:color="auto"/>
              <w:right w:val="single" w:sz="4" w:space="0" w:color="000000"/>
            </w:tcBorders>
            <w:shd w:val="clear" w:color="auto" w:fill="D2D2D2"/>
          </w:tcPr>
          <w:p>
            <w:pPr/>
          </w:p>
        </w:tc>
        <w:tc>
          <w:tcPr>
            <w:tcW w:w="751" w:type="dxa"/>
            <w:vMerge/>
            <w:tcBorders>
              <w:left w:val="single" w:sz="4" w:space="0" w:color="000000"/>
              <w:right w:val="single" w:sz="4" w:space="0" w:color="000000"/>
            </w:tcBorders>
            <w:shd w:val="clear" w:color="auto" w:fill="D2D2D2"/>
          </w:tcPr>
          <w:p>
            <w:pPr/>
          </w:p>
        </w:tc>
        <w:tc>
          <w:tcPr>
            <w:tcW w:w="926" w:type="dxa"/>
            <w:vMerge/>
            <w:tcBorders>
              <w:left w:val="single" w:sz="4" w:space="0" w:color="000000"/>
              <w:bottom w:val="nil" w:sz="6" w:space="0" w:color="auto"/>
              <w:right w:val="single" w:sz="4" w:space="0" w:color="000000"/>
            </w:tcBorders>
            <w:shd w:val="clear" w:color="auto" w:fill="D2D2D2"/>
          </w:tcPr>
          <w:p>
            <w:pPr/>
          </w:p>
        </w:tc>
        <w:tc>
          <w:tcPr>
            <w:tcW w:w="956" w:type="dxa"/>
            <w:vMerge/>
            <w:tcBorders>
              <w:left w:val="single" w:sz="4" w:space="0" w:color="000000"/>
              <w:bottom w:val="nil" w:sz="6" w:space="0" w:color="auto"/>
              <w:right w:val="single" w:sz="4" w:space="0" w:color="000000"/>
            </w:tcBorders>
            <w:shd w:val="clear" w:color="auto" w:fill="D2D2D2"/>
          </w:tcPr>
          <w:p>
            <w:pPr/>
          </w:p>
        </w:tc>
        <w:tc>
          <w:tcPr>
            <w:tcW w:w="956" w:type="dxa"/>
            <w:vMerge/>
            <w:tcBorders>
              <w:left w:val="single" w:sz="4" w:space="0" w:color="000000"/>
              <w:bottom w:val="nil" w:sz="6" w:space="0" w:color="auto"/>
              <w:right w:val="single" w:sz="4" w:space="0" w:color="000000"/>
            </w:tcBorders>
            <w:shd w:val="clear" w:color="auto" w:fill="D2D2D2"/>
          </w:tcPr>
          <w:p>
            <w:pPr/>
          </w:p>
        </w:tc>
        <w:tc>
          <w:tcPr>
            <w:tcW w:w="706"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053" w:type="dxa"/>
            <w:vMerge/>
            <w:tcBorders>
              <w:left w:val="single" w:sz="4" w:space="0" w:color="000000"/>
              <w:bottom w:val="single" w:sz="4" w:space="0" w:color="000000"/>
              <w:right w:val="single" w:sz="4" w:space="0" w:color="000000"/>
            </w:tcBorders>
            <w:shd w:val="clear" w:color="auto" w:fill="D2D2D2"/>
          </w:tcPr>
          <w:p>
            <w:pPr/>
          </w:p>
        </w:tc>
        <w:tc>
          <w:tcPr>
            <w:tcW w:w="967" w:type="dxa"/>
            <w:tcBorders>
              <w:top w:val="nil" w:sz="6" w:space="0" w:color="auto"/>
              <w:left w:val="single" w:sz="4" w:space="0" w:color="000000"/>
              <w:bottom w:val="single" w:sz="4" w:space="0" w:color="000000"/>
              <w:right w:val="single" w:sz="4" w:space="0" w:color="000000"/>
            </w:tcBorders>
            <w:shd w:val="clear" w:color="auto" w:fill="D2D2D2"/>
          </w:tcPr>
          <w:p>
            <w:pPr/>
          </w:p>
        </w:tc>
        <w:tc>
          <w:tcPr>
            <w:tcW w:w="752" w:type="dxa"/>
            <w:tcBorders>
              <w:top w:val="nil" w:sz="6" w:space="0" w:color="auto"/>
              <w:left w:val="single" w:sz="4" w:space="0" w:color="000000"/>
              <w:bottom w:val="single" w:sz="4" w:space="0" w:color="000000"/>
              <w:right w:val="single" w:sz="4" w:space="0" w:color="000000"/>
            </w:tcBorders>
            <w:shd w:val="clear" w:color="auto" w:fill="D2D2D2"/>
          </w:tcPr>
          <w:p>
            <w:pPr/>
          </w:p>
        </w:tc>
        <w:tc>
          <w:tcPr>
            <w:tcW w:w="866" w:type="dxa"/>
            <w:tcBorders>
              <w:top w:val="nil" w:sz="6" w:space="0" w:color="auto"/>
              <w:left w:val="single" w:sz="4" w:space="0" w:color="000000"/>
              <w:bottom w:val="single" w:sz="4" w:space="0" w:color="000000"/>
              <w:right w:val="single" w:sz="4" w:space="0" w:color="000000"/>
            </w:tcBorders>
            <w:shd w:val="clear" w:color="auto" w:fill="D2D2D2"/>
          </w:tcPr>
          <w:p>
            <w:pPr/>
          </w:p>
        </w:tc>
        <w:tc>
          <w:tcPr>
            <w:tcW w:w="7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51" w:type="dxa"/>
            <w:vMerge/>
            <w:tcBorders>
              <w:left w:val="single" w:sz="4" w:space="0" w:color="000000"/>
              <w:bottom w:val="single" w:sz="4" w:space="0" w:color="000000"/>
              <w:right w:val="single" w:sz="4" w:space="0" w:color="000000"/>
            </w:tcBorders>
            <w:shd w:val="clear" w:color="auto" w:fill="D2D2D2"/>
          </w:tcPr>
          <w:p>
            <w:pPr/>
          </w:p>
        </w:tc>
        <w:tc>
          <w:tcPr>
            <w:tcW w:w="926" w:type="dxa"/>
            <w:tcBorders>
              <w:top w:val="nil" w:sz="6" w:space="0" w:color="auto"/>
              <w:left w:val="single" w:sz="4" w:space="0" w:color="000000"/>
              <w:bottom w:val="single" w:sz="4" w:space="0" w:color="000000"/>
              <w:right w:val="single" w:sz="4" w:space="0" w:color="000000"/>
            </w:tcBorders>
            <w:shd w:val="clear" w:color="auto" w:fill="D2D2D2"/>
          </w:tcPr>
          <w:p>
            <w:pPr/>
          </w:p>
        </w:tc>
        <w:tc>
          <w:tcPr>
            <w:tcW w:w="956" w:type="dxa"/>
            <w:tcBorders>
              <w:top w:val="nil" w:sz="6" w:space="0" w:color="auto"/>
              <w:left w:val="single" w:sz="4" w:space="0" w:color="000000"/>
              <w:bottom w:val="single" w:sz="4" w:space="0" w:color="000000"/>
              <w:right w:val="single" w:sz="4" w:space="0" w:color="000000"/>
            </w:tcBorders>
            <w:shd w:val="clear" w:color="auto" w:fill="D2D2D2"/>
          </w:tcPr>
          <w:p>
            <w:pPr/>
          </w:p>
        </w:tc>
        <w:tc>
          <w:tcPr>
            <w:tcW w:w="956" w:type="dxa"/>
            <w:tcBorders>
              <w:top w:val="nil" w:sz="6" w:space="0" w:color="auto"/>
              <w:left w:val="single" w:sz="4" w:space="0" w:color="000000"/>
              <w:bottom w:val="single" w:sz="4" w:space="0" w:color="000000"/>
              <w:right w:val="single" w:sz="4" w:space="0" w:color="000000"/>
            </w:tcBorders>
            <w:shd w:val="clear" w:color="auto" w:fill="D2D2D2"/>
          </w:tcPr>
          <w:p>
            <w:pPr/>
          </w:p>
        </w:tc>
        <w:tc>
          <w:tcPr>
            <w:tcW w:w="70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2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9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24,723,293</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14.06%</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41,189,372</w:t>
            </w:r>
          </w:p>
        </w:tc>
        <w:tc>
          <w:tcPr>
            <w:tcW w:w="750"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62,816,451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104,005,823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128,729,116</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59.43%</w:t>
            </w:r>
          </w:p>
        </w:tc>
      </w:tr>
      <w:tr>
        <w:trPr>
          <w:trHeight w:val="402" w:hRule="exact"/>
        </w:trPr>
        <w:tc>
          <w:tcPr>
            <w:tcW w:w="2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9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24,723,293</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14.06%</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41,189,372</w:t>
            </w:r>
          </w:p>
        </w:tc>
        <w:tc>
          <w:tcPr>
            <w:tcW w:w="750"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62,816,451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104,005,823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128,729,116</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59.43%</w:t>
            </w:r>
          </w:p>
        </w:tc>
      </w:tr>
      <w:tr>
        <w:trPr>
          <w:trHeight w:val="402" w:hRule="exact"/>
        </w:trPr>
        <w:tc>
          <w:tcPr>
            <w:tcW w:w="2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967" w:type="dxa"/>
            <w:tcBorders>
              <w:top w:val="single" w:sz="4" w:space="0" w:color="000000"/>
              <w:left w:val="single" w:sz="13" w:space="0" w:color="D2D2D2"/>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9,122,606</w:t>
            </w:r>
          </w:p>
        </w:tc>
        <w:tc>
          <w:tcPr>
            <w:tcW w:w="750"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24,382,172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33,504,778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33,504,778</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15.47%</w:t>
            </w:r>
          </w:p>
        </w:tc>
      </w:tr>
      <w:tr>
        <w:trPr>
          <w:trHeight w:val="402" w:hRule="exact"/>
        </w:trPr>
        <w:tc>
          <w:tcPr>
            <w:tcW w:w="2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9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24,723,293</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14.06%</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32,066,766</w:t>
            </w:r>
          </w:p>
        </w:tc>
        <w:tc>
          <w:tcPr>
            <w:tcW w:w="750"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38,434,279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70,501,045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95,224,338</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43.96%</w:t>
            </w:r>
          </w:p>
        </w:tc>
      </w:tr>
      <w:tr>
        <w:trPr>
          <w:trHeight w:val="402" w:hRule="exact"/>
        </w:trPr>
        <w:tc>
          <w:tcPr>
            <w:tcW w:w="2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9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151,072,012</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85.94%</w:t>
            </w:r>
          </w:p>
        </w:tc>
        <w:tc>
          <w:tcPr>
            <w:tcW w:w="866"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-63,204,348</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-63,204,348</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87,867,664</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40.57%</w:t>
            </w:r>
          </w:p>
        </w:tc>
      </w:tr>
      <w:tr>
        <w:trPr>
          <w:trHeight w:val="402" w:hRule="exact"/>
        </w:trPr>
        <w:tc>
          <w:tcPr>
            <w:tcW w:w="2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9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151,072,012</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85.94%</w:t>
            </w:r>
          </w:p>
        </w:tc>
        <w:tc>
          <w:tcPr>
            <w:tcW w:w="866"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-63,204,348</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-63,204,348</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87,867,664</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40.57%</w:t>
            </w:r>
          </w:p>
        </w:tc>
      </w:tr>
      <w:tr>
        <w:trPr>
          <w:trHeight w:val="402" w:hRule="exact"/>
        </w:trPr>
        <w:tc>
          <w:tcPr>
            <w:tcW w:w="2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9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175,795,305</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41,189,372</w:t>
            </w:r>
          </w:p>
        </w:tc>
        <w:tc>
          <w:tcPr>
            <w:tcW w:w="750"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-387,897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40,801,475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216,596,780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154" w:right="0"/>
        <w:jc w:val="left"/>
      </w:pPr>
      <w:r>
        <w:rPr/>
        <w:t>股份变动的原因</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right="0"/>
        <w:jc w:val="left"/>
      </w:pPr>
      <w:r>
        <w:rPr>
          <w:rFonts w:ascii="Times New Roman" w:hAnsi="Times New Roman" w:cs="Times New Roman" w:eastAsia="Times New Roman" w:hint="default"/>
        </w:rPr>
        <w:t>1</w:t>
      </w:r>
      <w:r>
        <w:rPr/>
        <w:t>、公司部分董监高于</w:t>
      </w:r>
      <w:r>
        <w:rPr>
          <w:rFonts w:ascii="Times New Roman" w:hAnsi="Times New Roman" w:cs="Times New Roman" w:eastAsia="Times New Roman" w:hint="default"/>
        </w:rPr>
        <w:t>2014</w:t>
      </w:r>
      <w:r>
        <w:rPr/>
        <w:t>年进行了股份减持，从而导致报告期有限售条件股份中的高管锁定股减少。</w:t>
      </w:r>
    </w:p>
    <w:p>
      <w:pPr>
        <w:pStyle w:val="BodyText"/>
        <w:spacing w:line="240" w:lineRule="auto" w:before="63"/>
        <w:ind w:right="0"/>
        <w:jc w:val="left"/>
      </w:pPr>
      <w:r>
        <w:rPr>
          <w:rFonts w:ascii="Times New Roman" w:hAnsi="Times New Roman" w:cs="Times New Roman" w:eastAsia="Times New Roman" w:hint="default"/>
        </w:rPr>
        <w:t>2</w:t>
      </w:r>
      <w:r>
        <w:rPr/>
        <w:t>、报告期内，公司原董事李坤奇离职已满十八个月，其所持有的公司有限售条件股份已全部解除限售。</w:t>
      </w:r>
    </w:p>
    <w:p>
      <w:pPr>
        <w:pStyle w:val="BodyText"/>
        <w:spacing w:line="302" w:lineRule="auto" w:before="63"/>
        <w:ind w:right="1123"/>
        <w:jc w:val="left"/>
      </w:pPr>
      <w:r>
        <w:rPr>
          <w:rFonts w:ascii="Times New Roman" w:hAnsi="Times New Roman" w:cs="Times New Roman" w:eastAsia="Times New Roman" w:hint="default"/>
        </w:rPr>
        <w:t>3</w:t>
      </w:r>
      <w:r>
        <w:rPr/>
        <w:t>、根据公司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25</w:t>
      </w:r>
      <w:r>
        <w:rPr/>
        <w:t>日召开的</w:t>
      </w:r>
      <w:r>
        <w:rPr>
          <w:rFonts w:ascii="Times New Roman" w:hAnsi="Times New Roman" w:cs="Times New Roman" w:eastAsia="Times New Roman" w:hint="default"/>
        </w:rPr>
        <w:t>2014</w:t>
      </w:r>
      <w:r>
        <w:rPr/>
        <w:t>年度第二次临时股东大会决议并经证监会核准，公司在报告期内共发行</w:t>
      </w:r>
      <w:r>
        <w:rPr>
          <w:rFonts w:ascii="Times New Roman" w:hAnsi="Times New Roman" w:cs="Times New Roman" w:eastAsia="Times New Roman" w:hint="default"/>
        </w:rPr>
        <w:t>22,403,432</w:t>
      </w:r>
      <w:r>
        <w:rPr/>
        <w:t>股</w:t>
      </w:r>
      <w:r>
        <w:rPr>
          <w:spacing w:val="-83"/>
        </w:rPr>
        <w:t> </w:t>
      </w:r>
      <w:r>
        <w:rPr/>
        <w:t>有限售条件股份用于购买亿起联科技</w:t>
      </w:r>
      <w:r>
        <w:rPr>
          <w:rFonts w:ascii="Times New Roman" w:hAnsi="Times New Roman" w:cs="Times New Roman" w:eastAsia="Times New Roman" w:hint="default"/>
        </w:rPr>
        <w:t>100%</w:t>
      </w:r>
      <w:r>
        <w:rPr/>
        <w:t>股权并募集配套资金。 </w:t>
      </w:r>
      <w:r>
        <w:rPr>
          <w:rFonts w:ascii="Times New Roman" w:hAnsi="Times New Roman" w:cs="Times New Roman" w:eastAsia="Times New Roman" w:hint="default"/>
        </w:rPr>
        <w:t>4</w:t>
      </w:r>
      <w:r>
        <w:rPr/>
        <w:t>、由于交易对手方承诺的亿起联科技</w:t>
      </w:r>
      <w:r>
        <w:rPr>
          <w:rFonts w:ascii="Times New Roman" w:hAnsi="Times New Roman" w:cs="Times New Roman" w:eastAsia="Times New Roman" w:hint="default"/>
        </w:rPr>
        <w:t>2014</w:t>
      </w:r>
      <w:r>
        <w:rPr/>
        <w:t>年度业绩未达成，则公司定向回购并注销了交易对手方所持的部分有限售条件股</w:t>
      </w:r>
      <w:r>
        <w:rPr>
          <w:spacing w:val="-83"/>
        </w:rPr>
        <w:t> </w:t>
      </w:r>
      <w:r>
        <w:rPr>
          <w:spacing w:val="-83"/>
        </w:rPr>
      </w:r>
      <w:r>
        <w:rPr/>
        <w:t>份，导致公司总股本减少。 </w:t>
      </w:r>
      <w:r>
        <w:rPr>
          <w:rFonts w:ascii="Times New Roman" w:hAnsi="Times New Roman" w:cs="Times New Roman" w:eastAsia="Times New Roman" w:hint="default"/>
        </w:rPr>
        <w:t>5</w:t>
      </w:r>
      <w:r>
        <w:rPr/>
        <w:t>、根据公司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21</w:t>
      </w:r>
      <w:r>
        <w:rPr/>
        <w:t>日召开的</w:t>
      </w:r>
      <w:r>
        <w:rPr>
          <w:rFonts w:ascii="Times New Roman" w:hAnsi="Times New Roman" w:cs="Times New Roman" w:eastAsia="Times New Roman" w:hint="default"/>
        </w:rPr>
        <w:t>2015</w:t>
      </w:r>
      <w:r>
        <w:rPr/>
        <w:t>年度第二次临时股东大会决议并经证监会核准，公司在报告期内共发行</w:t>
      </w:r>
      <w:r>
        <w:rPr>
          <w:rFonts w:ascii="Times New Roman" w:hAnsi="Times New Roman" w:cs="Times New Roman" w:eastAsia="Times New Roman" w:hint="default"/>
        </w:rPr>
        <w:t>18,785,940</w:t>
      </w:r>
      <w:r>
        <w:rPr/>
        <w:t>股</w:t>
      </w:r>
      <w:r>
        <w:rPr>
          <w:spacing w:val="-83"/>
        </w:rPr>
        <w:t> </w:t>
      </w:r>
      <w:r>
        <w:rPr/>
        <w:t>有限售条件股份用于购买华夏电通</w:t>
      </w:r>
      <w:r>
        <w:rPr>
          <w:rFonts w:ascii="Times New Roman" w:hAnsi="Times New Roman" w:cs="Times New Roman" w:eastAsia="Times New Roman" w:hint="default"/>
        </w:rPr>
        <w:t>100%</w:t>
      </w:r>
      <w:r>
        <w:rPr/>
        <w:t>股权并募集配套资金。 </w:t>
      </w:r>
      <w:r>
        <w:rPr>
          <w:rFonts w:ascii="Times New Roman" w:hAnsi="Times New Roman" w:cs="Times New Roman" w:eastAsia="Times New Roman" w:hint="default"/>
        </w:rPr>
        <w:t>6</w:t>
      </w:r>
      <w:r>
        <w:rPr/>
        <w:t>、报告期内，公司实际控制人赵福君及部分董事和高管通过二级市场增持公司股份。</w:t>
      </w:r>
    </w:p>
    <w:p>
      <w:pPr>
        <w:pStyle w:val="BodyText"/>
        <w:spacing w:line="300" w:lineRule="auto" w:before="11"/>
        <w:ind w:left="154" w:right="1122"/>
        <w:jc w:val="left"/>
      </w:pPr>
      <w:r>
        <w:rPr>
          <w:rFonts w:ascii="Times New Roman" w:hAnsi="Times New Roman" w:cs="Times New Roman" w:eastAsia="Times New Roman" w:hint="default"/>
        </w:rPr>
        <w:t>7</w:t>
      </w:r>
      <w:r>
        <w:rPr/>
        <w:t>、报告期内，公司控股股东久其科技及实际控制人董泰湘和赵福君根据其股份锁定承诺对相关无限售条件股份实施追加限</w:t>
      </w:r>
      <w:r>
        <w:rPr>
          <w:spacing w:val="-83"/>
        </w:rPr>
        <w:t> </w:t>
      </w:r>
      <w:r>
        <w:rPr>
          <w:spacing w:val="-83"/>
        </w:rPr>
      </w:r>
      <w:r>
        <w:rPr/>
        <w:t>售。</w:t>
      </w:r>
    </w:p>
    <w:p>
      <w:pPr>
        <w:pStyle w:val="BodyText"/>
        <w:spacing w:line="240" w:lineRule="auto" w:before="72"/>
        <w:ind w:left="154" w:right="0"/>
        <w:jc w:val="left"/>
      </w:pPr>
      <w:r>
        <w:rPr/>
        <w:t>股份变动的批准情况</w:t>
      </w:r>
    </w:p>
    <w:p>
      <w:pPr>
        <w:pStyle w:val="BodyText"/>
        <w:spacing w:line="319"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月，公司取得中国证券监督管理委员会证监许可</w:t>
      </w:r>
      <w:r>
        <w:rPr>
          <w:rFonts w:ascii="Times New Roman" w:hAnsi="Times New Roman" w:cs="Times New Roman" w:eastAsia="Times New Roman" w:hint="default"/>
        </w:rPr>
        <w:t>[2014]1400</w:t>
      </w:r>
      <w:r>
        <w:rPr/>
        <w:t>号《关于核准北京久其软件股份有限公司向王新等</w:t>
      </w:r>
      <w:r>
        <w:rPr>
          <w:spacing w:val="-34"/>
        </w:rPr>
        <w:t> </w:t>
      </w:r>
      <w:r>
        <w:rPr>
          <w:spacing w:val="-34"/>
        </w:rPr>
      </w:r>
      <w:r>
        <w:rPr/>
        <w:t>发行股份购买资产并募集配套资金的批复》，核准公司发行股份购买亿起联科技</w:t>
      </w:r>
      <w:r>
        <w:rPr>
          <w:rFonts w:ascii="Times New Roman" w:hAnsi="Times New Roman" w:cs="Times New Roman" w:eastAsia="Times New Roman" w:hint="default"/>
        </w:rPr>
        <w:t>100%</w:t>
      </w:r>
      <w:r>
        <w:rPr/>
        <w:t>股权并募集配套资金事项。</w:t>
      </w:r>
    </w:p>
    <w:p>
      <w:pPr>
        <w:pStyle w:val="BodyText"/>
        <w:spacing w:line="300" w:lineRule="auto"/>
        <w:ind w:right="1123"/>
        <w:jc w:val="left"/>
      </w:pPr>
      <w:r>
        <w:rPr>
          <w:rFonts w:ascii="Times New Roman" w:hAnsi="Times New Roman" w:cs="Times New Roman" w:eastAsia="Times New Roman" w:hint="default"/>
        </w:rPr>
        <w:t>2</w:t>
      </w:r>
      <w:r>
        <w:rPr/>
        <w:t>、由于公司交易对手方承诺的亿起联科技</w:t>
      </w:r>
      <w:r>
        <w:rPr>
          <w:rFonts w:ascii="Times New Roman" w:hAnsi="Times New Roman" w:cs="Times New Roman" w:eastAsia="Times New Roman" w:hint="default"/>
        </w:rPr>
        <w:t>2014</w:t>
      </w:r>
      <w:r>
        <w:rPr/>
        <w:t>年度业绩未达成，经公司第五届董事会第十八次会议和公司</w:t>
      </w:r>
      <w:r>
        <w:rPr>
          <w:rFonts w:ascii="Times New Roman" w:hAnsi="Times New Roman" w:cs="Times New Roman" w:eastAsia="Times New Roman" w:hint="default"/>
        </w:rPr>
        <w:t>2014</w:t>
      </w:r>
      <w:r>
        <w:rPr/>
        <w:t>年度股东大</w:t>
      </w:r>
      <w:r>
        <w:rPr>
          <w:spacing w:val="-82"/>
        </w:rPr>
        <w:t> </w:t>
      </w:r>
      <w:r>
        <w:rPr>
          <w:spacing w:val="-82"/>
        </w:rPr>
      </w:r>
      <w:r>
        <w:rPr/>
        <w:t>会审议通过，公司定向回购并注销王新、李勇</w:t>
      </w:r>
      <w:r>
        <w:rPr>
          <w:rFonts w:ascii="Times New Roman" w:hAnsi="Times New Roman" w:cs="Times New Roman" w:eastAsia="Times New Roman" w:hint="default"/>
        </w:rPr>
        <w:t>2014</w:t>
      </w:r>
      <w:r>
        <w:rPr/>
        <w:t>年度应补偿股份</w:t>
      </w:r>
      <w:r>
        <w:rPr>
          <w:rFonts w:ascii="Times New Roman" w:hAnsi="Times New Roman" w:cs="Times New Roman" w:eastAsia="Times New Roman" w:hint="default"/>
        </w:rPr>
        <w:t>387,897</w:t>
      </w:r>
      <w:r>
        <w:rPr/>
        <w:t>股。 </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月，公司取得中国证券监督管理委员会证监许可</w:t>
      </w:r>
      <w:r>
        <w:rPr>
          <w:rFonts w:ascii="Times New Roman" w:hAnsi="Times New Roman" w:cs="Times New Roman" w:eastAsia="Times New Roman" w:hint="default"/>
        </w:rPr>
        <w:t>[2015]2490</w:t>
      </w:r>
      <w:r>
        <w:rPr/>
        <w:t>号《关于核准北京久其软件股份有限公司向栗军等</w:t>
      </w:r>
      <w:r>
        <w:rPr>
          <w:spacing w:val="-34"/>
        </w:rPr>
        <w:t> </w:t>
      </w:r>
      <w:r>
        <w:rPr>
          <w:spacing w:val="-34"/>
        </w:rPr>
      </w:r>
      <w:r>
        <w:rPr/>
        <w:t>发行股份购买资产并募集配套资金的批复》，核准公司发行股份购买华夏电通</w:t>
      </w:r>
      <w:r>
        <w:rPr>
          <w:rFonts w:ascii="Times New Roman" w:hAnsi="Times New Roman" w:cs="Times New Roman" w:eastAsia="Times New Roman" w:hint="default"/>
        </w:rPr>
        <w:t>100%</w:t>
      </w:r>
      <w:r>
        <w:rPr/>
        <w:t>股权并募集配套资金事项。</w:t>
      </w:r>
    </w:p>
    <w:p>
      <w:pPr>
        <w:spacing w:after="0" w:line="300" w:lineRule="auto"/>
        <w:jc w:val="left"/>
        <w:sectPr>
          <w:pgSz w:w="11910" w:h="16840"/>
          <w:pgMar w:header="877" w:footer="979" w:top="1100" w:bottom="1160" w:left="980" w:right="0"/>
        </w:sectPr>
      </w:pPr>
    </w:p>
    <w:p>
      <w:pPr>
        <w:spacing w:line="240" w:lineRule="auto" w:before="13"/>
        <w:rPr>
          <w:rFonts w:ascii="宋体" w:hAnsi="宋体" w:cs="宋体" w:eastAsia="宋体" w:hint="default"/>
          <w:sz w:val="21"/>
          <w:szCs w:val="21"/>
        </w:rPr>
      </w:pPr>
    </w:p>
    <w:p>
      <w:pPr>
        <w:pStyle w:val="BodyText"/>
        <w:spacing w:line="240" w:lineRule="auto" w:before="44"/>
        <w:ind w:right="0"/>
        <w:jc w:val="left"/>
      </w:pPr>
      <w:r>
        <w:rPr/>
        <w:t>股份变动的过户情况</w:t>
      </w:r>
    </w:p>
    <w:p>
      <w:pPr>
        <w:pStyle w:val="BodyText"/>
        <w:spacing w:line="319"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rPr>
        <w:t>1</w:t>
      </w:r>
      <w:r>
        <w:rPr/>
        <w:t>、公司因前述两项重组事项所发行的新增股份，以及募集配套资金新增的股份，已分别于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28</w:t>
      </w:r>
      <w:r>
        <w:rPr/>
        <w:t>日和</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27</w:t>
      </w:r>
      <w:r>
        <w:rPr>
          <w:rFonts w:ascii="Times New Roman" w:hAnsi="Times New Roman" w:cs="Times New Roman" w:eastAsia="Times New Roman" w:hint="default"/>
          <w:spacing w:val="43"/>
        </w:rPr>
        <w:t> </w:t>
      </w:r>
      <w:r>
        <w:rPr/>
        <w:t>日在中国登记结算有限责任公司深圳分公司办理完成相关登记手续。</w:t>
      </w:r>
    </w:p>
    <w:p>
      <w:pPr>
        <w:pStyle w:val="BodyText"/>
        <w:spacing w:line="300" w:lineRule="auto" w:before="17"/>
        <w:ind w:right="1123"/>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9</w:t>
      </w:r>
      <w:r>
        <w:rPr/>
        <w:t>日，公司在中国证券登记结算有限责任公司深圳分公司办理完成对王新、李勇所持公司部分股份的回购及注</w:t>
      </w:r>
      <w:r>
        <w:rPr>
          <w:spacing w:val="-83"/>
        </w:rPr>
        <w:t> </w:t>
      </w:r>
      <w:r>
        <w:rPr>
          <w:spacing w:val="-83"/>
        </w:rPr>
      </w:r>
      <w:r>
        <w:rPr/>
        <w:t>销手续。</w:t>
      </w:r>
    </w:p>
    <w:p>
      <w:pPr>
        <w:spacing w:line="240" w:lineRule="auto" w:before="0"/>
        <w:rPr>
          <w:rFonts w:ascii="宋体" w:hAnsi="宋体" w:cs="宋体" w:eastAsia="宋体" w:hint="default"/>
          <w:sz w:val="18"/>
          <w:szCs w:val="18"/>
        </w:rPr>
      </w:pPr>
    </w:p>
    <w:p>
      <w:pPr>
        <w:pStyle w:val="BodyText"/>
        <w:spacing w:line="240" w:lineRule="auto" w:before="148"/>
        <w:ind w:right="0"/>
        <w:jc w:val="left"/>
      </w:pPr>
      <w:r>
        <w:rPr/>
        <w:t>股份变动对最近一年和最近一期基本每股收益和稀释每股收益、归属于公司普通股股东的每股净资产等财务指标的影响</w:t>
      </w:r>
    </w:p>
    <w:p>
      <w:pPr>
        <w:pStyle w:val="BodyText"/>
        <w:spacing w:line="340" w:lineRule="auto" w:before="116"/>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公司认为必要或证券监管机构要求披露的其他内容</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限售股份变动情况" w:id="104"/>
      <w:bookmarkEnd w:id="104"/>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899"/>
        <w:gridCol w:w="851"/>
        <w:gridCol w:w="993"/>
        <w:gridCol w:w="1276"/>
        <w:gridCol w:w="1559"/>
        <w:gridCol w:w="2626"/>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8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63" w:right="83" w:hanging="180"/>
              <w:jc w:val="left"/>
              <w:rPr>
                <w:rFonts w:ascii="宋体" w:hAnsi="宋体" w:cs="宋体" w:eastAsia="宋体" w:hint="default"/>
                <w:sz w:val="18"/>
                <w:szCs w:val="18"/>
              </w:rPr>
            </w:pPr>
            <w:r>
              <w:rPr>
                <w:rFonts w:ascii="宋体" w:hAnsi="宋体" w:cs="宋体" w:eastAsia="宋体" w:hint="default"/>
                <w:sz w:val="18"/>
                <w:szCs w:val="18"/>
              </w:rPr>
              <w:t>期初限售 股数</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0" w:right="59"/>
              <w:jc w:val="left"/>
              <w:rPr>
                <w:rFonts w:ascii="宋体" w:hAnsi="宋体" w:cs="宋体" w:eastAsia="宋体" w:hint="default"/>
                <w:sz w:val="18"/>
                <w:szCs w:val="18"/>
              </w:rPr>
            </w:pPr>
            <w:r>
              <w:rPr>
                <w:rFonts w:ascii="宋体" w:hAnsi="宋体" w:cs="宋体" w:eastAsia="宋体" w:hint="default"/>
                <w:sz w:val="18"/>
                <w:szCs w:val="18"/>
              </w:rPr>
              <w:t>本期解除 限售股数</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0" w:right="40" w:hanging="180"/>
              <w:jc w:val="left"/>
              <w:rPr>
                <w:rFonts w:ascii="宋体" w:hAnsi="宋体" w:cs="宋体" w:eastAsia="宋体" w:hint="default"/>
                <w:sz w:val="18"/>
                <w:szCs w:val="18"/>
              </w:rPr>
            </w:pPr>
            <w:r>
              <w:rPr>
                <w:rFonts w:ascii="宋体" w:hAnsi="宋体" w:cs="宋体" w:eastAsia="宋体" w:hint="default"/>
                <w:sz w:val="18"/>
                <w:szCs w:val="18"/>
              </w:rPr>
              <w:t>本期增加限 售股数</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2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68"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165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75"/>
              <w:jc w:val="left"/>
              <w:rPr>
                <w:rFonts w:ascii="宋体" w:hAnsi="宋体" w:cs="宋体" w:eastAsia="宋体" w:hint="default"/>
                <w:sz w:val="18"/>
                <w:szCs w:val="18"/>
              </w:rPr>
            </w:pPr>
            <w:r>
              <w:rPr>
                <w:rFonts w:ascii="宋体" w:hAnsi="宋体" w:cs="宋体" w:eastAsia="宋体" w:hint="default"/>
                <w:sz w:val="18"/>
                <w:szCs w:val="18"/>
              </w:rPr>
              <w:t>北京久其科技投 资有限公司</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31,548,699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31,548,699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4"/>
              <w:jc w:val="both"/>
              <w:rPr>
                <w:rFonts w:ascii="宋体" w:hAnsi="宋体" w:cs="宋体" w:eastAsia="宋体" w:hint="default"/>
                <w:sz w:val="18"/>
                <w:szCs w:val="18"/>
              </w:rPr>
            </w:pPr>
            <w:r>
              <w:rPr>
                <w:rFonts w:ascii="宋体" w:hAnsi="宋体" w:cs="宋体" w:eastAsia="宋体" w:hint="default"/>
                <w:sz w:val="18"/>
                <w:szCs w:val="18"/>
              </w:rPr>
              <w:t>因参与亿起联科技 重组项目、华夏电 通重组项目定增而 限售，以及因股份 承诺限售</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日可解除限售</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30,304,918 </w:t>
            </w:r>
            <w:r>
              <w:rPr>
                <w:rFonts w:ascii="宋体" w:hAnsi="宋体" w:cs="宋体" w:eastAsia="宋体" w:hint="default"/>
                <w:sz w:val="18"/>
                <w:szCs w:val="18"/>
              </w:rPr>
              <w:t>股；</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日可解除限售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1,243,781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董泰湘</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33,110,798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33,110,798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股份承诺限售</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w:t>
            </w:r>
          </w:p>
        </w:tc>
      </w:tr>
      <w:tr>
        <w:trPr>
          <w:trHeight w:val="133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赵福君</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17,712,842</w:t>
            </w:r>
          </w:p>
        </w:tc>
        <w:tc>
          <w:tcPr>
            <w:tcW w:w="851"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6,204,281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23,917,123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股份承诺限售</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日可解除限售</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300,000 </w:t>
            </w:r>
            <w:r>
              <w:rPr>
                <w:rFonts w:ascii="宋体" w:hAnsi="宋体" w:cs="宋体" w:eastAsia="宋体" w:hint="default"/>
                <w:sz w:val="18"/>
                <w:szCs w:val="18"/>
              </w:rPr>
              <w:t>股</w:t>
            </w:r>
            <w:r>
              <w:rPr>
                <w:rFonts w:ascii="宋体" w:hAnsi="宋体" w:cs="宋体" w:eastAsia="宋体" w:hint="default"/>
                <w:spacing w:val="-87"/>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
                <w:sz w:val="18"/>
                <w:szCs w:val="18"/>
              </w:rPr>
              <w:t>可</w:t>
            </w:r>
            <w:r>
              <w:rPr>
                <w:rFonts w:ascii="宋体" w:hAnsi="宋体" w:cs="宋体" w:eastAsia="宋体" w:hint="default"/>
                <w:sz w:val="18"/>
                <w:szCs w:val="18"/>
              </w:rPr>
              <w:t>解</w:t>
            </w:r>
          </w:p>
          <w:p>
            <w:pPr>
              <w:pStyle w:val="TableParagraph"/>
              <w:spacing w:line="302" w:lineRule="auto" w:before="63"/>
              <w:ind w:left="23" w:right="71"/>
              <w:jc w:val="left"/>
              <w:rPr>
                <w:rFonts w:ascii="宋体" w:hAnsi="宋体" w:cs="宋体" w:eastAsia="宋体" w:hint="default"/>
                <w:sz w:val="18"/>
                <w:szCs w:val="18"/>
              </w:rPr>
            </w:pPr>
            <w:r>
              <w:rPr>
                <w:rFonts w:ascii="宋体" w:hAnsi="宋体" w:cs="宋体" w:eastAsia="宋体" w:hint="default"/>
                <w:sz w:val="18"/>
                <w:szCs w:val="18"/>
              </w:rPr>
              <w:t>除限售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23,617,123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股，但受高管 股例行限售</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欧阳曜</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5,430,664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375,000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248,175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5,303,839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高管股例行限售</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施瑞丰</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760,484</w:t>
            </w:r>
          </w:p>
        </w:tc>
        <w:tc>
          <w:tcPr>
            <w:tcW w:w="851"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22,500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782,984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高管股例行限售</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邱安超</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19,725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127,725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高管股例行限售</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朱晓钧</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12,000</w:t>
            </w:r>
          </w:p>
        </w:tc>
        <w:tc>
          <w:tcPr>
            <w:tcW w:w="99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高管股例行限售</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王海霞</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64,800</w:t>
            </w:r>
          </w:p>
        </w:tc>
        <w:tc>
          <w:tcPr>
            <w:tcW w:w="851"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19,050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83,850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高管股例行限售</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刘文圣</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82,800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20,700</w:t>
            </w:r>
          </w:p>
        </w:tc>
        <w:tc>
          <w:tcPr>
            <w:tcW w:w="99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高管股例行限售</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曾超</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61,050</w:t>
            </w:r>
          </w:p>
        </w:tc>
        <w:tc>
          <w:tcPr>
            <w:tcW w:w="851"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61,050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高管股例行限售</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611"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02" w:lineRule="auto"/>
              <w:ind w:left="22" w:right="74"/>
              <w:jc w:val="left"/>
              <w:rPr>
                <w:rFonts w:ascii="宋体" w:hAnsi="宋体" w:cs="宋体" w:eastAsia="宋体" w:hint="default"/>
                <w:sz w:val="18"/>
                <w:szCs w:val="18"/>
              </w:rPr>
            </w:pPr>
            <w:r>
              <w:rPr>
                <w:rFonts w:ascii="宋体" w:hAnsi="宋体" w:cs="宋体" w:eastAsia="宋体" w:hint="default"/>
                <w:sz w:val="18"/>
                <w:szCs w:val="18"/>
              </w:rPr>
              <w:t>王新等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名交易 对方</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387,897</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16,480,686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16,092,789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9" w:lineRule="auto"/>
              <w:ind w:left="22" w:right="84"/>
              <w:jc w:val="left"/>
              <w:rPr>
                <w:rFonts w:ascii="宋体" w:hAnsi="宋体" w:cs="宋体" w:eastAsia="宋体" w:hint="default"/>
                <w:sz w:val="18"/>
                <w:szCs w:val="18"/>
              </w:rPr>
            </w:pPr>
            <w:r>
              <w:rPr>
                <w:rFonts w:ascii="宋体" w:hAnsi="宋体" w:cs="宋体" w:eastAsia="宋体" w:hint="default"/>
                <w:sz w:val="18"/>
                <w:szCs w:val="18"/>
              </w:rPr>
              <w:t>亿起联科技重组项 目增发股份限售</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5"/>
              <w:jc w:val="left"/>
              <w:rPr>
                <w:rFonts w:ascii="Times New Roman" w:hAnsi="Times New Roman" w:cs="Times New Roman" w:eastAsia="Times New Roman" w:hint="default"/>
                <w:sz w:val="18"/>
                <w:szCs w:val="18"/>
              </w:rPr>
            </w:pPr>
            <w:r>
              <w:rPr>
                <w:rFonts w:ascii="宋体" w:hAnsi="宋体" w:cs="宋体" w:eastAsia="宋体" w:hint="default"/>
                <w:sz w:val="18"/>
                <w:szCs w:val="18"/>
              </w:rPr>
              <w:t>根据交易协议约定的各项解锁条 件均成就后，预计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p>
            <w:pPr>
              <w:pStyle w:val="TableParagraph"/>
              <w:spacing w:line="248"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日可解除限售</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2,164,961</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股；</w:t>
            </w:r>
            <w:r>
              <w:rPr>
                <w:rFonts w:ascii="Times New Roman" w:hAnsi="Times New Roman" w:cs="Times New Roman" w:eastAsia="Times New Roman" w:hint="default"/>
                <w:spacing w:val="-8"/>
                <w:sz w:val="18"/>
                <w:szCs w:val="18"/>
              </w:rPr>
              <w:t>2016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日可解除限售</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3,451,056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pacing w:val="-86"/>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日可解</w:t>
            </w:r>
            <w:r>
              <w:rPr>
                <w:rFonts w:ascii="宋体" w:hAnsi="宋体" w:cs="宋体" w:eastAsia="宋体" w:hint="default"/>
                <w:spacing w:val="1"/>
                <w:sz w:val="18"/>
                <w:szCs w:val="18"/>
              </w:rPr>
              <w:t>除</w:t>
            </w:r>
            <w:r>
              <w:rPr>
                <w:rFonts w:ascii="宋体" w:hAnsi="宋体" w:cs="宋体" w:eastAsia="宋体" w:hint="default"/>
                <w:sz w:val="18"/>
                <w:szCs w:val="18"/>
              </w:rPr>
              <w:t>限售</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70"/>
        <w:gridCol w:w="899"/>
        <w:gridCol w:w="851"/>
        <w:gridCol w:w="993"/>
        <w:gridCol w:w="1276"/>
        <w:gridCol w:w="1559"/>
        <w:gridCol w:w="2626"/>
      </w:tblGrid>
      <w:tr>
        <w:trPr>
          <w:trHeight w:val="1298"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4,659,090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可解除限售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4,993,648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日可解除限售</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824,034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股</w:t>
            </w:r>
          </w:p>
        </w:tc>
      </w:tr>
      <w:tr>
        <w:trPr>
          <w:trHeight w:val="258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00" w:lineRule="auto"/>
              <w:ind w:left="22" w:right="23"/>
              <w:jc w:val="left"/>
              <w:rPr>
                <w:rFonts w:ascii="宋体" w:hAnsi="宋体" w:cs="宋体" w:eastAsia="宋体" w:hint="default"/>
                <w:sz w:val="18"/>
                <w:szCs w:val="18"/>
              </w:rPr>
            </w:pPr>
            <w:r>
              <w:rPr>
                <w:rFonts w:ascii="宋体" w:hAnsi="宋体" w:cs="宋体" w:eastAsia="宋体" w:hint="default"/>
                <w:sz w:val="18"/>
                <w:szCs w:val="18"/>
              </w:rPr>
              <w:t>栗军等</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49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名交易 对方</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25" w:right="0"/>
              <w:jc w:val="center"/>
              <w:rPr>
                <w:rFonts w:ascii="Times New Roman" w:hAnsi="Times New Roman" w:cs="Times New Roman" w:eastAsia="Times New Roman" w:hint="default"/>
                <w:sz w:val="18"/>
                <w:szCs w:val="18"/>
              </w:rPr>
            </w:pPr>
            <w:r>
              <w:rPr>
                <w:rFonts w:ascii="Times New Roman"/>
                <w:sz w:val="18"/>
              </w:rPr>
              <w:t>15,987,437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15,987,437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2" w:right="84"/>
              <w:jc w:val="left"/>
              <w:rPr>
                <w:rFonts w:ascii="宋体" w:hAnsi="宋体" w:cs="宋体" w:eastAsia="宋体" w:hint="default"/>
                <w:sz w:val="18"/>
                <w:szCs w:val="18"/>
              </w:rPr>
            </w:pPr>
            <w:r>
              <w:rPr>
                <w:rFonts w:ascii="宋体" w:hAnsi="宋体" w:cs="宋体" w:eastAsia="宋体" w:hint="default"/>
                <w:sz w:val="18"/>
                <w:szCs w:val="18"/>
              </w:rPr>
              <w:t>华夏电通重组项目 增发股份限售</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0"/>
              <w:jc w:val="left"/>
              <w:rPr>
                <w:rFonts w:ascii="宋体" w:hAnsi="宋体" w:cs="宋体" w:eastAsia="宋体" w:hint="default"/>
                <w:sz w:val="18"/>
                <w:szCs w:val="18"/>
              </w:rPr>
            </w:pPr>
            <w:r>
              <w:rPr>
                <w:rFonts w:ascii="宋体" w:hAnsi="宋体" w:cs="宋体" w:eastAsia="宋体" w:hint="default"/>
                <w:sz w:val="18"/>
                <w:szCs w:val="18"/>
              </w:rPr>
              <w:t>根据交易协议约定的各项解锁条 件均成就后，预计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8"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日可解除限售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7,167,829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日可解除限售</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3,789,512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可解除限售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4,655,050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日可解除限售</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375,046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股</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鼎新成长等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名 配套融资认购方</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5" w:right="0"/>
              <w:jc w:val="center"/>
              <w:rPr>
                <w:rFonts w:ascii="Times New Roman" w:hAnsi="Times New Roman" w:cs="Times New Roman" w:eastAsia="Times New Roman" w:hint="default"/>
                <w:sz w:val="18"/>
                <w:szCs w:val="18"/>
              </w:rPr>
            </w:pPr>
            <w:r>
              <w:rPr>
                <w:rFonts w:ascii="Times New Roman"/>
                <w:sz w:val="18"/>
              </w:rPr>
              <w:t>1,554,722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1,554,722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华夏电通重组项目 增发股份限售</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日可解除限售</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李坤奇</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394,653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394,653</w:t>
            </w:r>
          </w:p>
        </w:tc>
        <w:tc>
          <w:tcPr>
            <w:tcW w:w="99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1"/>
              <w:jc w:val="center"/>
              <w:rPr>
                <w:rFonts w:ascii="宋体" w:hAnsi="宋体" w:cs="宋体" w:eastAsia="宋体" w:hint="default"/>
                <w:sz w:val="18"/>
                <w:szCs w:val="18"/>
              </w:rPr>
            </w:pPr>
            <w:r>
              <w:rPr>
                <w:rFonts w:ascii="宋体" w:hAnsi="宋体" w:cs="宋体" w:eastAsia="宋体" w:hint="default"/>
                <w:sz w:val="18"/>
                <w:szCs w:val="18"/>
              </w:rPr>
              <w:t>高管离职限售期满</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日可解除限售</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24,723,293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1,190,250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center"/>
              <w:rPr>
                <w:rFonts w:ascii="Times New Roman" w:hAnsi="Times New Roman" w:cs="Times New Roman" w:eastAsia="Times New Roman" w:hint="default"/>
                <w:sz w:val="18"/>
                <w:szCs w:val="18"/>
              </w:rPr>
            </w:pPr>
            <w:r>
              <w:rPr>
                <w:rFonts w:ascii="Times New Roman"/>
                <w:sz w:val="18"/>
              </w:rPr>
              <w:t>105,196,073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128,729,116</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二、证券发行与上市情况" w:id="105"/>
      <w:bookmarkEnd w:id="105"/>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报告期内证券发行（不含优先股）情况" w:id="106"/>
      <w:bookmarkEnd w:id="106"/>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21" w:type="dxa"/>
        <w:tblLayout w:type="fixed"/>
        <w:tblCellMar>
          <w:top w:w="0" w:type="dxa"/>
          <w:left w:w="0" w:type="dxa"/>
          <w:bottom w:w="0" w:type="dxa"/>
          <w:right w:w="0" w:type="dxa"/>
        </w:tblCellMar>
        <w:tblLook w:val="01E0"/>
      </w:tblPr>
      <w:tblGrid>
        <w:gridCol w:w="1362"/>
        <w:gridCol w:w="1486"/>
        <w:gridCol w:w="1252"/>
        <w:gridCol w:w="1250"/>
        <w:gridCol w:w="1472"/>
        <w:gridCol w:w="1251"/>
        <w:gridCol w:w="1621"/>
      </w:tblGrid>
      <w:tr>
        <w:trPr>
          <w:trHeight w:val="714"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05" w:right="45"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40" w:right="22" w:hanging="418"/>
              <w:jc w:val="left"/>
              <w:rPr>
                <w:rFonts w:ascii="宋体" w:hAnsi="宋体" w:cs="宋体" w:eastAsia="宋体" w:hint="default"/>
                <w:sz w:val="18"/>
                <w:szCs w:val="18"/>
              </w:rPr>
            </w:pPr>
            <w:r>
              <w:rPr>
                <w:rFonts w:ascii="宋体" w:hAnsi="宋体" w:cs="宋体" w:eastAsia="宋体" w:hint="default"/>
                <w:spacing w:val="-10"/>
                <w:sz w:val="18"/>
                <w:szCs w:val="18"/>
              </w:rPr>
              <w:t>发行价格（或利</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率）</w:t>
            </w:r>
          </w:p>
        </w:tc>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0"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上市日期</w:t>
            </w:r>
          </w:p>
        </w:tc>
        <w:tc>
          <w:tcPr>
            <w:tcW w:w="12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40" w:right="78" w:hanging="361"/>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5"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1" w:hRule="exact"/>
        </w:trPr>
        <w:tc>
          <w:tcPr>
            <w:tcW w:w="969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133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2" w:right="69"/>
              <w:jc w:val="left"/>
              <w:rPr>
                <w:rFonts w:ascii="宋体" w:hAnsi="宋体" w:cs="宋体" w:eastAsia="宋体" w:hint="default"/>
                <w:sz w:val="18"/>
                <w:szCs w:val="18"/>
              </w:rPr>
            </w:pPr>
            <w:r>
              <w:rPr>
                <w:rFonts w:ascii="宋体" w:hAnsi="宋体" w:cs="宋体" w:eastAsia="宋体" w:hint="default"/>
                <w:sz w:val="18"/>
                <w:szCs w:val="18"/>
              </w:rPr>
              <w:t>发行股份及支付 现金购买亿起联 科技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 并募集配套资金</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22,403,432</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22,403,432</w:t>
            </w: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9"/>
              <w:jc w:val="both"/>
              <w:rPr>
                <w:rFonts w:ascii="宋体" w:hAnsi="宋体" w:cs="宋体" w:eastAsia="宋体" w:hint="default"/>
                <w:sz w:val="18"/>
                <w:szCs w:val="18"/>
              </w:rPr>
            </w:pPr>
            <w:r>
              <w:rPr>
                <w:rFonts w:ascii="宋体" w:hAnsi="宋体" w:cs="宋体" w:eastAsia="宋体" w:hint="default"/>
                <w:sz w:val="18"/>
                <w:szCs w:val="18"/>
              </w:rPr>
              <w:t>发行股份及支付 现金购买华夏电 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15,987,437</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15,987,437</w:t>
            </w: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2" w:right="69"/>
              <w:jc w:val="left"/>
              <w:rPr>
                <w:rFonts w:ascii="宋体" w:hAnsi="宋体" w:cs="宋体" w:eastAsia="宋体" w:hint="default"/>
                <w:sz w:val="18"/>
                <w:szCs w:val="18"/>
              </w:rPr>
            </w:pPr>
            <w:r>
              <w:rPr>
                <w:rFonts w:ascii="宋体" w:hAnsi="宋体" w:cs="宋体" w:eastAsia="宋体" w:hint="default"/>
                <w:sz w:val="18"/>
                <w:szCs w:val="18"/>
              </w:rPr>
              <w:t>发行股份募集配 套资金支付购买 华夏电通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股权的现金对价 和中介机构费用</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32.16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2,798,503</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2,798,503</w:t>
            </w: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69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2" w:hRule="exact"/>
        </w:trPr>
        <w:tc>
          <w:tcPr>
            <w:tcW w:w="969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pStyle w:val="BodyText"/>
        <w:spacing w:line="240" w:lineRule="auto" w:before="52"/>
        <w:ind w:left="154" w:right="0"/>
        <w:jc w:val="left"/>
      </w:pPr>
      <w:r>
        <w:rPr/>
        <w:t>报告期内证券发行（不含优先股）情况的说明</w:t>
      </w:r>
    </w:p>
    <w:p>
      <w:pPr>
        <w:pStyle w:val="BodyText"/>
        <w:spacing w:line="240" w:lineRule="auto" w:before="115"/>
        <w:ind w:left="154" w:right="0"/>
        <w:jc w:val="left"/>
      </w:pPr>
      <w:r>
        <w:rPr>
          <w:rFonts w:ascii="Times New Roman" w:hAnsi="Times New Roman" w:cs="Times New Roman" w:eastAsia="Times New Roman" w:hint="default"/>
          <w:spacing w:val="10"/>
        </w:rPr>
        <w:t>2015</w:t>
      </w:r>
      <w:r>
        <w:rPr>
          <w:spacing w:val="10"/>
        </w:rPr>
        <w:t>年</w:t>
      </w:r>
      <w:r>
        <w:rPr>
          <w:rFonts w:ascii="Times New Roman" w:hAnsi="Times New Roman" w:cs="Times New Roman" w:eastAsia="Times New Roman" w:hint="default"/>
          <w:spacing w:val="10"/>
        </w:rPr>
        <w:t>2</w:t>
      </w:r>
      <w:r>
        <w:rPr>
          <w:spacing w:val="10"/>
        </w:rPr>
        <w:t>月，根据公司</w:t>
      </w:r>
      <w:r>
        <w:rPr>
          <w:rFonts w:ascii="Times New Roman" w:hAnsi="Times New Roman" w:cs="Times New Roman" w:eastAsia="Times New Roman" w:hint="default"/>
          <w:spacing w:val="10"/>
        </w:rPr>
        <w:t>2014</w:t>
      </w:r>
      <w:r>
        <w:rPr>
          <w:spacing w:val="10"/>
        </w:rPr>
        <w:t>年</w:t>
      </w:r>
      <w:r>
        <w:rPr>
          <w:rFonts w:ascii="Times New Roman" w:hAnsi="Times New Roman" w:cs="Times New Roman" w:eastAsia="Times New Roman" w:hint="default"/>
          <w:spacing w:val="10"/>
        </w:rPr>
        <w:t>9</w:t>
      </w:r>
      <w:r>
        <w:rPr>
          <w:spacing w:val="10"/>
        </w:rPr>
        <w:t>月</w:t>
      </w:r>
      <w:r>
        <w:rPr>
          <w:rFonts w:ascii="Times New Roman" w:hAnsi="Times New Roman" w:cs="Times New Roman" w:eastAsia="Times New Roman" w:hint="default"/>
          <w:spacing w:val="10"/>
        </w:rPr>
        <w:t>25</w:t>
      </w:r>
      <w:r>
        <w:rPr>
          <w:spacing w:val="10"/>
        </w:rPr>
        <w:t>日召开的</w:t>
      </w:r>
      <w:r>
        <w:rPr>
          <w:rFonts w:ascii="Times New Roman" w:hAnsi="Times New Roman" w:cs="Times New Roman" w:eastAsia="Times New Roman" w:hint="default"/>
          <w:spacing w:val="10"/>
        </w:rPr>
        <w:t>2014</w:t>
      </w:r>
      <w:r>
        <w:rPr>
          <w:spacing w:val="10"/>
        </w:rPr>
        <w:t>年度第二次临时股东大会决议、中国证券监督管理委员会证监许可</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00" w:lineRule="auto" w:before="44"/>
        <w:ind w:right="1131"/>
        <w:jc w:val="both"/>
      </w:pPr>
      <w:r>
        <w:rPr>
          <w:rFonts w:ascii="Times New Roman" w:hAnsi="Times New Roman" w:cs="Times New Roman" w:eastAsia="Times New Roman" w:hint="default"/>
          <w:spacing w:val="-1"/>
        </w:rPr>
        <w:t>[2014]1400</w:t>
      </w:r>
      <w:r>
        <w:rPr>
          <w:spacing w:val="-1"/>
        </w:rPr>
        <w:t>号《关于核准北京久其软件股份有限公司向王新等发行股份购买资产并募集配套资金的批复》核准，公司向王新</w:t>
      </w:r>
      <w:r>
        <w:rPr>
          <w:spacing w:val="-57"/>
        </w:rPr>
        <w:t> </w:t>
      </w:r>
      <w:r>
        <w:rPr>
          <w:spacing w:val="-57"/>
        </w:rPr>
      </w:r>
      <w:r>
        <w:rPr/>
        <w:t>发行</w:t>
      </w:r>
      <w:r>
        <w:rPr>
          <w:rFonts w:ascii="Times New Roman" w:hAnsi="Times New Roman" w:cs="Times New Roman" w:eastAsia="Times New Roman" w:hint="default"/>
        </w:rPr>
        <w:t>9,393,991</w:t>
      </w:r>
      <w:r>
        <w:rPr/>
        <w:t>股，向李勇发行</w:t>
      </w:r>
      <w:r>
        <w:rPr>
          <w:rFonts w:ascii="Times New Roman" w:hAnsi="Times New Roman" w:cs="Times New Roman" w:eastAsia="Times New Roman" w:hint="default"/>
        </w:rPr>
        <w:t>7,086,695</w:t>
      </w:r>
      <w:r>
        <w:rPr/>
        <w:t>股，向配套融资认购方久其科技发行股份</w:t>
      </w:r>
      <w:r>
        <w:rPr>
          <w:rFonts w:ascii="Times New Roman" w:hAnsi="Times New Roman" w:cs="Times New Roman" w:eastAsia="Times New Roman" w:hint="default"/>
        </w:rPr>
        <w:t>5,922,746</w:t>
      </w:r>
      <w:r>
        <w:rPr/>
        <w:t>股，共计发行</w:t>
      </w:r>
      <w:r>
        <w:rPr>
          <w:rFonts w:ascii="Times New Roman" w:hAnsi="Times New Roman" w:cs="Times New Roman" w:eastAsia="Times New Roman" w:hint="default"/>
        </w:rPr>
        <w:t>22,403,432</w:t>
      </w:r>
      <w:r>
        <w:rPr/>
        <w:t>股。新股</w:t>
      </w:r>
      <w:r>
        <w:rPr>
          <w:w w:val="99"/>
        </w:rPr>
        <w:t> </w:t>
      </w:r>
      <w:r>
        <w:rPr/>
        <w:t>发行后，公司的总股本由发行前的</w:t>
      </w:r>
      <w:r>
        <w:rPr>
          <w:rFonts w:ascii="Times New Roman" w:hAnsi="Times New Roman" w:cs="Times New Roman" w:eastAsia="Times New Roman" w:hint="default"/>
        </w:rPr>
        <w:t>175,795,305</w:t>
      </w:r>
      <w:r>
        <w:rPr/>
        <w:t>股变更为</w:t>
      </w:r>
      <w:r>
        <w:rPr>
          <w:rFonts w:ascii="Times New Roman" w:hAnsi="Times New Roman" w:cs="Times New Roman" w:eastAsia="Times New Roman" w:hint="default"/>
        </w:rPr>
        <w:t>198,198,737</w:t>
      </w:r>
      <w:r>
        <w:rPr/>
        <w:t>股。</w:t>
      </w:r>
    </w:p>
    <w:p>
      <w:pPr>
        <w:pStyle w:val="BodyText"/>
        <w:spacing w:line="300" w:lineRule="auto" w:before="13"/>
        <w:ind w:right="1029"/>
        <w:jc w:val="left"/>
      </w:pPr>
      <w:r>
        <w:rPr>
          <w:rFonts w:ascii="Times New Roman" w:hAnsi="Times New Roman" w:cs="Times New Roman" w:eastAsia="Times New Roman" w:hint="default"/>
          <w:spacing w:val="8"/>
        </w:rPr>
        <w:t>2015</w:t>
      </w:r>
      <w:r>
        <w:rPr>
          <w:spacing w:val="8"/>
        </w:rPr>
        <w:t>年</w:t>
      </w:r>
      <w:r>
        <w:rPr>
          <w:rFonts w:ascii="Times New Roman" w:hAnsi="Times New Roman" w:cs="Times New Roman" w:eastAsia="Times New Roman" w:hint="default"/>
          <w:spacing w:val="8"/>
        </w:rPr>
        <w:t>12</w:t>
      </w:r>
      <w:r>
        <w:rPr>
          <w:spacing w:val="8"/>
        </w:rPr>
        <w:t>月，根据公司</w:t>
      </w:r>
      <w:r>
        <w:rPr>
          <w:rFonts w:ascii="Times New Roman" w:hAnsi="Times New Roman" w:cs="Times New Roman" w:eastAsia="Times New Roman" w:hint="default"/>
          <w:spacing w:val="8"/>
        </w:rPr>
        <w:t>2015</w:t>
      </w:r>
      <w:r>
        <w:rPr>
          <w:spacing w:val="8"/>
        </w:rPr>
        <w:t>年</w:t>
      </w:r>
      <w:r>
        <w:rPr>
          <w:rFonts w:ascii="Times New Roman" w:hAnsi="Times New Roman" w:cs="Times New Roman" w:eastAsia="Times New Roman" w:hint="default"/>
          <w:spacing w:val="8"/>
        </w:rPr>
        <w:t>5</w:t>
      </w:r>
      <w:r>
        <w:rPr>
          <w:spacing w:val="8"/>
        </w:rPr>
        <w:t>月</w:t>
      </w:r>
      <w:r>
        <w:rPr>
          <w:rFonts w:ascii="Times New Roman" w:hAnsi="Times New Roman" w:cs="Times New Roman" w:eastAsia="Times New Roman" w:hint="default"/>
          <w:spacing w:val="8"/>
        </w:rPr>
        <w:t>21</w:t>
      </w:r>
      <w:r>
        <w:rPr>
          <w:spacing w:val="8"/>
        </w:rPr>
        <w:t>日召开的</w:t>
      </w:r>
      <w:r>
        <w:rPr>
          <w:rFonts w:ascii="Times New Roman" w:hAnsi="Times New Roman" w:cs="Times New Roman" w:eastAsia="Times New Roman" w:hint="default"/>
          <w:spacing w:val="8"/>
        </w:rPr>
        <w:t>2015</w:t>
      </w:r>
      <w:r>
        <w:rPr>
          <w:spacing w:val="8"/>
        </w:rPr>
        <w:t>年度第二次临时股东大会决议、中国证券监督管理委员会证监许可</w:t>
      </w:r>
      <w:r>
        <w:rPr>
          <w:spacing w:val="-49"/>
        </w:rPr>
        <w:t> </w:t>
      </w:r>
      <w:r>
        <w:rPr>
          <w:spacing w:val="-49"/>
        </w:rPr>
      </w:r>
      <w:r>
        <w:rPr>
          <w:rFonts w:ascii="Times New Roman" w:hAnsi="Times New Roman" w:cs="Times New Roman" w:eastAsia="Times New Roman" w:hint="default"/>
        </w:rPr>
        <w:t>[2015]2490</w:t>
      </w:r>
      <w:r>
        <w:rPr/>
        <w:t>号《关于核准北京久其软件股份有限公司向栗军等发行股份购买资产并募集配套资金的批复》核准，公司向栗军 等</w:t>
      </w:r>
      <w:r>
        <w:rPr>
          <w:rFonts w:ascii="Times New Roman" w:hAnsi="Times New Roman" w:cs="Times New Roman" w:eastAsia="Times New Roman" w:hint="default"/>
        </w:rPr>
        <w:t>49</w:t>
      </w:r>
      <w:r>
        <w:rPr/>
        <w:t>名交易对方发行</w:t>
      </w:r>
      <w:r>
        <w:rPr>
          <w:rFonts w:ascii="Times New Roman" w:hAnsi="Times New Roman" w:cs="Times New Roman" w:eastAsia="Times New Roman" w:hint="default"/>
        </w:rPr>
        <w:t>15,987,437</w:t>
      </w:r>
      <w:r>
        <w:rPr/>
        <w:t>股</w:t>
      </w:r>
      <w:r>
        <w:rPr>
          <w:rFonts w:ascii="Times New Roman" w:hAnsi="Times New Roman" w:cs="Times New Roman" w:eastAsia="Times New Roman" w:hint="default"/>
        </w:rPr>
        <w:t>,</w:t>
      </w:r>
      <w:r>
        <w:rPr>
          <w:rFonts w:ascii="Times New Roman" w:hAnsi="Times New Roman" w:cs="Times New Roman" w:eastAsia="Times New Roman" w:hint="default"/>
          <w:spacing w:val="4"/>
        </w:rPr>
        <w:t> </w:t>
      </w:r>
      <w:r>
        <w:rPr/>
        <w:t>向久其科技等</w:t>
      </w:r>
      <w:r>
        <w:rPr>
          <w:rFonts w:ascii="Times New Roman" w:hAnsi="Times New Roman" w:cs="Times New Roman" w:eastAsia="Times New Roman" w:hint="default"/>
        </w:rPr>
        <w:t>9</w:t>
      </w:r>
      <w:r>
        <w:rPr/>
        <w:t>名配套融资认购方发行</w:t>
      </w:r>
      <w:r>
        <w:rPr>
          <w:rFonts w:ascii="Times New Roman" w:hAnsi="Times New Roman" w:cs="Times New Roman" w:eastAsia="Times New Roman" w:hint="default"/>
        </w:rPr>
        <w:t>2,798,503</w:t>
      </w:r>
      <w:r>
        <w:rPr/>
        <w:t>股，共计发行</w:t>
      </w:r>
      <w:r>
        <w:rPr>
          <w:rFonts w:ascii="Times New Roman" w:hAnsi="Times New Roman" w:cs="Times New Roman" w:eastAsia="Times New Roman" w:hint="default"/>
        </w:rPr>
        <w:t>18,785,940</w:t>
      </w:r>
      <w:r>
        <w:rPr/>
        <w:t>股。新股发行后， 公司的总股本由发行前的</w:t>
      </w:r>
      <w:r>
        <w:rPr>
          <w:rFonts w:ascii="Times New Roman" w:hAnsi="Times New Roman" w:cs="Times New Roman" w:eastAsia="Times New Roman" w:hint="default"/>
        </w:rPr>
        <w:t>197,810,840</w:t>
      </w:r>
      <w:r>
        <w:rPr/>
        <w:t>股变更为</w:t>
      </w:r>
      <w:r>
        <w:rPr>
          <w:rFonts w:ascii="Times New Roman" w:hAnsi="Times New Roman" w:cs="Times New Roman" w:eastAsia="Times New Roman" w:hint="default"/>
        </w:rPr>
        <w:t>216,596,780</w:t>
      </w:r>
      <w:r>
        <w:rPr/>
        <w:t>股。</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bookmarkStart w:name="2、公司股份总数及股东结构的变动、公司资产和负债结构的变动情况说明" w:id="107"/>
      <w:bookmarkEnd w:id="107"/>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11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2</w:t>
      </w:r>
      <w:r>
        <w:rPr>
          <w:spacing w:val="-1"/>
        </w:rPr>
        <w:t>月，由于公司发行股份及支付现金购买亿起联科技</w:t>
      </w:r>
      <w:r>
        <w:rPr>
          <w:rFonts w:ascii="Times New Roman" w:hAnsi="Times New Roman" w:cs="Times New Roman" w:eastAsia="Times New Roman" w:hint="default"/>
          <w:spacing w:val="-1"/>
        </w:rPr>
        <w:t>100%</w:t>
      </w:r>
      <w:r>
        <w:rPr>
          <w:spacing w:val="-1"/>
        </w:rPr>
        <w:t>股权并募集配套资金项目新增发行股份，公司的股份总数由</w:t>
      </w:r>
      <w:r>
        <w:rPr>
          <w:spacing w:val="-86"/>
        </w:rPr>
        <w:t> </w:t>
      </w:r>
      <w:r>
        <w:rPr>
          <w:spacing w:val="-86"/>
        </w:rPr>
      </w:r>
      <w:r>
        <w:rPr/>
        <w:t>报告期初的</w:t>
      </w:r>
      <w:r>
        <w:rPr>
          <w:rFonts w:ascii="Times New Roman" w:hAnsi="Times New Roman" w:cs="Times New Roman" w:eastAsia="Times New Roman" w:hint="default"/>
        </w:rPr>
        <w:t>175,795,305</w:t>
      </w:r>
      <w:r>
        <w:rPr/>
        <w:t>股变更为</w:t>
      </w:r>
      <w:r>
        <w:rPr>
          <w:rFonts w:ascii="Times New Roman" w:hAnsi="Times New Roman" w:cs="Times New Roman" w:eastAsia="Times New Roman" w:hint="default"/>
        </w:rPr>
        <w:t>198,198,737</w:t>
      </w:r>
      <w:r>
        <w:rPr/>
        <w:t>股。</w:t>
      </w:r>
    </w:p>
    <w:p>
      <w:pPr>
        <w:pStyle w:val="BodyText"/>
        <w:spacing w:line="300" w:lineRule="auto"/>
        <w:ind w:right="0"/>
        <w:jc w:val="left"/>
      </w:pP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6</w:t>
      </w:r>
      <w:r>
        <w:rPr>
          <w:spacing w:val="-1"/>
        </w:rPr>
        <w:t>月，根据亿起联科技《</w:t>
      </w:r>
      <w:r>
        <w:rPr>
          <w:rFonts w:ascii="Times New Roman" w:hAnsi="Times New Roman" w:cs="Times New Roman" w:eastAsia="Times New Roman" w:hint="default"/>
          <w:spacing w:val="-1"/>
        </w:rPr>
        <w:t>2014</w:t>
      </w:r>
      <w:r>
        <w:rPr>
          <w:spacing w:val="-1"/>
        </w:rPr>
        <w:t>年度审计报告》和《业绩承诺及补偿协议》，公司对交易对方王新所获的</w:t>
      </w:r>
      <w:r>
        <w:rPr>
          <w:rFonts w:ascii="Times New Roman" w:hAnsi="Times New Roman" w:cs="Times New Roman" w:eastAsia="Times New Roman" w:hint="default"/>
          <w:spacing w:val="-1"/>
        </w:rPr>
        <w:t>221,101</w:t>
      </w:r>
      <w:r>
        <w:rPr>
          <w:spacing w:val="-1"/>
        </w:rPr>
        <w:t>股公司</w:t>
      </w:r>
      <w:r>
        <w:rPr>
          <w:spacing w:val="-66"/>
        </w:rPr>
        <w:t> </w:t>
      </w:r>
      <w:r>
        <w:rPr>
          <w:spacing w:val="-3"/>
        </w:rPr>
        <w:t>股份，以及李勇所获的</w:t>
      </w:r>
      <w:r>
        <w:rPr>
          <w:rFonts w:ascii="Times New Roman" w:hAnsi="Times New Roman" w:cs="Times New Roman" w:eastAsia="Times New Roman" w:hint="default"/>
          <w:spacing w:val="-3"/>
        </w:rPr>
        <w:t>166,796</w:t>
      </w:r>
      <w:r>
        <w:rPr>
          <w:spacing w:val="-3"/>
        </w:rPr>
        <w:t>股公司股份，共计</w:t>
      </w:r>
      <w:r>
        <w:rPr>
          <w:rFonts w:ascii="Times New Roman" w:hAnsi="Times New Roman" w:cs="Times New Roman" w:eastAsia="Times New Roman" w:hint="default"/>
          <w:spacing w:val="-3"/>
        </w:rPr>
        <w:t>387,897</w:t>
      </w:r>
      <w:r>
        <w:rPr>
          <w:spacing w:val="-3"/>
        </w:rPr>
        <w:t>股实施了回购注销。上述变更完成后，公司的股份总数由</w:t>
      </w:r>
      <w:r>
        <w:rPr>
          <w:rFonts w:ascii="Times New Roman" w:hAnsi="Times New Roman" w:cs="Times New Roman" w:eastAsia="Times New Roman" w:hint="default"/>
          <w:spacing w:val="-3"/>
        </w:rPr>
        <w:t>198,198,737</w:t>
      </w:r>
      <w:r>
        <w:rPr>
          <w:rFonts w:ascii="Times New Roman" w:hAnsi="Times New Roman" w:cs="Times New Roman" w:eastAsia="Times New Roman" w:hint="default"/>
          <w:spacing w:val="-20"/>
        </w:rPr>
        <w:t> </w:t>
      </w:r>
      <w:r>
        <w:rPr>
          <w:rFonts w:ascii="Times New Roman" w:hAnsi="Times New Roman" w:cs="Times New Roman" w:eastAsia="Times New Roman" w:hint="default"/>
          <w:spacing w:val="-20"/>
        </w:rPr>
      </w:r>
      <w:r>
        <w:rPr/>
        <w:t>股变更为</w:t>
      </w:r>
      <w:r>
        <w:rPr>
          <w:rFonts w:ascii="Times New Roman" w:hAnsi="Times New Roman" w:cs="Times New Roman" w:eastAsia="Times New Roman" w:hint="default"/>
        </w:rPr>
        <w:t>197,810,840</w:t>
      </w:r>
      <w:r>
        <w:rPr/>
        <w:t>股。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月，由于公司发行股份及支付现金购买华夏电通</w:t>
      </w:r>
      <w:r>
        <w:rPr>
          <w:rFonts w:ascii="Times New Roman" w:hAnsi="Times New Roman" w:cs="Times New Roman" w:eastAsia="Times New Roman" w:hint="default"/>
        </w:rPr>
        <w:t>100%</w:t>
      </w:r>
      <w:r>
        <w:rPr/>
        <w:t>股权并募集配套资金项目新增发行股份，公司的股份总数由</w:t>
      </w:r>
    </w:p>
    <w:p>
      <w:pPr>
        <w:pStyle w:val="BodyText"/>
        <w:spacing w:line="240" w:lineRule="auto" w:before="13"/>
        <w:ind w:left="154" w:right="0"/>
        <w:jc w:val="left"/>
      </w:pPr>
      <w:r>
        <w:rPr>
          <w:rFonts w:ascii="Times New Roman" w:hAnsi="Times New Roman" w:cs="Times New Roman" w:eastAsia="Times New Roman" w:hint="default"/>
        </w:rPr>
        <w:t>197,810,840</w:t>
      </w:r>
      <w:r>
        <w:rPr/>
        <w:t>股变更为</w:t>
      </w:r>
      <w:r>
        <w:rPr>
          <w:rFonts w:ascii="Times New Roman" w:hAnsi="Times New Roman" w:cs="Times New Roman" w:eastAsia="Times New Roman" w:hint="default"/>
        </w:rPr>
        <w:t>216,596,780</w:t>
      </w:r>
      <w:r>
        <w:rPr/>
        <w:t>股。</w:t>
      </w:r>
    </w:p>
    <w:p>
      <w:pPr>
        <w:pStyle w:val="BodyText"/>
        <w:spacing w:line="309" w:lineRule="auto" w:before="63"/>
        <w:ind w:right="1131"/>
        <w:jc w:val="both"/>
      </w:pPr>
      <w:r>
        <w:rPr>
          <w:spacing w:val="-2"/>
        </w:rPr>
        <w:t>基于以上事项，公司股份总数由报告期初的</w:t>
      </w:r>
      <w:r>
        <w:rPr>
          <w:rFonts w:ascii="Times New Roman" w:hAnsi="Times New Roman" w:cs="Times New Roman" w:eastAsia="Times New Roman" w:hint="default"/>
          <w:spacing w:val="-2"/>
        </w:rPr>
        <w:t>175,795,305</w:t>
      </w:r>
      <w:r>
        <w:rPr>
          <w:spacing w:val="-2"/>
        </w:rPr>
        <w:t>股增加至报告期末的</w:t>
      </w:r>
      <w:r>
        <w:rPr>
          <w:rFonts w:ascii="Times New Roman" w:hAnsi="Times New Roman" w:cs="Times New Roman" w:eastAsia="Times New Roman" w:hint="default"/>
          <w:spacing w:val="-2"/>
        </w:rPr>
        <w:t>216,596,780</w:t>
      </w:r>
      <w:r>
        <w:rPr>
          <w:spacing w:val="-2"/>
        </w:rPr>
        <w:t>股，上述股份变动不涉及公司控股股</w:t>
      </w:r>
      <w:r>
        <w:rPr>
          <w:spacing w:val="-43"/>
        </w:rPr>
        <w:t> </w:t>
      </w:r>
      <w:r>
        <w:rPr>
          <w:spacing w:val="-43"/>
        </w:rPr>
      </w:r>
      <w:r>
        <w:rPr>
          <w:spacing w:val="-2"/>
        </w:rPr>
        <w:t>东和实际控制人的变化。报告期内，公司因发行股份购买亿起联科技、华夏电通的全部股权，公司资产和负债结构发生一定</w:t>
      </w:r>
      <w:r>
        <w:rPr>
          <w:spacing w:val="-65"/>
        </w:rPr>
        <w:t> </w:t>
      </w:r>
      <w:r>
        <w:rPr>
          <w:spacing w:val="-65"/>
        </w:rPr>
      </w:r>
      <w:r>
        <w:rPr/>
        <w:t>变动，具体变动情况请参照本报告“第四节 管理层分析与讨论”中的“四、资产及负债状况分析”。</w:t>
      </w:r>
    </w:p>
    <w:p>
      <w:pPr>
        <w:spacing w:line="240" w:lineRule="auto" w:before="13"/>
        <w:rPr>
          <w:rFonts w:ascii="宋体" w:hAnsi="宋体" w:cs="宋体" w:eastAsia="宋体" w:hint="default"/>
          <w:sz w:val="22"/>
          <w:szCs w:val="22"/>
        </w:rPr>
      </w:pPr>
    </w:p>
    <w:p>
      <w:pPr>
        <w:pStyle w:val="Heading3"/>
        <w:spacing w:line="240" w:lineRule="auto"/>
        <w:ind w:left="153" w:right="0"/>
        <w:jc w:val="left"/>
        <w:rPr>
          <w:b w:val="0"/>
          <w:bCs w:val="0"/>
        </w:rPr>
      </w:pPr>
      <w:bookmarkStart w:name="3、现存的内部职工股情况" w:id="108"/>
      <w:bookmarkEnd w:id="108"/>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股东和实际控制人情况" w:id="109"/>
      <w:bookmarkEnd w:id="109"/>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公司股东数量及持股情况" w:id="110"/>
      <w:bookmarkEnd w:id="110"/>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1167"/>
        <w:gridCol w:w="264"/>
        <w:gridCol w:w="920"/>
        <w:gridCol w:w="469"/>
        <w:gridCol w:w="723"/>
        <w:gridCol w:w="913"/>
        <w:gridCol w:w="329"/>
        <w:gridCol w:w="515"/>
        <w:gridCol w:w="832"/>
        <w:gridCol w:w="902"/>
        <w:gridCol w:w="305"/>
        <w:gridCol w:w="1019"/>
        <w:gridCol w:w="131"/>
        <w:gridCol w:w="1193"/>
      </w:tblGrid>
      <w:tr>
        <w:trPr>
          <w:trHeight w:val="317" w:hRule="exact"/>
        </w:trPr>
        <w:tc>
          <w:tcPr>
            <w:tcW w:w="1167" w:type="dxa"/>
            <w:vMerge w:val="restart"/>
            <w:tcBorders>
              <w:top w:val="single" w:sz="4" w:space="0" w:color="000000"/>
              <w:left w:val="single" w:sz="4" w:space="0" w:color="000000"/>
              <w:right w:val="single" w:sz="4" w:space="0" w:color="000000"/>
            </w:tcBorders>
            <w:shd w:val="clear" w:color="auto" w:fill="D2D2D2"/>
          </w:tcPr>
          <w:p>
            <w:pPr/>
          </w:p>
        </w:tc>
        <w:tc>
          <w:tcPr>
            <w:tcW w:w="1184"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37" w:right="0"/>
              <w:jc w:val="left"/>
              <w:rPr>
                <w:rFonts w:ascii="Times New Roman" w:hAnsi="Times New Roman" w:cs="Times New Roman" w:eastAsia="Times New Roman" w:hint="default"/>
                <w:sz w:val="18"/>
                <w:szCs w:val="18"/>
              </w:rPr>
            </w:pPr>
            <w:r>
              <w:rPr>
                <w:rFonts w:ascii="Times New Roman"/>
                <w:sz w:val="18"/>
              </w:rPr>
              <w:t>24,132</w:t>
            </w:r>
          </w:p>
        </w:tc>
        <w:tc>
          <w:tcPr>
            <w:tcW w:w="119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43"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97" w:right="0"/>
              <w:jc w:val="left"/>
              <w:rPr>
                <w:rFonts w:ascii="Times New Roman" w:hAnsi="Times New Roman" w:cs="Times New Roman" w:eastAsia="Times New Roman" w:hint="default"/>
                <w:sz w:val="18"/>
                <w:szCs w:val="18"/>
              </w:rPr>
            </w:pPr>
            <w:r>
              <w:rPr>
                <w:rFonts w:ascii="Times New Roman"/>
                <w:sz w:val="18"/>
              </w:rPr>
              <w:t>29,170</w:t>
            </w:r>
          </w:p>
        </w:tc>
        <w:tc>
          <w:tcPr>
            <w:tcW w:w="1347"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07" w:type="dxa"/>
            <w:gridSpan w:val="2"/>
            <w:vMerge w:val="restart"/>
            <w:tcBorders>
              <w:top w:val="single" w:sz="4" w:space="0" w:color="000000"/>
              <w:left w:val="single" w:sz="10"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w:t>
            </w:r>
          </w:p>
        </w:tc>
        <w:tc>
          <w:tcPr>
            <w:tcW w:w="115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21"/>
                <w:sz w:val="18"/>
                <w:szCs w:val="18"/>
              </w:rPr>
              <w:t>数（如有）（参</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93" w:type="dxa"/>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312" w:hRule="exact"/>
        </w:trPr>
        <w:tc>
          <w:tcPr>
            <w:tcW w:w="1167" w:type="dxa"/>
            <w:vMerge/>
            <w:tcBorders>
              <w:left w:val="single" w:sz="4" w:space="0" w:color="000000"/>
              <w:bottom w:val="nil" w:sz="6" w:space="0" w:color="auto"/>
              <w:right w:val="single" w:sz="4" w:space="0" w:color="000000"/>
            </w:tcBorders>
            <w:shd w:val="clear" w:color="auto" w:fill="D2D2D2"/>
          </w:tcPr>
          <w:p>
            <w:pPr/>
          </w:p>
        </w:tc>
        <w:tc>
          <w:tcPr>
            <w:tcW w:w="1184" w:type="dxa"/>
            <w:gridSpan w:val="2"/>
            <w:vMerge/>
            <w:tcBorders>
              <w:left w:val="single" w:sz="9" w:space="0" w:color="D2D2D2"/>
              <w:right w:val="single" w:sz="9" w:space="0" w:color="D2D2D2"/>
            </w:tcBorders>
          </w:tcPr>
          <w:p>
            <w:pPr/>
          </w:p>
        </w:tc>
        <w:tc>
          <w:tcPr>
            <w:tcW w:w="119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1" w:right="88"/>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243" w:type="dxa"/>
            <w:gridSpan w:val="2"/>
            <w:vMerge/>
            <w:tcBorders>
              <w:left w:val="single" w:sz="9" w:space="0" w:color="D2D2D2"/>
              <w:right w:val="single" w:sz="9" w:space="0" w:color="D2D2D2"/>
            </w:tcBorders>
          </w:tcPr>
          <w:p>
            <w:pPr/>
          </w:p>
        </w:tc>
        <w:tc>
          <w:tcPr>
            <w:tcW w:w="1347"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65"/>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07" w:type="dxa"/>
            <w:gridSpan w:val="2"/>
            <w:vMerge/>
            <w:tcBorders>
              <w:left w:val="single" w:sz="10" w:space="0" w:color="D2D2D2"/>
              <w:right w:val="single" w:sz="9" w:space="0" w:color="D2D2D2"/>
            </w:tcBorders>
          </w:tcPr>
          <w:p>
            <w:pPr/>
          </w:p>
        </w:tc>
        <w:tc>
          <w:tcPr>
            <w:tcW w:w="1151" w:type="dxa"/>
            <w:gridSpan w:val="2"/>
            <w:vMerge/>
            <w:tcBorders>
              <w:left w:val="single" w:sz="4" w:space="0" w:color="000000"/>
              <w:right w:val="single" w:sz="4" w:space="0" w:color="000000"/>
            </w:tcBorders>
            <w:shd w:val="clear" w:color="auto" w:fill="D2D2D2"/>
          </w:tcPr>
          <w:p>
            <w:pPr/>
          </w:p>
        </w:tc>
        <w:tc>
          <w:tcPr>
            <w:tcW w:w="1193" w:type="dxa"/>
            <w:vMerge/>
            <w:tcBorders>
              <w:left w:val="single" w:sz="13" w:space="0" w:color="D2D2D2"/>
              <w:right w:val="single" w:sz="4" w:space="0" w:color="000000"/>
            </w:tcBorders>
          </w:tcPr>
          <w:p>
            <w:pPr/>
          </w:p>
        </w:tc>
      </w:tr>
      <w:tr>
        <w:trPr>
          <w:trHeight w:val="704" w:hRule="exact"/>
        </w:trPr>
        <w:tc>
          <w:tcPr>
            <w:tcW w:w="11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64"/>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184" w:type="dxa"/>
            <w:gridSpan w:val="2"/>
            <w:vMerge/>
            <w:tcBorders>
              <w:left w:val="single" w:sz="9" w:space="0" w:color="D2D2D2"/>
              <w:right w:val="single" w:sz="9" w:space="0" w:color="D2D2D2"/>
            </w:tcBorders>
          </w:tcPr>
          <w:p>
            <w:pPr/>
          </w:p>
        </w:tc>
        <w:tc>
          <w:tcPr>
            <w:tcW w:w="1191" w:type="dxa"/>
            <w:gridSpan w:val="2"/>
            <w:vMerge/>
            <w:tcBorders>
              <w:left w:val="single" w:sz="4" w:space="0" w:color="000000"/>
              <w:right w:val="single" w:sz="4" w:space="0" w:color="000000"/>
            </w:tcBorders>
            <w:shd w:val="clear" w:color="auto" w:fill="D2D2D2"/>
          </w:tcPr>
          <w:p>
            <w:pPr/>
          </w:p>
        </w:tc>
        <w:tc>
          <w:tcPr>
            <w:tcW w:w="1243" w:type="dxa"/>
            <w:gridSpan w:val="2"/>
            <w:vMerge/>
            <w:tcBorders>
              <w:left w:val="single" w:sz="9" w:space="0" w:color="D2D2D2"/>
              <w:right w:val="single" w:sz="9" w:space="0" w:color="D2D2D2"/>
            </w:tcBorders>
          </w:tcPr>
          <w:p>
            <w:pPr/>
          </w:p>
        </w:tc>
        <w:tc>
          <w:tcPr>
            <w:tcW w:w="1347" w:type="dxa"/>
            <w:gridSpan w:val="2"/>
            <w:vMerge/>
            <w:tcBorders>
              <w:left w:val="single" w:sz="4" w:space="0" w:color="000000"/>
              <w:right w:val="single" w:sz="4" w:space="0" w:color="000000"/>
            </w:tcBorders>
            <w:shd w:val="clear" w:color="auto" w:fill="D2D2D2"/>
          </w:tcPr>
          <w:p>
            <w:pPr/>
          </w:p>
        </w:tc>
        <w:tc>
          <w:tcPr>
            <w:tcW w:w="1207" w:type="dxa"/>
            <w:gridSpan w:val="2"/>
            <w:vMerge/>
            <w:tcBorders>
              <w:left w:val="single" w:sz="10" w:space="0" w:color="D2D2D2"/>
              <w:right w:val="single" w:sz="9" w:space="0" w:color="D2D2D2"/>
            </w:tcBorders>
          </w:tcPr>
          <w:p>
            <w:pPr/>
          </w:p>
        </w:tc>
        <w:tc>
          <w:tcPr>
            <w:tcW w:w="1151" w:type="dxa"/>
            <w:gridSpan w:val="2"/>
            <w:vMerge/>
            <w:tcBorders>
              <w:left w:val="single" w:sz="4" w:space="0" w:color="000000"/>
              <w:right w:val="single" w:sz="4" w:space="0" w:color="000000"/>
            </w:tcBorders>
            <w:shd w:val="clear" w:color="auto" w:fill="D2D2D2"/>
          </w:tcPr>
          <w:p>
            <w:pPr/>
          </w:p>
        </w:tc>
        <w:tc>
          <w:tcPr>
            <w:tcW w:w="1193" w:type="dxa"/>
            <w:vMerge/>
            <w:tcBorders>
              <w:left w:val="single" w:sz="13" w:space="0" w:color="D2D2D2"/>
              <w:right w:val="single" w:sz="4" w:space="0" w:color="000000"/>
            </w:tcBorders>
          </w:tcPr>
          <w:p>
            <w:pPr/>
          </w:p>
        </w:tc>
      </w:tr>
      <w:tr>
        <w:trPr>
          <w:trHeight w:val="312" w:hRule="exact"/>
        </w:trPr>
        <w:tc>
          <w:tcPr>
            <w:tcW w:w="1167" w:type="dxa"/>
            <w:vMerge w:val="restart"/>
            <w:tcBorders>
              <w:top w:val="nil" w:sz="6" w:space="0" w:color="auto"/>
              <w:left w:val="single" w:sz="4" w:space="0" w:color="000000"/>
              <w:right w:val="single" w:sz="4" w:space="0" w:color="000000"/>
            </w:tcBorders>
            <w:shd w:val="clear" w:color="auto" w:fill="D2D2D2"/>
          </w:tcPr>
          <w:p>
            <w:pPr/>
          </w:p>
        </w:tc>
        <w:tc>
          <w:tcPr>
            <w:tcW w:w="1184" w:type="dxa"/>
            <w:gridSpan w:val="2"/>
            <w:vMerge/>
            <w:tcBorders>
              <w:left w:val="single" w:sz="9" w:space="0" w:color="D2D2D2"/>
              <w:right w:val="single" w:sz="9" w:space="0" w:color="D2D2D2"/>
            </w:tcBorders>
          </w:tcPr>
          <w:p>
            <w:pPr/>
          </w:p>
        </w:tc>
        <w:tc>
          <w:tcPr>
            <w:tcW w:w="1191" w:type="dxa"/>
            <w:gridSpan w:val="2"/>
            <w:vMerge/>
            <w:tcBorders>
              <w:left w:val="single" w:sz="4" w:space="0" w:color="000000"/>
              <w:bottom w:val="nil" w:sz="6" w:space="0" w:color="auto"/>
              <w:right w:val="single" w:sz="4" w:space="0" w:color="000000"/>
            </w:tcBorders>
            <w:shd w:val="clear" w:color="auto" w:fill="D2D2D2"/>
          </w:tcPr>
          <w:p>
            <w:pPr/>
          </w:p>
        </w:tc>
        <w:tc>
          <w:tcPr>
            <w:tcW w:w="1243" w:type="dxa"/>
            <w:gridSpan w:val="2"/>
            <w:vMerge/>
            <w:tcBorders>
              <w:left w:val="single" w:sz="9" w:space="0" w:color="D2D2D2"/>
              <w:right w:val="single" w:sz="9" w:space="0" w:color="D2D2D2"/>
            </w:tcBorders>
          </w:tcPr>
          <w:p>
            <w:pPr/>
          </w:p>
        </w:tc>
        <w:tc>
          <w:tcPr>
            <w:tcW w:w="1347" w:type="dxa"/>
            <w:gridSpan w:val="2"/>
            <w:vMerge/>
            <w:tcBorders>
              <w:left w:val="single" w:sz="4" w:space="0" w:color="000000"/>
              <w:bottom w:val="nil" w:sz="6" w:space="0" w:color="auto"/>
              <w:right w:val="single" w:sz="4" w:space="0" w:color="000000"/>
            </w:tcBorders>
            <w:shd w:val="clear" w:color="auto" w:fill="D2D2D2"/>
          </w:tcPr>
          <w:p>
            <w:pPr/>
          </w:p>
        </w:tc>
        <w:tc>
          <w:tcPr>
            <w:tcW w:w="1207" w:type="dxa"/>
            <w:gridSpan w:val="2"/>
            <w:vMerge/>
            <w:tcBorders>
              <w:left w:val="single" w:sz="10" w:space="0" w:color="D2D2D2"/>
              <w:right w:val="single" w:sz="9" w:space="0" w:color="D2D2D2"/>
            </w:tcBorders>
          </w:tcPr>
          <w:p>
            <w:pPr/>
          </w:p>
        </w:tc>
        <w:tc>
          <w:tcPr>
            <w:tcW w:w="1151" w:type="dxa"/>
            <w:gridSpan w:val="2"/>
            <w:vMerge/>
            <w:tcBorders>
              <w:left w:val="single" w:sz="4" w:space="0" w:color="000000"/>
              <w:right w:val="single" w:sz="4" w:space="0" w:color="000000"/>
            </w:tcBorders>
            <w:shd w:val="clear" w:color="auto" w:fill="D2D2D2"/>
          </w:tcPr>
          <w:p>
            <w:pPr/>
          </w:p>
        </w:tc>
        <w:tc>
          <w:tcPr>
            <w:tcW w:w="1193" w:type="dxa"/>
            <w:vMerge/>
            <w:tcBorders>
              <w:left w:val="single" w:sz="13" w:space="0" w:color="D2D2D2"/>
              <w:right w:val="single" w:sz="4" w:space="0" w:color="000000"/>
            </w:tcBorders>
          </w:tcPr>
          <w:p>
            <w:pPr/>
          </w:p>
        </w:tc>
      </w:tr>
      <w:tr>
        <w:trPr>
          <w:trHeight w:val="322" w:hRule="exact"/>
        </w:trPr>
        <w:tc>
          <w:tcPr>
            <w:tcW w:w="1167" w:type="dxa"/>
            <w:vMerge/>
            <w:tcBorders>
              <w:left w:val="single" w:sz="4" w:space="0" w:color="000000"/>
              <w:bottom w:val="single" w:sz="4" w:space="0" w:color="000000"/>
              <w:right w:val="single" w:sz="4" w:space="0" w:color="000000"/>
            </w:tcBorders>
            <w:shd w:val="clear" w:color="auto" w:fill="D2D2D2"/>
          </w:tcPr>
          <w:p>
            <w:pPr/>
          </w:p>
        </w:tc>
        <w:tc>
          <w:tcPr>
            <w:tcW w:w="1184" w:type="dxa"/>
            <w:gridSpan w:val="2"/>
            <w:vMerge/>
            <w:tcBorders>
              <w:left w:val="single" w:sz="9" w:space="0" w:color="D2D2D2"/>
              <w:bottom w:val="single" w:sz="4" w:space="0" w:color="000000"/>
              <w:right w:val="single" w:sz="9" w:space="0" w:color="D2D2D2"/>
            </w:tcBorders>
          </w:tcPr>
          <w:p>
            <w:pPr/>
          </w:p>
        </w:tc>
        <w:tc>
          <w:tcPr>
            <w:tcW w:w="119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43" w:type="dxa"/>
            <w:gridSpan w:val="2"/>
            <w:vMerge/>
            <w:tcBorders>
              <w:left w:val="single" w:sz="9" w:space="0" w:color="D2D2D2"/>
              <w:bottom w:val="single" w:sz="4" w:space="0" w:color="000000"/>
              <w:right w:val="single" w:sz="9" w:space="0" w:color="D2D2D2"/>
            </w:tcBorders>
          </w:tcPr>
          <w:p>
            <w:pPr/>
          </w:p>
        </w:tc>
        <w:tc>
          <w:tcPr>
            <w:tcW w:w="1347"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gridSpan w:val="2"/>
            <w:vMerge/>
            <w:tcBorders>
              <w:left w:val="single" w:sz="10" w:space="0" w:color="D2D2D2"/>
              <w:bottom w:val="single" w:sz="4" w:space="0" w:color="000000"/>
              <w:right w:val="single" w:sz="9" w:space="0" w:color="D2D2D2"/>
            </w:tcBorders>
          </w:tcPr>
          <w:p>
            <w:pPr/>
          </w:p>
        </w:tc>
        <w:tc>
          <w:tcPr>
            <w:tcW w:w="1151" w:type="dxa"/>
            <w:gridSpan w:val="2"/>
            <w:vMerge/>
            <w:tcBorders>
              <w:left w:val="single" w:sz="4" w:space="0" w:color="000000"/>
              <w:bottom w:val="single" w:sz="4" w:space="0" w:color="000000"/>
              <w:right w:val="single" w:sz="4" w:space="0" w:color="000000"/>
            </w:tcBorders>
            <w:shd w:val="clear" w:color="auto" w:fill="D2D2D2"/>
          </w:tcPr>
          <w:p>
            <w:pPr/>
          </w:p>
        </w:tc>
        <w:tc>
          <w:tcPr>
            <w:tcW w:w="1193" w:type="dxa"/>
            <w:vMerge/>
            <w:tcBorders>
              <w:left w:val="single" w:sz="13" w:space="0" w:color="D2D2D2"/>
              <w:bottom w:val="single" w:sz="4" w:space="0" w:color="000000"/>
              <w:right w:val="single" w:sz="4" w:space="0" w:color="000000"/>
            </w:tcBorders>
          </w:tcPr>
          <w:p>
            <w:pPr/>
          </w:p>
        </w:tc>
      </w:tr>
      <w:tr>
        <w:trPr>
          <w:trHeight w:val="392" w:hRule="exact"/>
        </w:trPr>
        <w:tc>
          <w:tcPr>
            <w:tcW w:w="9683"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11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31" w:type="dxa"/>
            <w:gridSpan w:val="2"/>
            <w:vMerge w:val="restart"/>
            <w:tcBorders>
              <w:top w:val="single" w:sz="4" w:space="0" w:color="000000"/>
              <w:left w:val="single" w:sz="4" w:space="0" w:color="000000"/>
              <w:right w:val="single" w:sz="4" w:space="0" w:color="000000"/>
            </w:tcBorders>
            <w:shd w:val="clear" w:color="auto" w:fill="D2D2D2"/>
          </w:tcPr>
          <w:p>
            <w:pPr/>
          </w:p>
        </w:tc>
        <w:tc>
          <w:tcPr>
            <w:tcW w:w="1388" w:type="dxa"/>
            <w:gridSpan w:val="2"/>
            <w:vMerge w:val="restart"/>
            <w:tcBorders>
              <w:top w:val="single" w:sz="4" w:space="0" w:color="000000"/>
              <w:left w:val="single" w:sz="4" w:space="0" w:color="000000"/>
              <w:right w:val="single" w:sz="4" w:space="0" w:color="000000"/>
            </w:tcBorders>
            <w:shd w:val="clear" w:color="auto" w:fill="D2D2D2"/>
          </w:tcPr>
          <w:p>
            <w:pPr/>
          </w:p>
        </w:tc>
        <w:tc>
          <w:tcPr>
            <w:tcW w:w="723" w:type="dxa"/>
            <w:tcBorders>
              <w:top w:val="single" w:sz="4" w:space="0" w:color="000000"/>
              <w:left w:val="single" w:sz="4" w:space="0" w:color="000000"/>
              <w:bottom w:val="nil" w:sz="6" w:space="0" w:color="auto"/>
              <w:right w:val="single" w:sz="4" w:space="0" w:color="000000"/>
            </w:tcBorders>
            <w:shd w:val="clear" w:color="auto" w:fill="D2D2D2"/>
          </w:tcPr>
          <w:p>
            <w:pPr/>
          </w:p>
        </w:tc>
        <w:tc>
          <w:tcPr>
            <w:tcW w:w="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56" w:right="56"/>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68" w:right="31"/>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90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01" w:right="69"/>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50"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90"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31" w:type="dxa"/>
            <w:gridSpan w:val="2"/>
            <w:vMerge/>
            <w:tcBorders>
              <w:left w:val="single" w:sz="4" w:space="0" w:color="000000"/>
              <w:bottom w:val="nil" w:sz="6" w:space="0" w:color="auto"/>
              <w:right w:val="single" w:sz="4" w:space="0" w:color="000000"/>
            </w:tcBorders>
            <w:shd w:val="clear" w:color="auto" w:fill="D2D2D2"/>
          </w:tcPr>
          <w:p>
            <w:pPr/>
          </w:p>
        </w:tc>
        <w:tc>
          <w:tcPr>
            <w:tcW w:w="1388" w:type="dxa"/>
            <w:gridSpan w:val="2"/>
            <w:vMerge/>
            <w:tcBorders>
              <w:left w:val="single" w:sz="4" w:space="0" w:color="000000"/>
              <w:bottom w:val="nil" w:sz="6" w:space="0" w:color="auto"/>
              <w:right w:val="single" w:sz="4" w:space="0" w:color="000000"/>
            </w:tcBorders>
            <w:shd w:val="clear" w:color="auto" w:fill="D2D2D2"/>
          </w:tcPr>
          <w:p>
            <w:pPr/>
          </w:p>
        </w:tc>
        <w:tc>
          <w:tcPr>
            <w:tcW w:w="723"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86" w:right="64"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913"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12" w:right="69"/>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845" w:type="dxa"/>
            <w:gridSpan w:val="2"/>
            <w:vMerge/>
            <w:tcBorders>
              <w:left w:val="single" w:sz="4" w:space="0" w:color="000000"/>
              <w:right w:val="single" w:sz="4" w:space="0" w:color="000000"/>
            </w:tcBorders>
            <w:shd w:val="clear" w:color="auto" w:fill="D2D2D2"/>
          </w:tcPr>
          <w:p>
            <w:pPr/>
          </w:p>
        </w:tc>
        <w:tc>
          <w:tcPr>
            <w:tcW w:w="832" w:type="dxa"/>
            <w:vMerge/>
            <w:tcBorders>
              <w:left w:val="single" w:sz="4" w:space="0" w:color="000000"/>
              <w:right w:val="single" w:sz="4" w:space="0" w:color="000000"/>
            </w:tcBorders>
            <w:shd w:val="clear" w:color="auto" w:fill="D2D2D2"/>
          </w:tcPr>
          <w:p>
            <w:pPr/>
          </w:p>
        </w:tc>
        <w:tc>
          <w:tcPr>
            <w:tcW w:w="902" w:type="dxa"/>
            <w:vMerge/>
            <w:tcBorders>
              <w:left w:val="single" w:sz="4" w:space="0" w:color="000000"/>
              <w:right w:val="single" w:sz="4" w:space="0" w:color="000000"/>
            </w:tcBorders>
            <w:shd w:val="clear" w:color="auto" w:fill="D2D2D2"/>
          </w:tcPr>
          <w:p>
            <w:pPr/>
          </w:p>
        </w:tc>
        <w:tc>
          <w:tcPr>
            <w:tcW w:w="2650" w:type="dxa"/>
            <w:gridSpan w:val="4"/>
            <w:vMerge/>
            <w:tcBorders>
              <w:left w:val="single" w:sz="4" w:space="0" w:color="000000"/>
              <w:right w:val="single" w:sz="4" w:space="0" w:color="000000"/>
            </w:tcBorders>
            <w:shd w:val="clear" w:color="auto" w:fill="D2D2D2"/>
          </w:tcPr>
          <w:p>
            <w:pPr/>
          </w:p>
        </w:tc>
      </w:tr>
      <w:tr>
        <w:trPr>
          <w:trHeight w:val="141" w:hRule="exact"/>
        </w:trPr>
        <w:tc>
          <w:tcPr>
            <w:tcW w:w="143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8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28"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23" w:type="dxa"/>
            <w:vMerge/>
            <w:tcBorders>
              <w:left w:val="single" w:sz="4" w:space="0" w:color="000000"/>
              <w:right w:val="single" w:sz="4" w:space="0" w:color="000000"/>
            </w:tcBorders>
            <w:shd w:val="clear" w:color="auto" w:fill="D2D2D2"/>
          </w:tcPr>
          <w:p>
            <w:pPr/>
          </w:p>
        </w:tc>
        <w:tc>
          <w:tcPr>
            <w:tcW w:w="913" w:type="dxa"/>
            <w:vMerge/>
            <w:tcBorders>
              <w:left w:val="single" w:sz="4" w:space="0" w:color="000000"/>
              <w:right w:val="single" w:sz="4" w:space="0" w:color="000000"/>
            </w:tcBorders>
            <w:shd w:val="clear" w:color="auto" w:fill="D2D2D2"/>
          </w:tcPr>
          <w:p>
            <w:pPr/>
          </w:p>
        </w:tc>
        <w:tc>
          <w:tcPr>
            <w:tcW w:w="845" w:type="dxa"/>
            <w:gridSpan w:val="2"/>
            <w:vMerge/>
            <w:tcBorders>
              <w:left w:val="single" w:sz="4" w:space="0" w:color="000000"/>
              <w:right w:val="single" w:sz="4" w:space="0" w:color="000000"/>
            </w:tcBorders>
            <w:shd w:val="clear" w:color="auto" w:fill="D2D2D2"/>
          </w:tcPr>
          <w:p>
            <w:pPr/>
          </w:p>
        </w:tc>
        <w:tc>
          <w:tcPr>
            <w:tcW w:w="832" w:type="dxa"/>
            <w:vMerge/>
            <w:tcBorders>
              <w:left w:val="single" w:sz="4" w:space="0" w:color="000000"/>
              <w:right w:val="single" w:sz="4" w:space="0" w:color="000000"/>
            </w:tcBorders>
            <w:shd w:val="clear" w:color="auto" w:fill="D2D2D2"/>
          </w:tcPr>
          <w:p>
            <w:pPr/>
          </w:p>
        </w:tc>
        <w:tc>
          <w:tcPr>
            <w:tcW w:w="902" w:type="dxa"/>
            <w:vMerge/>
            <w:tcBorders>
              <w:left w:val="single" w:sz="4" w:space="0" w:color="000000"/>
              <w:right w:val="single" w:sz="4" w:space="0" w:color="000000"/>
            </w:tcBorders>
            <w:shd w:val="clear" w:color="auto" w:fill="D2D2D2"/>
          </w:tcPr>
          <w:p>
            <w:pPr/>
          </w:p>
        </w:tc>
        <w:tc>
          <w:tcPr>
            <w:tcW w:w="2650" w:type="dxa"/>
            <w:gridSpan w:val="4"/>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431" w:type="dxa"/>
            <w:gridSpan w:val="2"/>
            <w:vMerge/>
            <w:tcBorders>
              <w:left w:val="single" w:sz="4" w:space="0" w:color="000000"/>
              <w:bottom w:val="nil" w:sz="6" w:space="0" w:color="auto"/>
              <w:right w:val="single" w:sz="4" w:space="0" w:color="000000"/>
            </w:tcBorders>
            <w:shd w:val="clear" w:color="auto" w:fill="D2D2D2"/>
          </w:tcPr>
          <w:p>
            <w:pPr/>
          </w:p>
        </w:tc>
        <w:tc>
          <w:tcPr>
            <w:tcW w:w="1388" w:type="dxa"/>
            <w:gridSpan w:val="2"/>
            <w:vMerge/>
            <w:tcBorders>
              <w:left w:val="single" w:sz="4" w:space="0" w:color="000000"/>
              <w:bottom w:val="nil" w:sz="6" w:space="0" w:color="auto"/>
              <w:right w:val="single" w:sz="4" w:space="0" w:color="000000"/>
            </w:tcBorders>
            <w:shd w:val="clear" w:color="auto" w:fill="D2D2D2"/>
          </w:tcPr>
          <w:p>
            <w:pPr/>
          </w:p>
        </w:tc>
        <w:tc>
          <w:tcPr>
            <w:tcW w:w="723" w:type="dxa"/>
            <w:vMerge/>
            <w:tcBorders>
              <w:left w:val="single" w:sz="4" w:space="0" w:color="000000"/>
              <w:right w:val="single" w:sz="4" w:space="0" w:color="000000"/>
            </w:tcBorders>
            <w:shd w:val="clear" w:color="auto" w:fill="D2D2D2"/>
          </w:tcPr>
          <w:p>
            <w:pPr/>
          </w:p>
        </w:tc>
        <w:tc>
          <w:tcPr>
            <w:tcW w:w="913" w:type="dxa"/>
            <w:vMerge/>
            <w:tcBorders>
              <w:left w:val="single" w:sz="4" w:space="0" w:color="000000"/>
              <w:right w:val="single" w:sz="4" w:space="0" w:color="000000"/>
            </w:tcBorders>
            <w:shd w:val="clear" w:color="auto" w:fill="D2D2D2"/>
          </w:tcPr>
          <w:p>
            <w:pPr/>
          </w:p>
        </w:tc>
        <w:tc>
          <w:tcPr>
            <w:tcW w:w="845" w:type="dxa"/>
            <w:gridSpan w:val="2"/>
            <w:vMerge/>
            <w:tcBorders>
              <w:left w:val="single" w:sz="4" w:space="0" w:color="000000"/>
              <w:right w:val="single" w:sz="4" w:space="0" w:color="000000"/>
            </w:tcBorders>
            <w:shd w:val="clear" w:color="auto" w:fill="D2D2D2"/>
          </w:tcPr>
          <w:p>
            <w:pPr/>
          </w:p>
        </w:tc>
        <w:tc>
          <w:tcPr>
            <w:tcW w:w="832" w:type="dxa"/>
            <w:vMerge/>
            <w:tcBorders>
              <w:left w:val="single" w:sz="4" w:space="0" w:color="000000"/>
              <w:right w:val="single" w:sz="4" w:space="0" w:color="000000"/>
            </w:tcBorders>
            <w:shd w:val="clear" w:color="auto" w:fill="D2D2D2"/>
          </w:tcPr>
          <w:p>
            <w:pPr/>
          </w:p>
        </w:tc>
        <w:tc>
          <w:tcPr>
            <w:tcW w:w="902" w:type="dxa"/>
            <w:vMerge/>
            <w:tcBorders>
              <w:left w:val="single" w:sz="4" w:space="0" w:color="000000"/>
              <w:right w:val="single" w:sz="4" w:space="0" w:color="000000"/>
            </w:tcBorders>
            <w:shd w:val="clear" w:color="auto" w:fill="D2D2D2"/>
          </w:tcPr>
          <w:p>
            <w:pPr/>
          </w:p>
        </w:tc>
        <w:tc>
          <w:tcPr>
            <w:tcW w:w="13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296"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31" w:type="dxa"/>
            <w:gridSpan w:val="2"/>
            <w:vMerge w:val="restart"/>
            <w:tcBorders>
              <w:top w:val="nil" w:sz="6" w:space="0" w:color="auto"/>
              <w:left w:val="single" w:sz="4" w:space="0" w:color="000000"/>
              <w:right w:val="single" w:sz="4" w:space="0" w:color="000000"/>
            </w:tcBorders>
            <w:shd w:val="clear" w:color="auto" w:fill="D2D2D2"/>
          </w:tcPr>
          <w:p>
            <w:pPr/>
          </w:p>
        </w:tc>
        <w:tc>
          <w:tcPr>
            <w:tcW w:w="1388" w:type="dxa"/>
            <w:gridSpan w:val="2"/>
            <w:vMerge w:val="restart"/>
            <w:tcBorders>
              <w:top w:val="nil" w:sz="6" w:space="0" w:color="auto"/>
              <w:left w:val="single" w:sz="4" w:space="0" w:color="000000"/>
              <w:right w:val="single" w:sz="4" w:space="0" w:color="000000"/>
            </w:tcBorders>
            <w:shd w:val="clear" w:color="auto" w:fill="D2D2D2"/>
          </w:tcPr>
          <w:p>
            <w:pPr/>
          </w:p>
        </w:tc>
        <w:tc>
          <w:tcPr>
            <w:tcW w:w="723" w:type="dxa"/>
            <w:vMerge/>
            <w:tcBorders>
              <w:left w:val="single" w:sz="4" w:space="0" w:color="000000"/>
              <w:bottom w:val="nil" w:sz="6" w:space="0" w:color="auto"/>
              <w:right w:val="single" w:sz="4" w:space="0" w:color="000000"/>
            </w:tcBorders>
            <w:shd w:val="clear" w:color="auto" w:fill="D2D2D2"/>
          </w:tcPr>
          <w:p>
            <w:pPr/>
          </w:p>
        </w:tc>
        <w:tc>
          <w:tcPr>
            <w:tcW w:w="913" w:type="dxa"/>
            <w:vMerge/>
            <w:tcBorders>
              <w:left w:val="single" w:sz="4" w:space="0" w:color="000000"/>
              <w:bottom w:val="nil" w:sz="6" w:space="0" w:color="auto"/>
              <w:right w:val="single" w:sz="4" w:space="0" w:color="000000"/>
            </w:tcBorders>
            <w:shd w:val="clear" w:color="auto" w:fill="D2D2D2"/>
          </w:tcPr>
          <w:p>
            <w:pPr/>
          </w:p>
        </w:tc>
        <w:tc>
          <w:tcPr>
            <w:tcW w:w="845" w:type="dxa"/>
            <w:gridSpan w:val="2"/>
            <w:vMerge/>
            <w:tcBorders>
              <w:left w:val="single" w:sz="4" w:space="0" w:color="000000"/>
              <w:right w:val="single" w:sz="4" w:space="0" w:color="000000"/>
            </w:tcBorders>
            <w:shd w:val="clear" w:color="auto" w:fill="D2D2D2"/>
          </w:tcPr>
          <w:p>
            <w:pPr/>
          </w:p>
        </w:tc>
        <w:tc>
          <w:tcPr>
            <w:tcW w:w="832" w:type="dxa"/>
            <w:vMerge/>
            <w:tcBorders>
              <w:left w:val="single" w:sz="4" w:space="0" w:color="000000"/>
              <w:right w:val="single" w:sz="4" w:space="0" w:color="000000"/>
            </w:tcBorders>
            <w:shd w:val="clear" w:color="auto" w:fill="D2D2D2"/>
          </w:tcPr>
          <w:p>
            <w:pPr/>
          </w:p>
        </w:tc>
        <w:tc>
          <w:tcPr>
            <w:tcW w:w="902" w:type="dxa"/>
            <w:vMerge/>
            <w:tcBorders>
              <w:left w:val="single" w:sz="4" w:space="0" w:color="000000"/>
              <w:right w:val="single" w:sz="4" w:space="0" w:color="000000"/>
            </w:tcBorders>
            <w:shd w:val="clear" w:color="auto" w:fill="D2D2D2"/>
          </w:tcPr>
          <w:p>
            <w:pPr/>
          </w:p>
        </w:tc>
        <w:tc>
          <w:tcPr>
            <w:tcW w:w="1325" w:type="dxa"/>
            <w:gridSpan w:val="2"/>
            <w:vMerge/>
            <w:tcBorders>
              <w:left w:val="single" w:sz="4" w:space="0" w:color="000000"/>
              <w:right w:val="single" w:sz="4" w:space="0" w:color="000000"/>
            </w:tcBorders>
            <w:shd w:val="clear" w:color="auto" w:fill="D2D2D2"/>
          </w:tcPr>
          <w:p>
            <w:pPr/>
          </w:p>
        </w:tc>
        <w:tc>
          <w:tcPr>
            <w:tcW w:w="1325" w:type="dxa"/>
            <w:gridSpan w:val="2"/>
            <w:vMerge/>
            <w:tcBorders>
              <w:left w:val="single" w:sz="4" w:space="0" w:color="000000"/>
              <w:right w:val="single" w:sz="4" w:space="0" w:color="000000"/>
            </w:tcBorders>
            <w:shd w:val="clear" w:color="auto" w:fill="D2D2D2"/>
          </w:tcPr>
          <w:p>
            <w:pPr/>
          </w:p>
        </w:tc>
      </w:tr>
      <w:tr>
        <w:trPr>
          <w:trHeight w:val="161" w:hRule="exact"/>
        </w:trPr>
        <w:tc>
          <w:tcPr>
            <w:tcW w:w="1431" w:type="dxa"/>
            <w:gridSpan w:val="2"/>
            <w:vMerge/>
            <w:tcBorders>
              <w:left w:val="single" w:sz="4" w:space="0" w:color="000000"/>
              <w:bottom w:val="single" w:sz="4" w:space="0" w:color="000000"/>
              <w:right w:val="single" w:sz="4" w:space="0" w:color="000000"/>
            </w:tcBorders>
            <w:shd w:val="clear" w:color="auto" w:fill="D2D2D2"/>
          </w:tcPr>
          <w:p>
            <w:pPr/>
          </w:p>
        </w:tc>
        <w:tc>
          <w:tcPr>
            <w:tcW w:w="1388" w:type="dxa"/>
            <w:gridSpan w:val="2"/>
            <w:vMerge/>
            <w:tcBorders>
              <w:left w:val="single" w:sz="4" w:space="0" w:color="000000"/>
              <w:bottom w:val="single" w:sz="4" w:space="0" w:color="000000"/>
              <w:right w:val="single" w:sz="4" w:space="0" w:color="000000"/>
            </w:tcBorders>
            <w:shd w:val="clear" w:color="auto" w:fill="D2D2D2"/>
          </w:tcPr>
          <w:p>
            <w:pPr/>
          </w:p>
        </w:tc>
        <w:tc>
          <w:tcPr>
            <w:tcW w:w="723" w:type="dxa"/>
            <w:tcBorders>
              <w:top w:val="nil" w:sz="6" w:space="0" w:color="auto"/>
              <w:left w:val="single" w:sz="4" w:space="0" w:color="000000"/>
              <w:bottom w:val="single" w:sz="4" w:space="0" w:color="000000"/>
              <w:right w:val="single" w:sz="4" w:space="0" w:color="000000"/>
            </w:tcBorders>
            <w:shd w:val="clear" w:color="auto" w:fill="D2D2D2"/>
          </w:tcPr>
          <w:p>
            <w:pPr/>
          </w:p>
        </w:tc>
        <w:tc>
          <w:tcPr>
            <w:tcW w:w="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gridSpan w:val="2"/>
            <w:vMerge/>
            <w:tcBorders>
              <w:left w:val="single" w:sz="4" w:space="0" w:color="000000"/>
              <w:bottom w:val="single" w:sz="4" w:space="0" w:color="000000"/>
              <w:right w:val="single" w:sz="4" w:space="0" w:color="000000"/>
            </w:tcBorders>
            <w:shd w:val="clear" w:color="auto" w:fill="D2D2D2"/>
          </w:tcPr>
          <w:p>
            <w:pPr/>
          </w:p>
        </w:tc>
        <w:tc>
          <w:tcPr>
            <w:tcW w:w="832" w:type="dxa"/>
            <w:vMerge/>
            <w:tcBorders>
              <w:left w:val="single" w:sz="4" w:space="0" w:color="000000"/>
              <w:bottom w:val="single" w:sz="4" w:space="0" w:color="000000"/>
              <w:right w:val="single" w:sz="4" w:space="0" w:color="000000"/>
            </w:tcBorders>
            <w:shd w:val="clear" w:color="auto" w:fill="D2D2D2"/>
          </w:tcPr>
          <w:p>
            <w:pPr/>
          </w:p>
        </w:tc>
        <w:tc>
          <w:tcPr>
            <w:tcW w:w="902" w:type="dxa"/>
            <w:vMerge/>
            <w:tcBorders>
              <w:left w:val="single" w:sz="4" w:space="0" w:color="000000"/>
              <w:bottom w:val="single" w:sz="4" w:space="0" w:color="000000"/>
              <w:right w:val="single" w:sz="4" w:space="0" w:color="000000"/>
            </w:tcBorders>
            <w:shd w:val="clear" w:color="auto" w:fill="D2D2D2"/>
          </w:tcPr>
          <w:p>
            <w:pPr/>
          </w:p>
        </w:tc>
        <w:tc>
          <w:tcPr>
            <w:tcW w:w="1325" w:type="dxa"/>
            <w:gridSpan w:val="2"/>
            <w:vMerge/>
            <w:tcBorders>
              <w:left w:val="single" w:sz="4" w:space="0" w:color="000000"/>
              <w:bottom w:val="single" w:sz="4" w:space="0" w:color="000000"/>
              <w:right w:val="single" w:sz="4" w:space="0" w:color="000000"/>
            </w:tcBorders>
            <w:shd w:val="clear" w:color="auto" w:fill="D2D2D2"/>
          </w:tcPr>
          <w:p>
            <w:pPr/>
          </w:p>
        </w:tc>
        <w:tc>
          <w:tcPr>
            <w:tcW w:w="1325" w:type="dxa"/>
            <w:gridSpan w:val="2"/>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3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1" w:right="148"/>
              <w:jc w:val="left"/>
              <w:rPr>
                <w:rFonts w:ascii="宋体" w:hAnsi="宋体" w:cs="宋体" w:eastAsia="宋体" w:hint="default"/>
                <w:sz w:val="18"/>
                <w:szCs w:val="18"/>
              </w:rPr>
            </w:pPr>
            <w:r>
              <w:rPr>
                <w:rFonts w:ascii="宋体" w:hAnsi="宋体" w:cs="宋体" w:eastAsia="宋体" w:hint="default"/>
                <w:sz w:val="18"/>
                <w:szCs w:val="18"/>
              </w:rPr>
              <w:t>北京久其科技投 资有限公司</w:t>
            </w:r>
          </w:p>
        </w:tc>
        <w:tc>
          <w:tcPr>
            <w:tcW w:w="13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7" w:right="-20"/>
              <w:jc w:val="left"/>
              <w:rPr>
                <w:rFonts w:ascii="Times New Roman" w:hAnsi="Times New Roman" w:cs="Times New Roman" w:eastAsia="Times New Roman" w:hint="default"/>
                <w:sz w:val="18"/>
                <w:szCs w:val="18"/>
              </w:rPr>
            </w:pPr>
            <w:r>
              <w:rPr>
                <w:rFonts w:ascii="Times New Roman"/>
                <w:sz w:val="18"/>
              </w:rPr>
              <w:t>24.17%</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0" w:right="0"/>
              <w:jc w:val="left"/>
              <w:rPr>
                <w:rFonts w:ascii="Times New Roman" w:hAnsi="Times New Roman" w:cs="Times New Roman" w:eastAsia="Times New Roman" w:hint="default"/>
                <w:sz w:val="18"/>
                <w:szCs w:val="18"/>
              </w:rPr>
            </w:pPr>
            <w:r>
              <w:rPr>
                <w:rFonts w:ascii="Times New Roman"/>
                <w:sz w:val="18"/>
              </w:rPr>
              <w:t>52,348,699</w:t>
            </w:r>
          </w:p>
        </w:tc>
        <w:tc>
          <w:tcPr>
            <w:tcW w:w="8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7,166,527</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13"/>
              <w:jc w:val="left"/>
              <w:rPr>
                <w:rFonts w:ascii="Times New Roman" w:hAnsi="Times New Roman" w:cs="Times New Roman" w:eastAsia="Times New Roman" w:hint="default"/>
                <w:sz w:val="18"/>
                <w:szCs w:val="18"/>
              </w:rPr>
            </w:pPr>
            <w:r>
              <w:rPr>
                <w:rFonts w:ascii="Times New Roman"/>
                <w:sz w:val="18"/>
              </w:rPr>
              <w:t>31,548,699</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20,800,000</w:t>
            </w:r>
          </w:p>
        </w:tc>
        <w:tc>
          <w:tcPr>
            <w:tcW w:w="1325" w:type="dxa"/>
            <w:gridSpan w:val="2"/>
            <w:tcBorders>
              <w:top w:val="single" w:sz="45" w:space="0" w:color="D2D2D2"/>
              <w:left w:val="single" w:sz="4" w:space="0" w:color="000000"/>
              <w:bottom w:val="single" w:sz="4" w:space="0" w:color="000000"/>
              <w:right w:val="single" w:sz="4" w:space="0" w:color="000000"/>
            </w:tcBorders>
          </w:tcPr>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25" w:type="dxa"/>
            <w:gridSpan w:val="2"/>
            <w:tcBorders>
              <w:top w:val="single" w:sz="45" w:space="0" w:color="D2D2D2"/>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481" w:right="0"/>
              <w:jc w:val="left"/>
              <w:rPr>
                <w:rFonts w:ascii="Times New Roman" w:hAnsi="Times New Roman" w:cs="Times New Roman" w:eastAsia="Times New Roman" w:hint="default"/>
                <w:sz w:val="18"/>
                <w:szCs w:val="18"/>
              </w:rPr>
            </w:pPr>
            <w:r>
              <w:rPr>
                <w:rFonts w:ascii="Times New Roman"/>
                <w:sz w:val="18"/>
              </w:rPr>
              <w:t>23,300,000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21" w:type="dxa"/>
        <w:tblLayout w:type="fixed"/>
        <w:tblCellMar>
          <w:top w:w="0" w:type="dxa"/>
          <w:left w:w="0" w:type="dxa"/>
          <w:bottom w:w="0" w:type="dxa"/>
          <w:right w:w="0" w:type="dxa"/>
        </w:tblCellMar>
        <w:tblLook w:val="01E0"/>
      </w:tblPr>
      <w:tblGrid>
        <w:gridCol w:w="1443"/>
        <w:gridCol w:w="1388"/>
        <w:gridCol w:w="764"/>
        <w:gridCol w:w="872"/>
        <w:gridCol w:w="845"/>
        <w:gridCol w:w="866"/>
        <w:gridCol w:w="867"/>
        <w:gridCol w:w="1325"/>
        <w:gridCol w:w="1325"/>
      </w:tblGrid>
      <w:tr>
        <w:trPr>
          <w:trHeight w:val="402" w:hRule="exact"/>
        </w:trPr>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董泰湘</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15.29%</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33,110,798</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33,110,798</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13,340,000</w:t>
            </w:r>
          </w:p>
        </w:tc>
      </w:tr>
      <w:tr>
        <w:trPr>
          <w:trHeight w:val="402" w:hRule="exact"/>
        </w:trPr>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赵福君</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11.04%</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23,917,123</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300,000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23,917,123</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王新</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4.24%</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9,172,890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9,172,890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9,172,890</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栗军</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3.25%</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7,033,030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7,033,030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7,033,030</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李勇</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3.19%</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6,919,899</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6,919,899</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6,919,899</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欧阳曜</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2.53%</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5,471,785</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-1,269,100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5,303,839</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167,946</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8"/>
              <w:jc w:val="both"/>
              <w:rPr>
                <w:rFonts w:ascii="宋体" w:hAnsi="宋体" w:cs="宋体" w:eastAsia="宋体" w:hint="default"/>
                <w:sz w:val="18"/>
                <w:szCs w:val="18"/>
              </w:rPr>
            </w:pPr>
            <w:r>
              <w:rPr>
                <w:rFonts w:ascii="宋体" w:hAnsi="宋体" w:cs="宋体" w:eastAsia="宋体" w:hint="default"/>
                <w:sz w:val="18"/>
                <w:szCs w:val="18"/>
              </w:rPr>
              <w:t>招商银行股份有 限公司－富国低 碳环保混合型证 券投资基金</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1.54%</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3,335,960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3,335,960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3,335,960</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48"/>
              <w:jc w:val="both"/>
              <w:rPr>
                <w:rFonts w:ascii="宋体" w:hAnsi="宋体" w:cs="宋体" w:eastAsia="宋体" w:hint="default"/>
                <w:sz w:val="18"/>
                <w:szCs w:val="18"/>
              </w:rPr>
            </w:pPr>
            <w:r>
              <w:rPr>
                <w:rFonts w:ascii="宋体" w:hAnsi="宋体" w:cs="宋体" w:eastAsia="宋体" w:hint="default"/>
                <w:sz w:val="18"/>
                <w:szCs w:val="18"/>
              </w:rPr>
              <w:t>财通证券资管－ 兴业银行－财通 证券资管久其财 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号集合资产 管理计划</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0.95%</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2,061,369</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2,061,369</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2,061,369</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8"/>
              <w:jc w:val="both"/>
              <w:rPr>
                <w:rFonts w:ascii="宋体" w:hAnsi="宋体" w:cs="宋体" w:eastAsia="宋体" w:hint="default"/>
                <w:sz w:val="18"/>
                <w:szCs w:val="18"/>
              </w:rPr>
            </w:pPr>
            <w:r>
              <w:rPr>
                <w:rFonts w:ascii="宋体" w:hAnsi="宋体" w:cs="宋体" w:eastAsia="宋体" w:hint="default"/>
                <w:sz w:val="18"/>
                <w:szCs w:val="18"/>
              </w:rPr>
              <w:t>中国工商银行股 份有限公司－富 国新兴产业股票 型证券投资基金</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0.79%</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1,709,150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1,709,150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1,709,150</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17"/>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864" w:type="dxa"/>
            <w:gridSpan w:val="7"/>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2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864" w:type="dxa"/>
            <w:gridSpan w:val="7"/>
            <w:tcBorders>
              <w:top w:val="single" w:sz="4" w:space="0" w:color="000000"/>
              <w:left w:val="single" w:sz="13" w:space="0" w:color="D2D2D2"/>
              <w:bottom w:val="single" w:sz="4" w:space="0" w:color="000000"/>
              <w:right w:val="single" w:sz="4" w:space="0" w:color="000000"/>
            </w:tcBorders>
          </w:tcPr>
          <w:p>
            <w:pPr>
              <w:pStyle w:val="TableParagraph"/>
              <w:spacing w:line="319" w:lineRule="auto" w:before="51"/>
              <w:ind w:left="10" w:right="169"/>
              <w:jc w:val="left"/>
              <w:rPr>
                <w:rFonts w:ascii="宋体" w:hAnsi="宋体" w:cs="宋体" w:eastAsia="宋体" w:hint="default"/>
                <w:sz w:val="18"/>
                <w:szCs w:val="18"/>
              </w:rPr>
            </w:pPr>
            <w:r>
              <w:rPr>
                <w:rFonts w:ascii="宋体" w:hAnsi="宋体" w:cs="宋体" w:eastAsia="宋体" w:hint="default"/>
                <w:sz w:val="18"/>
                <w:szCs w:val="18"/>
              </w:rPr>
              <w:t>董泰湘与赵福君系夫妻关系，且二人与股东欧阳曜均为北京久其科技投资有限公司股 东，三人分别持有北京久其科技投资有限公司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的股份。</w:t>
            </w:r>
          </w:p>
        </w:tc>
      </w:tr>
      <w:tr>
        <w:trPr>
          <w:trHeight w:val="402" w:hRule="exact"/>
        </w:trPr>
        <w:tc>
          <w:tcPr>
            <w:tcW w:w="969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6" w:hRule="exact"/>
        </w:trPr>
        <w:tc>
          <w:tcPr>
            <w:tcW w:w="283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4214"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1" w:hRule="exact"/>
        </w:trPr>
        <w:tc>
          <w:tcPr>
            <w:tcW w:w="283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214"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751"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5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31" w:type="dxa"/>
            <w:gridSpan w:val="2"/>
            <w:vMerge/>
            <w:tcBorders>
              <w:left w:val="single" w:sz="4" w:space="0" w:color="000000"/>
              <w:bottom w:val="nil" w:sz="6" w:space="0" w:color="auto"/>
              <w:right w:val="single" w:sz="4" w:space="0" w:color="000000"/>
            </w:tcBorders>
            <w:shd w:val="clear" w:color="auto" w:fill="D2D2D2"/>
          </w:tcPr>
          <w:p>
            <w:pPr/>
          </w:p>
        </w:tc>
        <w:tc>
          <w:tcPr>
            <w:tcW w:w="4214" w:type="dxa"/>
            <w:gridSpan w:val="5"/>
            <w:vMerge/>
            <w:tcBorders>
              <w:left w:val="single" w:sz="4" w:space="0" w:color="000000"/>
              <w:bottom w:val="nil" w:sz="6" w:space="0" w:color="auto"/>
              <w:right w:val="single" w:sz="4" w:space="0" w:color="000000"/>
            </w:tcBorders>
            <w:shd w:val="clear" w:color="auto" w:fill="D2D2D2"/>
          </w:tcPr>
          <w:p>
            <w:pPr/>
          </w:p>
        </w:tc>
        <w:tc>
          <w:tcPr>
            <w:tcW w:w="13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96"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3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4214"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25" w:type="dxa"/>
            <w:vMerge/>
            <w:tcBorders>
              <w:left w:val="single" w:sz="4" w:space="0" w:color="000000"/>
              <w:bottom w:val="single" w:sz="4" w:space="0" w:color="000000"/>
              <w:right w:val="single" w:sz="4" w:space="0" w:color="000000"/>
            </w:tcBorders>
            <w:shd w:val="clear" w:color="auto" w:fill="D2D2D2"/>
          </w:tcPr>
          <w:p>
            <w:pPr/>
          </w:p>
        </w:tc>
        <w:tc>
          <w:tcPr>
            <w:tcW w:w="132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北京久其科技投资有限公司</w:t>
            </w:r>
          </w:p>
        </w:tc>
        <w:tc>
          <w:tcPr>
            <w:tcW w:w="421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20,800,000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20,800,000</w:t>
            </w:r>
          </w:p>
        </w:tc>
      </w:tr>
      <w:tr>
        <w:trPr>
          <w:trHeight w:val="714" w:hRule="exact"/>
        </w:trPr>
        <w:tc>
          <w:tcPr>
            <w:tcW w:w="283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招商银行股份有限公司－富国低碳 环保混合型证券投资基金</w:t>
            </w:r>
          </w:p>
        </w:tc>
        <w:tc>
          <w:tcPr>
            <w:tcW w:w="421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3,335,960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3,335,960</w:t>
            </w:r>
          </w:p>
        </w:tc>
      </w:tr>
      <w:tr>
        <w:trPr>
          <w:trHeight w:val="1026" w:hRule="exact"/>
        </w:trPr>
        <w:tc>
          <w:tcPr>
            <w:tcW w:w="283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财通证券资管－兴业银行－财通证 券资管久其财富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号集合资产管理 计划</w:t>
            </w:r>
          </w:p>
        </w:tc>
        <w:tc>
          <w:tcPr>
            <w:tcW w:w="421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2,061,369</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2,061,369</w:t>
            </w:r>
          </w:p>
        </w:tc>
      </w:tr>
      <w:tr>
        <w:trPr>
          <w:trHeight w:val="714" w:hRule="exact"/>
        </w:trPr>
        <w:tc>
          <w:tcPr>
            <w:tcW w:w="283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中国工商银行股份有限公司－富国 新兴产业股票型证券投资基金</w:t>
            </w:r>
          </w:p>
        </w:tc>
        <w:tc>
          <w:tcPr>
            <w:tcW w:w="421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1,709,150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1,709,150</w:t>
            </w:r>
          </w:p>
        </w:tc>
      </w:tr>
      <w:tr>
        <w:trPr>
          <w:trHeight w:val="714" w:hRule="exact"/>
        </w:trPr>
        <w:tc>
          <w:tcPr>
            <w:tcW w:w="283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中国工商银行－广发聚丰混合型证 券投资基金</w:t>
            </w:r>
          </w:p>
        </w:tc>
        <w:tc>
          <w:tcPr>
            <w:tcW w:w="421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1,286,719</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1,286,719</w:t>
            </w:r>
          </w:p>
        </w:tc>
      </w:tr>
      <w:tr>
        <w:trPr>
          <w:trHeight w:val="674" w:hRule="exact"/>
        </w:trPr>
        <w:tc>
          <w:tcPr>
            <w:tcW w:w="283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中国建设银行股份有限公司－易方 达创新驱动灵活配置混合型证券投</w:t>
            </w:r>
          </w:p>
        </w:tc>
        <w:tc>
          <w:tcPr>
            <w:tcW w:w="421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1,163,428</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1,163,428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21" w:type="dxa"/>
        <w:tblLayout w:type="fixed"/>
        <w:tblCellMar>
          <w:top w:w="0" w:type="dxa"/>
          <w:left w:w="0" w:type="dxa"/>
          <w:bottom w:w="0" w:type="dxa"/>
          <w:right w:w="0" w:type="dxa"/>
        </w:tblCellMar>
        <w:tblLook w:val="01E0"/>
      </w:tblPr>
      <w:tblGrid>
        <w:gridCol w:w="2831"/>
        <w:gridCol w:w="4214"/>
        <w:gridCol w:w="1325"/>
        <w:gridCol w:w="1325"/>
      </w:tblGrid>
      <w:tr>
        <w:trPr>
          <w:trHeight w:val="362" w:hRule="exact"/>
        </w:trPr>
        <w:tc>
          <w:tcPr>
            <w:tcW w:w="2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资基金</w:t>
            </w:r>
          </w:p>
        </w:tc>
        <w:tc>
          <w:tcPr>
            <w:tcW w:w="4214"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大成基金－招商证券－大成－招商</w:t>
            </w:r>
          </w:p>
          <w:p>
            <w:pPr>
              <w:pStyle w:val="TableParagraph"/>
              <w:spacing w:line="302" w:lineRule="auto" w:before="75"/>
              <w:ind w:left="22" w:right="96"/>
              <w:jc w:val="left"/>
              <w:rPr>
                <w:rFonts w:ascii="宋体" w:hAnsi="宋体" w:cs="宋体" w:eastAsia="宋体" w:hint="default"/>
                <w:sz w:val="18"/>
                <w:szCs w:val="18"/>
              </w:rPr>
            </w:pPr>
            <w:r>
              <w:rPr>
                <w:rFonts w:ascii="宋体" w:hAnsi="宋体" w:cs="宋体" w:eastAsia="宋体" w:hint="default"/>
                <w:sz w:val="18"/>
                <w:szCs w:val="18"/>
              </w:rPr>
              <w:t>－景宏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期灵活配置特定多个客户 资产管理计划</w:t>
            </w:r>
          </w:p>
        </w:tc>
        <w:tc>
          <w:tcPr>
            <w:tcW w:w="4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1,092,573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1,092,573</w:t>
            </w:r>
          </w:p>
        </w:tc>
      </w:tr>
      <w:tr>
        <w:trPr>
          <w:trHeight w:val="714" w:hRule="exact"/>
        </w:trPr>
        <w:tc>
          <w:tcPr>
            <w:tcW w:w="28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中国工商银行股份有限公司－广发 行业领先混合型证券投资基金</w:t>
            </w:r>
          </w:p>
        </w:tc>
        <w:tc>
          <w:tcPr>
            <w:tcW w:w="4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984,850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984,850</w:t>
            </w:r>
          </w:p>
        </w:tc>
      </w:tr>
      <w:tr>
        <w:trPr>
          <w:trHeight w:val="714" w:hRule="exact"/>
        </w:trPr>
        <w:tc>
          <w:tcPr>
            <w:tcW w:w="28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中国建设银行股份有限公司－兴全 社会责任混合型证券投资基金</w:t>
            </w:r>
          </w:p>
        </w:tc>
        <w:tc>
          <w:tcPr>
            <w:tcW w:w="4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801,142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801,142</w:t>
            </w:r>
          </w:p>
        </w:tc>
      </w:tr>
      <w:tr>
        <w:trPr>
          <w:trHeight w:val="1026" w:hRule="exact"/>
        </w:trPr>
        <w:tc>
          <w:tcPr>
            <w:tcW w:w="28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中国工商银行股份有限公司－广发 改革先锋灵活配置混合型证券投资 基金</w:t>
            </w:r>
          </w:p>
        </w:tc>
        <w:tc>
          <w:tcPr>
            <w:tcW w:w="4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773,113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773,113</w:t>
            </w:r>
          </w:p>
        </w:tc>
      </w:tr>
      <w:tr>
        <w:trPr>
          <w:trHeight w:val="1650" w:hRule="exact"/>
        </w:trPr>
        <w:tc>
          <w:tcPr>
            <w:tcW w:w="2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名无限售流通股股东之间，以</w:t>
            </w:r>
          </w:p>
          <w:p>
            <w:pPr>
              <w:pStyle w:val="TableParagraph"/>
              <w:spacing w:line="309" w:lineRule="auto" w:before="61"/>
              <w:ind w:left="22" w:right="20"/>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864" w:type="dxa"/>
            <w:gridSpan w:val="3"/>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35"/>
              <w:jc w:val="both"/>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名股东中，董泰湘与赵福君系夫妻关系，且二人与股东欧阳曜均为北京久其 科技投资有限公司股东，三人分别持有北京久其科技投资有限公司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的 股份； 此外，未知公司其他前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w:t>
            </w:r>
          </w:p>
          <w:p>
            <w:pPr>
              <w:pStyle w:val="TableParagraph"/>
              <w:spacing w:line="302" w:lineRule="auto" w:before="13"/>
              <w:ind w:left="22" w:right="78"/>
              <w:jc w:val="both"/>
              <w:rPr>
                <w:rFonts w:ascii="宋体" w:hAnsi="宋体" w:cs="宋体" w:eastAsia="宋体" w:hint="default"/>
                <w:sz w:val="18"/>
                <w:szCs w:val="18"/>
              </w:rPr>
            </w:pPr>
            <w:r>
              <w:rPr>
                <w:rFonts w:ascii="宋体" w:hAnsi="宋体" w:cs="宋体" w:eastAsia="宋体" w:hint="default"/>
                <w:sz w:val="18"/>
                <w:szCs w:val="18"/>
              </w:rPr>
              <w:t>股股东和前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名股东之间，是否存在关联关系，也未知他们是否属于《上市公司收购 管理办法》中规定的一致行动人。</w:t>
            </w:r>
          </w:p>
        </w:tc>
      </w:tr>
      <w:tr>
        <w:trPr>
          <w:trHeight w:val="714" w:hRule="exact"/>
        </w:trPr>
        <w:tc>
          <w:tcPr>
            <w:tcW w:w="2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名普通股股东参与融资融券业 </w:t>
            </w:r>
            <w:r>
              <w:rPr>
                <w:rFonts w:ascii="宋体" w:hAnsi="宋体" w:cs="宋体" w:eastAsia="宋体" w:hint="default"/>
                <w:spacing w:val="-7"/>
                <w:sz w:val="18"/>
                <w:szCs w:val="18"/>
              </w:rPr>
              <w:t>务情况说明（如有）（参见注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86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54"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3"/>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公司控股股东情况" w:id="111"/>
      <w:bookmarkEnd w:id="111"/>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593"/>
        <w:jc w:val="left"/>
      </w:pPr>
      <w:r>
        <w:rPr/>
        <w:t>控股股东性质：自然人控股 控股股东类型：法人</w:t>
      </w:r>
    </w:p>
    <w:tbl>
      <w:tblPr>
        <w:tblW w:w="0" w:type="auto"/>
        <w:jc w:val="left"/>
        <w:tblInd w:w="149" w:type="dxa"/>
        <w:tblLayout w:type="fixed"/>
        <w:tblCellMar>
          <w:top w:w="0" w:type="dxa"/>
          <w:left w:w="0" w:type="dxa"/>
          <w:bottom w:w="0" w:type="dxa"/>
          <w:right w:w="0" w:type="dxa"/>
        </w:tblCellMar>
        <w:tblLook w:val="01E0"/>
      </w:tblPr>
      <w:tblGrid>
        <w:gridCol w:w="1997"/>
        <w:gridCol w:w="1829"/>
        <w:gridCol w:w="1894"/>
        <w:gridCol w:w="1935"/>
        <w:gridCol w:w="1914"/>
      </w:tblGrid>
      <w:tr>
        <w:trPr>
          <w:trHeight w:val="714"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3"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818" w:right="75" w:hanging="74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82"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4"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北京久其科技投资有限 公司</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董泰湘</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63361327-X</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8"/>
              <w:jc w:val="left"/>
              <w:rPr>
                <w:rFonts w:ascii="宋体" w:hAnsi="宋体" w:cs="宋体" w:eastAsia="宋体" w:hint="default"/>
                <w:sz w:val="18"/>
                <w:szCs w:val="18"/>
              </w:rPr>
            </w:pPr>
            <w:r>
              <w:rPr>
                <w:rFonts w:ascii="宋体" w:hAnsi="宋体" w:cs="宋体" w:eastAsia="宋体" w:hint="default"/>
                <w:sz w:val="18"/>
                <w:szCs w:val="18"/>
              </w:rPr>
              <w:t>围绕高科技领域开展投 资及投资管理相关工作</w:t>
            </w:r>
          </w:p>
        </w:tc>
      </w:tr>
      <w:tr>
        <w:trPr>
          <w:trHeight w:val="1026"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2"/>
              <w:jc w:val="both"/>
              <w:rPr>
                <w:rFonts w:ascii="宋体" w:hAnsi="宋体" w:cs="宋体" w:eastAsia="宋体" w:hint="default"/>
                <w:sz w:val="18"/>
                <w:szCs w:val="18"/>
              </w:rPr>
            </w:pPr>
            <w:r>
              <w:rPr>
                <w:rFonts w:ascii="宋体" w:hAnsi="宋体" w:cs="宋体" w:eastAsia="宋体" w:hint="default"/>
                <w:sz w:val="18"/>
                <w:szCs w:val="18"/>
              </w:rPr>
              <w:t>控股股东报告期内控股 和参股的其他境内外上 市公司的股权情况</w:t>
            </w:r>
          </w:p>
        </w:tc>
        <w:tc>
          <w:tcPr>
            <w:tcW w:w="75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left="154" w:right="0"/>
        <w:jc w:val="left"/>
      </w:pPr>
      <w:r>
        <w:rPr/>
        <w:t>控股股东报告期内变更</w:t>
      </w:r>
    </w:p>
    <w:p>
      <w:pPr>
        <w:pStyle w:val="BodyText"/>
        <w:spacing w:line="338" w:lineRule="auto" w:before="117"/>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2"/>
        <w:rPr>
          <w:rFonts w:ascii="宋体" w:hAnsi="宋体" w:cs="宋体" w:eastAsia="宋体" w:hint="default"/>
          <w:sz w:val="21"/>
          <w:szCs w:val="21"/>
        </w:rPr>
      </w:pPr>
    </w:p>
    <w:p>
      <w:pPr>
        <w:pStyle w:val="Heading3"/>
        <w:spacing w:line="240" w:lineRule="auto"/>
        <w:ind w:left="153" w:right="0"/>
        <w:jc w:val="left"/>
        <w:rPr>
          <w:b w:val="0"/>
          <w:bCs w:val="0"/>
        </w:rPr>
      </w:pPr>
      <w:bookmarkStart w:name="3、公司实际控制人情况" w:id="112"/>
      <w:bookmarkEnd w:id="112"/>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413"/>
        <w:jc w:val="left"/>
      </w:pPr>
      <w:r>
        <w:rPr/>
        <w:t>实际控制人性质：境内自然人 实际控制人类型：自然人</w:t>
      </w:r>
    </w:p>
    <w:p>
      <w:pPr>
        <w:spacing w:after="0" w:line="357"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pStyle w:val="BodyText"/>
        <w:spacing w:line="240" w:lineRule="auto" w:before="44"/>
        <w:ind w:left="0" w:right="1141"/>
        <w:jc w:val="right"/>
      </w:pPr>
      <w:r>
        <w:rPr/>
        <w:pict>
          <v:shape style="position:absolute;margin-left:56.459999pt;margin-top:-107.968292pt;width:479.2pt;height:288.2pt;mso-position-horizontal-relative:page;mso-position-vertical-relative:paragraph;z-index:19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78"/>
                    <w:gridCol w:w="2744"/>
                    <w:gridCol w:w="3848"/>
                  </w:tblGrid>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53"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7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董泰湘</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赵福君</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834"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59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、董泰湘女士，</w:t>
                        </w:r>
                        <w:r>
                          <w:rPr>
                            <w:rFonts w:ascii="Times New Roman" w:hAnsi="Times New Roman" w:cs="Times New Roman" w:eastAsia="Times New Roman" w:hint="default"/>
                            <w:sz w:val="18"/>
                            <w:szCs w:val="18"/>
                          </w:rPr>
                          <w:t>1964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月出生，</w:t>
                        </w:r>
                        <w:r>
                          <w:rPr>
                            <w:rFonts w:ascii="Times New Roman" w:hAnsi="Times New Roman" w:cs="Times New Roman" w:eastAsia="Times New Roman" w:hint="default"/>
                            <w:sz w:val="18"/>
                            <w:szCs w:val="18"/>
                          </w:rPr>
                          <w:t>1989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月毕业于哈尔滨船舶工程学院计算机 系，获硕士学位。历任北京船舶工业管理干部学院讲师、太平洋软件（中国）有限 公司技术部经理、北京久其软件股份有限公司董事长。现任北京久其科技投资有限 公司、北京久其智通数据科技有限公司、北京久其移动商务科技有限公司执行董事 </w:t>
                        </w:r>
                        <w:r>
                          <w:rPr>
                            <w:rFonts w:ascii="宋体" w:hAnsi="宋体" w:cs="宋体" w:eastAsia="宋体" w:hint="default"/>
                            <w:spacing w:val="-2"/>
                            <w:sz w:val="18"/>
                            <w:szCs w:val="18"/>
                          </w:rPr>
                          <w:t>北京久其政务软件股份有限公司、深圳市前海方成微电子有限公司董事。</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、赵福君</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先生，</w:t>
                        </w:r>
                        <w:r>
                          <w:rPr>
                            <w:rFonts w:ascii="Times New Roman" w:hAnsi="Times New Roman" w:cs="Times New Roman" w:eastAsia="Times New Roman" w:hint="default"/>
                            <w:sz w:val="18"/>
                            <w:szCs w:val="18"/>
                          </w:rPr>
                          <w:t>1964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月出生，</w:t>
                        </w:r>
                        <w:r>
                          <w:rPr>
                            <w:rFonts w:ascii="Times New Roman" w:hAnsi="Times New Roman" w:cs="Times New Roman" w:eastAsia="Times New Roman" w:hint="default"/>
                            <w:sz w:val="18"/>
                            <w:szCs w:val="18"/>
                          </w:rPr>
                          <w:t>1989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月毕业于哈尔滨船舶工程学院计算机系，获硕士 学位。历任北京船舶工业管理干部学院计算机系主任、副教授、北京久其科技投资 有限公司经理。现任公司、北京久其互联网金融信息服务有限公司董事长，北京久 其政务软件股份有限公司董事，成都久其软件有限公司、上海久其软件有限公司、 重庆久其软件有限公司、西安久其软件有限公司、新疆久其科技有限公司、海南久 其云计算科技有限公司执行董事，财政部会计信息化委员会咨询专家，中关村大数 据联盟副理事长，中国信息产业商会互联网众创分会副理事长。</w:t>
                        </w:r>
                      </w:p>
                    </w:tc>
                  </w:tr>
                  <w:tr>
                    <w:trPr>
                      <w:trHeight w:val="714"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 情况</w:t>
                        </w:r>
                      </w:p>
                    </w:tc>
                    <w:tc>
                      <w:tcPr>
                        <w:tcW w:w="65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除久其软件外</w:t>
                        </w:r>
                        <w:r>
                          <w:rPr>
                            <w:rFonts w:ascii="宋体" w:hAnsi="宋体" w:cs="宋体" w:eastAsia="宋体" w:hint="default"/>
                            <w:spacing w:val="-90"/>
                            <w:sz w:val="18"/>
                            <w:szCs w:val="18"/>
                          </w:rPr>
                          <w:t>，</w:t>
                        </w:r>
                        <w:r>
                          <w:rPr>
                            <w:rFonts w:ascii="宋体" w:hAnsi="宋体" w:cs="宋体" w:eastAsia="宋体" w:hint="default"/>
                            <w:sz w:val="18"/>
                            <w:szCs w:val="18"/>
                          </w:rPr>
                          <w:t>董泰湘女士及赵福君先生过去</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年未曾控股其他的境内外上市公司</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ind w:left="0" w:right="1139"/>
        <w:jc w:val="right"/>
      </w:pPr>
      <w:r>
        <w:rPr/>
        <w:t>。</w:t>
      </w:r>
    </w:p>
    <w:p>
      <w:pPr>
        <w:spacing w:line="240" w:lineRule="auto" w:before="3"/>
        <w:rPr>
          <w:rFonts w:ascii="宋体" w:hAnsi="宋体" w:cs="宋体" w:eastAsia="宋体" w:hint="default"/>
          <w:sz w:val="21"/>
          <w:szCs w:val="21"/>
        </w:rPr>
      </w:pPr>
    </w:p>
    <w:p>
      <w:pPr>
        <w:pStyle w:val="BodyText"/>
        <w:spacing w:line="240" w:lineRule="auto" w:before="44"/>
        <w:ind w:left="154" w:right="0"/>
        <w:jc w:val="left"/>
      </w:pPr>
      <w:r>
        <w:rPr/>
        <w:t>实际控制人报告期内变更</w:t>
      </w:r>
    </w:p>
    <w:p>
      <w:pPr>
        <w:pStyle w:val="BodyText"/>
        <w:spacing w:line="350" w:lineRule="auto" w:before="117"/>
        <w:ind w:right="6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line="240" w:lineRule="auto" w:before="5"/>
        <w:rPr>
          <w:rFonts w:ascii="宋体" w:hAnsi="宋体" w:cs="宋体" w:eastAsia="宋体" w:hint="default"/>
          <w:sz w:val="15"/>
          <w:szCs w:val="15"/>
        </w:rPr>
      </w:pPr>
    </w:p>
    <w:p>
      <w:pPr>
        <w:spacing w:line="3069" w:lineRule="exact"/>
        <w:ind w:left="2584" w:right="0" w:firstLine="0"/>
        <w:rPr>
          <w:rFonts w:ascii="宋体" w:hAnsi="宋体" w:cs="宋体" w:eastAsia="宋体" w:hint="default"/>
          <w:sz w:val="20"/>
          <w:szCs w:val="20"/>
        </w:rPr>
      </w:pPr>
      <w:r>
        <w:rPr>
          <w:rFonts w:ascii="宋体" w:hAnsi="宋体" w:cs="宋体" w:eastAsia="宋体" w:hint="default"/>
          <w:position w:val="-60"/>
          <w:sz w:val="20"/>
          <w:szCs w:val="20"/>
        </w:rPr>
        <w:drawing>
          <wp:inline distT="0" distB="0" distL="0" distR="0">
            <wp:extent cx="3029659" cy="1948814"/>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23" cstate="print"/>
                    <a:stretch>
                      <a:fillRect/>
                    </a:stretch>
                  </pic:blipFill>
                  <pic:spPr>
                    <a:xfrm>
                      <a:off x="0" y="0"/>
                      <a:ext cx="3029659" cy="1948814"/>
                    </a:xfrm>
                    <a:prstGeom prst="rect">
                      <a:avLst/>
                    </a:prstGeom>
                  </pic:spPr>
                </pic:pic>
              </a:graphicData>
            </a:graphic>
          </wp:inline>
        </w:drawing>
      </w:r>
      <w:r>
        <w:rPr>
          <w:rFonts w:ascii="宋体" w:hAnsi="宋体" w:cs="宋体" w:eastAsia="宋体" w:hint="default"/>
          <w:position w:val="-60"/>
          <w:sz w:val="20"/>
          <w:szCs w:val="20"/>
        </w:rPr>
      </w:r>
    </w:p>
    <w:p>
      <w:pPr>
        <w:spacing w:line="240" w:lineRule="auto" w:before="6"/>
        <w:rPr>
          <w:rFonts w:ascii="宋体" w:hAnsi="宋体" w:cs="宋体" w:eastAsia="宋体" w:hint="default"/>
          <w:sz w:val="18"/>
          <w:szCs w:val="18"/>
        </w:rPr>
      </w:pPr>
    </w:p>
    <w:p>
      <w:pPr>
        <w:pStyle w:val="BodyText"/>
        <w:spacing w:line="240" w:lineRule="auto"/>
        <w:ind w:right="0"/>
        <w:jc w:val="left"/>
      </w:pPr>
      <w:r>
        <w:rPr/>
        <w:t>实际控制人通过信托或其他资产管理方式控制公司。</w:t>
      </w:r>
    </w:p>
    <w:p>
      <w:pPr>
        <w:spacing w:line="240" w:lineRule="auto" w:before="3"/>
        <w:rPr>
          <w:rFonts w:ascii="宋体" w:hAnsi="宋体" w:cs="宋体" w:eastAsia="宋体" w:hint="default"/>
          <w:sz w:val="21"/>
          <w:szCs w:val="21"/>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4、其他持股在10%以上的法人股东" w:id="113"/>
      <w:bookmarkEnd w:id="113"/>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5、控股股东、实际控制人、重组方及其他承诺主体股份限制减持情况" w:id="114"/>
      <w:bookmarkEnd w:id="114"/>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240" w:lineRule="auto" w:before="44"/>
        <w:ind w:right="0"/>
        <w:jc w:val="left"/>
      </w:pPr>
      <w:r>
        <w:rPr/>
        <w:t>关于控股股东、实际控制人股份限制减持情况，详见本报告</w:t>
      </w:r>
      <w:r>
        <w:rPr>
          <w:rFonts w:ascii="Times New Roman" w:hAnsi="Times New Roman" w:cs="Times New Roman" w:eastAsia="Times New Roman" w:hint="default"/>
        </w:rPr>
        <w:t>“</w:t>
      </w:r>
      <w:r>
        <w:rPr/>
        <w:t>第五节</w:t>
      </w:r>
      <w:r>
        <w:rPr>
          <w:spacing w:val="-19"/>
        </w:rPr>
        <w:t> </w:t>
      </w:r>
      <w:r>
        <w:rPr/>
        <w:t>重要事项</w:t>
      </w:r>
      <w:r>
        <w:rPr>
          <w:rFonts w:ascii="Times New Roman" w:hAnsi="Times New Roman" w:cs="Times New Roman" w:eastAsia="Times New Roman" w:hint="default"/>
        </w:rPr>
        <w:t>”</w:t>
      </w:r>
      <w:r>
        <w:rPr/>
        <w:t>之</w:t>
      </w:r>
      <w:r>
        <w:rPr>
          <w:rFonts w:ascii="Times New Roman" w:hAnsi="Times New Roman" w:cs="Times New Roman" w:eastAsia="Times New Roman" w:hint="default"/>
        </w:rPr>
        <w:t>“</w:t>
      </w:r>
      <w:r>
        <w:rPr/>
        <w:t>三、承诺事项履行情况</w:t>
      </w:r>
      <w:r>
        <w:rPr>
          <w:rFonts w:ascii="Times New Roman" w:hAnsi="Times New Roman" w:cs="Times New Roman" w:eastAsia="Times New Roman" w:hint="default"/>
        </w:rPr>
        <w:t>”</w:t>
      </w:r>
      <w:r>
        <w:rPr/>
        <w:t>。</w:t>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left="3286" w:right="0"/>
        <w:jc w:val="left"/>
        <w:rPr>
          <w:b w:val="0"/>
          <w:bCs w:val="0"/>
        </w:rPr>
      </w:pPr>
      <w:bookmarkStart w:name="第七节 优先股相关情况" w:id="115"/>
      <w:bookmarkEnd w:id="115"/>
      <w:r>
        <w:rPr>
          <w:b w:val="0"/>
          <w:bCs w:val="0"/>
        </w:rPr>
      </w:r>
      <w:bookmarkStart w:name="_bookmark6" w:id="116"/>
      <w:bookmarkEnd w:id="116"/>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40" w:lineRule="auto" w:before="44"/>
        <w:ind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1680" w:right="0"/>
        <w:jc w:val="left"/>
        <w:rPr>
          <w:b w:val="0"/>
          <w:bCs w:val="0"/>
        </w:rPr>
      </w:pPr>
      <w:bookmarkStart w:name="第八节 董事、监事、高级管理人员和员工情况" w:id="117"/>
      <w:bookmarkEnd w:id="117"/>
      <w:r>
        <w:rPr>
          <w:b w:val="0"/>
          <w:bCs w:val="0"/>
        </w:rPr>
      </w:r>
      <w:bookmarkStart w:name="_bookmark7" w:id="118"/>
      <w:bookmarkEnd w:id="118"/>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19"/>
      <w:bookmarkEnd w:id="119"/>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21" w:type="dxa"/>
        <w:tblLayout w:type="fixed"/>
        <w:tblCellMar>
          <w:top w:w="0" w:type="dxa"/>
          <w:left w:w="0" w:type="dxa"/>
          <w:bottom w:w="0" w:type="dxa"/>
          <w:right w:w="0" w:type="dxa"/>
        </w:tblCellMar>
        <w:tblLook w:val="01E0"/>
      </w:tblPr>
      <w:tblGrid>
        <w:gridCol w:w="772"/>
        <w:gridCol w:w="772"/>
        <w:gridCol w:w="773"/>
        <w:gridCol w:w="772"/>
        <w:gridCol w:w="772"/>
        <w:gridCol w:w="846"/>
        <w:gridCol w:w="845"/>
        <w:gridCol w:w="865"/>
        <w:gridCol w:w="867"/>
        <w:gridCol w:w="776"/>
        <w:gridCol w:w="769"/>
        <w:gridCol w:w="866"/>
      </w:tblGrid>
      <w:tr>
        <w:trPr>
          <w:trHeight w:val="1025" w:hRule="exact"/>
        </w:trPr>
        <w:tc>
          <w:tcPr>
            <w:tcW w:w="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00"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00"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91" w:right="109" w:hanging="180"/>
              <w:jc w:val="left"/>
              <w:rPr>
                <w:rFonts w:ascii="宋体" w:hAnsi="宋体" w:cs="宋体" w:eastAsia="宋体" w:hint="default"/>
                <w:sz w:val="18"/>
                <w:szCs w:val="18"/>
              </w:rPr>
            </w:pPr>
            <w:r>
              <w:rPr>
                <w:rFonts w:ascii="宋体" w:hAnsi="宋体" w:cs="宋体" w:eastAsia="宋体" w:hint="default"/>
                <w:sz w:val="18"/>
                <w:szCs w:val="18"/>
              </w:rPr>
              <w:t>任职状 态</w:t>
            </w:r>
          </w:p>
        </w:tc>
        <w:tc>
          <w:tcPr>
            <w:tcW w:w="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00"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00"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37" w:right="56"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67" w:right="66"/>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8" w:right="66"/>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58"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12"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9" w:right="108"/>
              <w:jc w:val="left"/>
              <w:rPr>
                <w:rFonts w:ascii="宋体" w:hAnsi="宋体" w:cs="宋体" w:eastAsia="宋体" w:hint="default"/>
                <w:sz w:val="18"/>
                <w:szCs w:val="18"/>
              </w:rPr>
            </w:pPr>
            <w:r>
              <w:rPr>
                <w:rFonts w:ascii="宋体" w:hAnsi="宋体" w:cs="宋体" w:eastAsia="宋体" w:hint="default"/>
                <w:sz w:val="18"/>
                <w:szCs w:val="18"/>
              </w:rPr>
              <w:t>其他增 减变动</w:t>
            </w:r>
          </w:p>
          <w:p>
            <w:pPr>
              <w:pStyle w:val="TableParagraph"/>
              <w:spacing w:line="240" w:lineRule="auto" w:before="20"/>
              <w:ind w:left="10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68" w:right="66"/>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4" w:hRule="exact"/>
        </w:trPr>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赵福君</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23,617,123</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w:t>
            </w:r>
          </w:p>
        </w:tc>
        <w:tc>
          <w:tcPr>
            <w:tcW w:w="776"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23,917,123</w:t>
            </w:r>
          </w:p>
        </w:tc>
      </w:tr>
      <w:tr>
        <w:trPr>
          <w:trHeight w:val="714" w:hRule="exact"/>
        </w:trPr>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施瑞丰</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董事、总 裁</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2004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1,013,979</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w:t>
            </w:r>
          </w:p>
        </w:tc>
        <w:tc>
          <w:tcPr>
            <w:tcW w:w="776"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1,043,979</w:t>
            </w:r>
          </w:p>
        </w:tc>
      </w:tr>
      <w:tr>
        <w:trPr>
          <w:trHeight w:val="714" w:hRule="exact"/>
        </w:trPr>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欧阳曜</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董事、副 总裁</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2004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6,740,885</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330,900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1,600,000</w:t>
            </w:r>
          </w:p>
        </w:tc>
        <w:tc>
          <w:tcPr>
            <w:tcW w:w="769"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5,471,785</w:t>
            </w:r>
          </w:p>
        </w:tc>
      </w:tr>
      <w:tr>
        <w:trPr>
          <w:trHeight w:val="1026" w:hRule="exact"/>
        </w:trPr>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邱安超</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both"/>
              <w:rPr>
                <w:rFonts w:ascii="宋体" w:hAnsi="宋体" w:cs="宋体" w:eastAsia="宋体" w:hint="default"/>
                <w:sz w:val="18"/>
                <w:szCs w:val="18"/>
              </w:rPr>
            </w:pPr>
            <w:r>
              <w:rPr>
                <w:rFonts w:ascii="宋体" w:hAnsi="宋体" w:cs="宋体" w:eastAsia="宋体" w:hint="default"/>
                <w:sz w:val="18"/>
                <w:szCs w:val="18"/>
              </w:rPr>
              <w:t>董事、副 总裁、财 务总监</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2004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144,000</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26,300</w:t>
            </w:r>
          </w:p>
        </w:tc>
        <w:tc>
          <w:tcPr>
            <w:tcW w:w="776"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170,300</w:t>
            </w:r>
          </w:p>
        </w:tc>
      </w:tr>
      <w:tr>
        <w:trPr>
          <w:trHeight w:val="714" w:hRule="exact"/>
        </w:trPr>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王新</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9,172,890</w:t>
            </w:r>
          </w:p>
        </w:tc>
        <w:tc>
          <w:tcPr>
            <w:tcW w:w="776"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9,172,890</w:t>
            </w:r>
          </w:p>
        </w:tc>
      </w:tr>
      <w:tr>
        <w:trPr>
          <w:trHeight w:val="714" w:hRule="exact"/>
        </w:trPr>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栗军</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7,033,030</w:t>
            </w:r>
          </w:p>
        </w:tc>
        <w:tc>
          <w:tcPr>
            <w:tcW w:w="776"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7,033,030</w:t>
            </w:r>
          </w:p>
        </w:tc>
      </w:tr>
      <w:tr>
        <w:trPr>
          <w:trHeight w:val="714" w:hRule="exact"/>
        </w:trPr>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韩凤岐</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7"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祝卫</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7"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王元京</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7"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戴金平</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7"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王劲岩</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监事会 主席</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2004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7"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蒋硕</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2004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7"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曾超</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2004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81,400</w:t>
            </w:r>
          </w:p>
        </w:tc>
        <w:tc>
          <w:tcPr>
            <w:tcW w:w="867"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81,400</w:t>
            </w:r>
          </w:p>
        </w:tc>
      </w:tr>
      <w:tr>
        <w:trPr>
          <w:trHeight w:val="714" w:hRule="exact"/>
        </w:trPr>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刘文圣</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2004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82,800</w:t>
            </w:r>
          </w:p>
        </w:tc>
        <w:tc>
          <w:tcPr>
            <w:tcW w:w="867"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82,800</w:t>
            </w:r>
          </w:p>
        </w:tc>
      </w:tr>
      <w:tr>
        <w:trPr>
          <w:trHeight w:val="402" w:hRule="exact"/>
        </w:trPr>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朱晓钧</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2004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12</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128,000</w:t>
            </w:r>
          </w:p>
        </w:tc>
        <w:tc>
          <w:tcPr>
            <w:tcW w:w="867"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b/>
          <w:bCs/>
          <w:sz w:val="24"/>
          <w:szCs w:val="24"/>
        </w:rPr>
      </w:pPr>
    </w:p>
    <w:tbl>
      <w:tblPr>
        <w:tblW w:w="0" w:type="auto"/>
        <w:jc w:val="left"/>
        <w:tblInd w:w="121" w:type="dxa"/>
        <w:tblLayout w:type="fixed"/>
        <w:tblCellMar>
          <w:top w:w="0" w:type="dxa"/>
          <w:left w:w="0" w:type="dxa"/>
          <w:bottom w:w="0" w:type="dxa"/>
          <w:right w:w="0" w:type="dxa"/>
        </w:tblCellMar>
        <w:tblLook w:val="01E0"/>
      </w:tblPr>
      <w:tblGrid>
        <w:gridCol w:w="772"/>
        <w:gridCol w:w="772"/>
        <w:gridCol w:w="773"/>
        <w:gridCol w:w="772"/>
        <w:gridCol w:w="772"/>
        <w:gridCol w:w="846"/>
        <w:gridCol w:w="845"/>
        <w:gridCol w:w="865"/>
        <w:gridCol w:w="867"/>
        <w:gridCol w:w="776"/>
        <w:gridCol w:w="769"/>
        <w:gridCol w:w="866"/>
      </w:tblGrid>
      <w:tr>
        <w:trPr>
          <w:trHeight w:val="362" w:hRule="exact"/>
        </w:trPr>
        <w:tc>
          <w:tcPr>
            <w:tcW w:w="772" w:type="dxa"/>
            <w:tcBorders>
              <w:top w:val="single" w:sz="4" w:space="0" w:color="000000"/>
              <w:left w:val="single" w:sz="4" w:space="0" w:color="000000"/>
              <w:bottom w:val="single" w:sz="4" w:space="0" w:color="000000"/>
              <w:right w:val="single" w:sz="4" w:space="0" w:color="000000"/>
            </w:tcBorders>
          </w:tcPr>
          <w:p>
            <w:pPr/>
          </w:p>
        </w:tc>
        <w:tc>
          <w:tcPr>
            <w:tcW w:w="772"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772" w:type="dxa"/>
            <w:tcBorders>
              <w:top w:val="single" w:sz="4" w:space="0" w:color="000000"/>
              <w:left w:val="single" w:sz="4" w:space="0" w:color="000000"/>
              <w:bottom w:val="single" w:sz="4" w:space="0" w:color="000000"/>
              <w:right w:val="single" w:sz="4" w:space="0" w:color="000000"/>
            </w:tcBorders>
          </w:tcPr>
          <w:p>
            <w:pPr/>
          </w:p>
        </w:tc>
        <w:tc>
          <w:tcPr>
            <w:tcW w:w="772"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5"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王海霞</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
              <w:jc w:val="left"/>
              <w:rPr>
                <w:rFonts w:ascii="宋体" w:hAnsi="宋体" w:cs="宋体" w:eastAsia="宋体" w:hint="default"/>
                <w:sz w:val="18"/>
                <w:szCs w:val="18"/>
              </w:rPr>
            </w:pPr>
            <w:r>
              <w:rPr>
                <w:rFonts w:ascii="宋体" w:hAnsi="宋体" w:cs="宋体" w:eastAsia="宋体" w:hint="default"/>
                <w:sz w:val="18"/>
                <w:szCs w:val="18"/>
              </w:rPr>
              <w:t>副总裁、 董事会 秘书</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86,400</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25,400</w:t>
            </w:r>
          </w:p>
        </w:tc>
        <w:tc>
          <w:tcPr>
            <w:tcW w:w="776"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3"/>
                <w:sz w:val="18"/>
              </w:rPr>
              <w:t>111,800</w:t>
            </w:r>
          </w:p>
        </w:tc>
      </w:tr>
      <w:tr>
        <w:trPr>
          <w:trHeight w:val="402" w:hRule="exact"/>
        </w:trPr>
        <w:tc>
          <w:tcPr>
            <w:tcW w:w="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31,894,587</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16,918,520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1,600,000</w:t>
            </w:r>
          </w:p>
        </w:tc>
        <w:tc>
          <w:tcPr>
            <w:tcW w:w="769"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47,213,107</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二、公司董事、监事、高级管理人员变动情况" w:id="120"/>
      <w:bookmarkEnd w:id="120"/>
      <w:r>
        <w:rPr>
          <w:b w:val="0"/>
          <w:bCs w:val="0"/>
        </w:rPr>
      </w:r>
      <w:r>
        <w:rPr/>
        <w:t>二、公司董事、监事、高级管理人员变动情况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505"/>
        <w:gridCol w:w="4247"/>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祝卫</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个人原因</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三、任职情况" w:id="121"/>
      <w:bookmarkEnd w:id="121"/>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公司现任董事、监事、高级管理人员专业背景、主要工作经历以及目前在公司的主要职责</w:t>
      </w:r>
    </w:p>
    <w:p>
      <w:pPr>
        <w:pStyle w:val="BodyText"/>
        <w:spacing w:line="309" w:lineRule="auto" w:before="116"/>
        <w:ind w:right="1033"/>
        <w:jc w:val="left"/>
      </w:pPr>
      <w:r>
        <w:rPr/>
        <w:t>（一）公司董事会成员 </w:t>
      </w:r>
      <w:r>
        <w:rPr>
          <w:rFonts w:ascii="Times New Roman" w:hAnsi="Times New Roman" w:cs="Times New Roman" w:eastAsia="Times New Roman" w:hint="default"/>
          <w:spacing w:val="-2"/>
        </w:rPr>
        <w:t>1</w:t>
      </w:r>
      <w:r>
        <w:rPr>
          <w:spacing w:val="-2"/>
        </w:rPr>
        <w:t>、赵福君先生，</w:t>
      </w:r>
      <w:r>
        <w:rPr>
          <w:rFonts w:ascii="Times New Roman" w:hAnsi="Times New Roman" w:cs="Times New Roman" w:eastAsia="Times New Roman" w:hint="default"/>
          <w:spacing w:val="-2"/>
        </w:rPr>
        <w:t>1964</w:t>
      </w:r>
      <w:r>
        <w:rPr>
          <w:spacing w:val="-2"/>
        </w:rPr>
        <w:t>年</w:t>
      </w:r>
      <w:r>
        <w:rPr>
          <w:rFonts w:ascii="Times New Roman" w:hAnsi="Times New Roman" w:cs="Times New Roman" w:eastAsia="Times New Roman" w:hint="default"/>
          <w:spacing w:val="-2"/>
        </w:rPr>
        <w:t>8</w:t>
      </w:r>
      <w:r>
        <w:rPr>
          <w:spacing w:val="-2"/>
        </w:rPr>
        <w:t>月出生，研究生学历。</w:t>
      </w:r>
      <w:r>
        <w:rPr>
          <w:rFonts w:ascii="Times New Roman" w:hAnsi="Times New Roman" w:cs="Times New Roman" w:eastAsia="Times New Roman" w:hint="default"/>
          <w:spacing w:val="-2"/>
        </w:rPr>
        <w:t>1997</w:t>
      </w:r>
      <w:r>
        <w:rPr>
          <w:spacing w:val="-2"/>
        </w:rPr>
        <w:t>年创办久其软件，现任公司董事长，并兼任北京久其互联网金融信息服</w:t>
      </w:r>
      <w:r>
        <w:rPr>
          <w:spacing w:val="-57"/>
        </w:rPr>
        <w:t> </w:t>
      </w:r>
      <w:r>
        <w:rPr>
          <w:spacing w:val="-57"/>
        </w:rPr>
      </w:r>
      <w:r>
        <w:rPr>
          <w:spacing w:val="-2"/>
        </w:rPr>
        <w:t>务有限公司董事长，北京久其政务软件股份有限公司董事，成都久其软件有限公司、上海久其软件有限公司、重庆久其软件</w:t>
      </w:r>
      <w:r>
        <w:rPr>
          <w:spacing w:val="-66"/>
        </w:rPr>
        <w:t> </w:t>
      </w:r>
      <w:r>
        <w:rPr>
          <w:spacing w:val="-66"/>
        </w:rPr>
      </w:r>
      <w:r>
        <w:rPr/>
        <w:t>有限公司、西安久其软件有限公司、新疆久其科技有限公司、海南久其云计算科技有限公司执行董事</w:t>
      </w:r>
      <w:r>
        <w:rPr>
          <w:rFonts w:ascii="Times New Roman" w:hAnsi="Times New Roman" w:cs="Times New Roman" w:eastAsia="Times New Roman" w:hint="default"/>
        </w:rPr>
        <w:t>,</w:t>
      </w:r>
      <w:r>
        <w:rPr/>
        <w:t>财政部会计信息化委</w:t>
      </w:r>
      <w:r>
        <w:rPr>
          <w:spacing w:val="-42"/>
        </w:rPr>
        <w:t> </w:t>
      </w:r>
      <w:r>
        <w:rPr>
          <w:spacing w:val="-42"/>
        </w:rPr>
      </w:r>
      <w:r>
        <w:rPr/>
        <w:t>员会咨询专家，中关村大数据联盟副理事长，中国信息产业商会互联网众创分会副理事长。 </w:t>
      </w:r>
      <w:r>
        <w:rPr>
          <w:rFonts w:ascii="Times New Roman" w:hAnsi="Times New Roman" w:cs="Times New Roman" w:eastAsia="Times New Roman" w:hint="default"/>
          <w:spacing w:val="-3"/>
        </w:rPr>
        <w:t>2</w:t>
      </w:r>
      <w:r>
        <w:rPr>
          <w:spacing w:val="-3"/>
        </w:rPr>
        <w:t>、施瑞丰先生，</w:t>
      </w:r>
      <w:r>
        <w:rPr>
          <w:rFonts w:ascii="Times New Roman" w:hAnsi="Times New Roman" w:cs="Times New Roman" w:eastAsia="Times New Roman" w:hint="default"/>
          <w:spacing w:val="-3"/>
        </w:rPr>
        <w:t>1972</w:t>
      </w:r>
      <w:r>
        <w:rPr>
          <w:spacing w:val="-3"/>
        </w:rPr>
        <w:t>年</w:t>
      </w:r>
      <w:r>
        <w:rPr>
          <w:rFonts w:ascii="Times New Roman" w:hAnsi="Times New Roman" w:cs="Times New Roman" w:eastAsia="Times New Roman" w:hint="default"/>
          <w:spacing w:val="-3"/>
        </w:rPr>
        <w:t>9</w:t>
      </w:r>
      <w:r>
        <w:rPr>
          <w:spacing w:val="-3"/>
        </w:rPr>
        <w:t>月出生，本科学历。</w:t>
      </w:r>
      <w:r>
        <w:rPr>
          <w:rFonts w:ascii="Times New Roman" w:hAnsi="Times New Roman" w:cs="Times New Roman" w:eastAsia="Times New Roman" w:hint="default"/>
          <w:spacing w:val="-3"/>
        </w:rPr>
        <w:t>1999</w:t>
      </w:r>
      <w:r>
        <w:rPr>
          <w:spacing w:val="-3"/>
        </w:rPr>
        <w:t>年加入公司，现任公司董事、总裁，北京久其政务软件股份有限公司董事、</w:t>
      </w:r>
      <w:r>
        <w:rPr>
          <w:spacing w:val="-88"/>
        </w:rPr>
        <w:t> </w:t>
      </w:r>
      <w:r>
        <w:rPr>
          <w:spacing w:val="-88"/>
        </w:rPr>
      </w:r>
      <w:r>
        <w:rPr/>
        <w:t>北京中民颐养科技服务有限公司执行董事。 </w:t>
      </w:r>
      <w:r>
        <w:rPr>
          <w:rFonts w:ascii="Times New Roman" w:hAnsi="Times New Roman" w:cs="Times New Roman" w:eastAsia="Times New Roman" w:hint="default"/>
          <w:spacing w:val="-2"/>
        </w:rPr>
        <w:t>3</w:t>
      </w:r>
      <w:r>
        <w:rPr>
          <w:spacing w:val="-2"/>
        </w:rPr>
        <w:t>、欧阳曜先生，</w:t>
      </w:r>
      <w:r>
        <w:rPr>
          <w:rFonts w:ascii="Times New Roman" w:hAnsi="Times New Roman" w:cs="Times New Roman" w:eastAsia="Times New Roman" w:hint="default"/>
          <w:spacing w:val="-2"/>
        </w:rPr>
        <w:t>1976</w:t>
      </w:r>
      <w:r>
        <w:rPr>
          <w:spacing w:val="-2"/>
        </w:rPr>
        <w:t>年</w:t>
      </w:r>
      <w:r>
        <w:rPr>
          <w:rFonts w:ascii="Times New Roman" w:hAnsi="Times New Roman" w:cs="Times New Roman" w:eastAsia="Times New Roman" w:hint="default"/>
          <w:spacing w:val="-2"/>
        </w:rPr>
        <w:t>3</w:t>
      </w:r>
      <w:r>
        <w:rPr>
          <w:spacing w:val="-2"/>
        </w:rPr>
        <w:t>月出生，硕士学位。</w:t>
      </w:r>
      <w:r>
        <w:rPr>
          <w:rFonts w:ascii="Times New Roman" w:hAnsi="Times New Roman" w:cs="Times New Roman" w:eastAsia="Times New Roman" w:hint="default"/>
          <w:spacing w:val="-2"/>
        </w:rPr>
        <w:t>1999</w:t>
      </w:r>
      <w:r>
        <w:rPr>
          <w:spacing w:val="-2"/>
        </w:rPr>
        <w:t>年加入公司，现任公司董事、副总裁，并兼任北京蜂语网络科技有限公司</w:t>
      </w:r>
      <w:r>
        <w:rPr>
          <w:spacing w:val="-60"/>
        </w:rPr>
        <w:t> </w:t>
      </w:r>
      <w:r>
        <w:rPr>
          <w:spacing w:val="-60"/>
        </w:rPr>
      </w:r>
      <w:r>
        <w:rPr/>
        <w:t>执行董事，北京久其政务软件股份有限公司董事。 </w:t>
      </w:r>
      <w:r>
        <w:rPr>
          <w:rFonts w:ascii="Times New Roman" w:hAnsi="Times New Roman" w:cs="Times New Roman" w:eastAsia="Times New Roman" w:hint="default"/>
        </w:rPr>
        <w:t>4</w:t>
      </w:r>
      <w:r>
        <w:rPr/>
        <w:t>、邱安超先生，</w:t>
      </w:r>
      <w:r>
        <w:rPr>
          <w:rFonts w:ascii="Times New Roman" w:hAnsi="Times New Roman" w:cs="Times New Roman" w:eastAsia="Times New Roman" w:hint="default"/>
        </w:rPr>
        <w:t>1968</w:t>
      </w:r>
      <w:r>
        <w:rPr/>
        <w:t>年</w:t>
      </w:r>
      <w:r>
        <w:rPr>
          <w:rFonts w:ascii="Times New Roman" w:hAnsi="Times New Roman" w:cs="Times New Roman" w:eastAsia="Times New Roman" w:hint="default"/>
        </w:rPr>
        <w:t>9</w:t>
      </w:r>
      <w:r>
        <w:rPr/>
        <w:t>月出生，本科学历，高级经济师，中国注册会计师非执业会员。</w:t>
      </w:r>
      <w:r>
        <w:rPr>
          <w:rFonts w:ascii="Times New Roman" w:hAnsi="Times New Roman" w:cs="Times New Roman" w:eastAsia="Times New Roman" w:hint="default"/>
        </w:rPr>
        <w:t>2000</w:t>
      </w:r>
      <w:r>
        <w:rPr/>
        <w:t>年加入公司，现任公司董事、 </w:t>
      </w:r>
      <w:r>
        <w:rPr>
          <w:spacing w:val="-2"/>
        </w:rPr>
        <w:t>副总裁、财务总监，并兼任北京久其政务软件股份有限公司董事长、深圳市久金保商业保理有限公司执行董事，以及北京亿</w:t>
      </w:r>
      <w:r>
        <w:rPr>
          <w:spacing w:val="-67"/>
        </w:rPr>
        <w:t> </w:t>
      </w:r>
      <w:r>
        <w:rPr>
          <w:spacing w:val="-67"/>
        </w:rPr>
      </w:r>
      <w:r>
        <w:rPr/>
        <w:t>起联科技有限公司、广东同望科技股份有限公司董事。 </w:t>
      </w:r>
      <w:r>
        <w:rPr>
          <w:rFonts w:ascii="Times New Roman" w:hAnsi="Times New Roman" w:cs="Times New Roman" w:eastAsia="Times New Roman" w:hint="default"/>
          <w:spacing w:val="-2"/>
        </w:rPr>
        <w:t>5</w:t>
      </w:r>
      <w:r>
        <w:rPr>
          <w:spacing w:val="-2"/>
        </w:rPr>
        <w:t>、王新先生，</w:t>
      </w:r>
      <w:r>
        <w:rPr>
          <w:rFonts w:ascii="Times New Roman" w:hAnsi="Times New Roman" w:cs="Times New Roman" w:eastAsia="Times New Roman" w:hint="default"/>
          <w:spacing w:val="-2"/>
        </w:rPr>
        <w:t>1979</w:t>
      </w:r>
      <w:r>
        <w:rPr>
          <w:spacing w:val="-2"/>
        </w:rPr>
        <w:t>年</w:t>
      </w:r>
      <w:r>
        <w:rPr>
          <w:rFonts w:ascii="Times New Roman" w:hAnsi="Times New Roman" w:cs="Times New Roman" w:eastAsia="Times New Roman" w:hint="default"/>
          <w:spacing w:val="-2"/>
        </w:rPr>
        <w:t>7</w:t>
      </w:r>
      <w:r>
        <w:rPr>
          <w:spacing w:val="-2"/>
        </w:rPr>
        <w:t>月出生，本科学历。现任公司董事，并兼任北京亿起联科技有限公司、上海轻点网络科技有限公司董</w:t>
      </w:r>
      <w:r>
        <w:rPr>
          <w:spacing w:val="-62"/>
        </w:rPr>
        <w:t> </w:t>
      </w:r>
      <w:r>
        <w:rPr>
          <w:spacing w:val="-62"/>
        </w:rPr>
      </w:r>
      <w:r>
        <w:rPr/>
        <w:t>事长，上海亿起联科技有限公司、上海轻普网络科技有限公司、点入传媒科技（天津）有限公司执行董事。 </w:t>
      </w:r>
      <w:r>
        <w:rPr>
          <w:rFonts w:ascii="Times New Roman" w:hAnsi="Times New Roman" w:cs="Times New Roman" w:eastAsia="Times New Roman" w:hint="default"/>
          <w:spacing w:val="-2"/>
        </w:rPr>
        <w:t>6</w:t>
      </w:r>
      <w:r>
        <w:rPr>
          <w:spacing w:val="-2"/>
        </w:rPr>
        <w:t>、栗军先生，</w:t>
      </w:r>
      <w:r>
        <w:rPr>
          <w:rFonts w:ascii="Times New Roman" w:hAnsi="Times New Roman" w:cs="Times New Roman" w:eastAsia="Times New Roman" w:hint="default"/>
          <w:spacing w:val="-2"/>
        </w:rPr>
        <w:t>1969</w:t>
      </w:r>
      <w:r>
        <w:rPr>
          <w:spacing w:val="-2"/>
        </w:rPr>
        <w:t>年</w:t>
      </w:r>
      <w:r>
        <w:rPr>
          <w:rFonts w:ascii="Times New Roman" w:hAnsi="Times New Roman" w:cs="Times New Roman" w:eastAsia="Times New Roman" w:hint="default"/>
          <w:spacing w:val="-2"/>
        </w:rPr>
        <w:t>4</w:t>
      </w:r>
      <w:r>
        <w:rPr>
          <w:spacing w:val="-2"/>
        </w:rPr>
        <w:t>月出生，本科学历。现任公司董事，并兼任北京华夏电通科技有限公司董事长，北京华夏电通信息技</w:t>
      </w:r>
      <w:r>
        <w:rPr>
          <w:spacing w:val="-62"/>
        </w:rPr>
        <w:t> </w:t>
      </w:r>
      <w:r>
        <w:rPr>
          <w:spacing w:val="-62"/>
        </w:rPr>
      </w:r>
      <w:r>
        <w:rPr/>
        <w:t>术有限公司执行董事。 </w:t>
      </w:r>
      <w:r>
        <w:rPr>
          <w:rFonts w:ascii="Times New Roman" w:hAnsi="Times New Roman" w:cs="Times New Roman" w:eastAsia="Times New Roman" w:hint="default"/>
          <w:spacing w:val="-2"/>
        </w:rPr>
        <w:t>7</w:t>
      </w:r>
      <w:r>
        <w:rPr>
          <w:spacing w:val="-2"/>
        </w:rPr>
        <w:t>、韩凤岐先生，</w:t>
      </w:r>
      <w:r>
        <w:rPr>
          <w:rFonts w:ascii="Times New Roman" w:hAnsi="Times New Roman" w:cs="Times New Roman" w:eastAsia="Times New Roman" w:hint="default"/>
          <w:spacing w:val="-2"/>
        </w:rPr>
        <w:t>1949</w:t>
      </w:r>
      <w:r>
        <w:rPr>
          <w:spacing w:val="-2"/>
        </w:rPr>
        <w:t>年</w:t>
      </w:r>
      <w:r>
        <w:rPr>
          <w:rFonts w:ascii="Times New Roman" w:hAnsi="Times New Roman" w:cs="Times New Roman" w:eastAsia="Times New Roman" w:hint="default"/>
          <w:spacing w:val="-2"/>
        </w:rPr>
        <w:t>5</w:t>
      </w:r>
      <w:r>
        <w:rPr>
          <w:spacing w:val="-2"/>
        </w:rPr>
        <w:t>月出生，本科学历，高级会计师。曾任北京玻璃集团总会计师、北京旅游集团公司财务总监、总会</w:t>
      </w:r>
      <w:r>
        <w:rPr>
          <w:spacing w:val="-65"/>
        </w:rPr>
        <w:t> </w:t>
      </w:r>
      <w:r>
        <w:rPr>
          <w:spacing w:val="-65"/>
        </w:rPr>
      </w:r>
      <w:r>
        <w:rPr/>
        <w:t>计师，北京首都旅游股份有限公司董事、中国全聚德</w:t>
      </w:r>
      <w:r>
        <w:rPr>
          <w:rFonts w:ascii="Times New Roman" w:hAnsi="Times New Roman" w:cs="Times New Roman" w:eastAsia="Times New Roman" w:hint="default"/>
        </w:rPr>
        <w:t>(</w:t>
      </w:r>
      <w:r>
        <w:rPr/>
        <w:t>集团</w:t>
      </w:r>
      <w:r>
        <w:rPr>
          <w:rFonts w:ascii="Times New Roman" w:hAnsi="Times New Roman" w:cs="Times New Roman" w:eastAsia="Times New Roman" w:hint="default"/>
        </w:rPr>
        <w:t>)</w:t>
      </w:r>
      <w:r>
        <w:rPr/>
        <w:t>股份有限公司董事。现任公司独立董事。 </w:t>
      </w:r>
      <w:r>
        <w:rPr>
          <w:rFonts w:ascii="Times New Roman" w:hAnsi="Times New Roman" w:cs="Times New Roman" w:eastAsia="Times New Roman" w:hint="default"/>
          <w:spacing w:val="-2"/>
        </w:rPr>
        <w:t>8</w:t>
      </w:r>
      <w:r>
        <w:rPr>
          <w:spacing w:val="-2"/>
        </w:rPr>
        <w:t>、王元京先生，</w:t>
      </w:r>
      <w:r>
        <w:rPr>
          <w:rFonts w:ascii="Times New Roman" w:hAnsi="Times New Roman" w:cs="Times New Roman" w:eastAsia="Times New Roman" w:hint="default"/>
          <w:spacing w:val="-2"/>
        </w:rPr>
        <w:t>1950</w:t>
      </w:r>
      <w:r>
        <w:rPr>
          <w:spacing w:val="-2"/>
        </w:rPr>
        <w:t>年</w:t>
      </w:r>
      <w:r>
        <w:rPr>
          <w:rFonts w:ascii="Times New Roman" w:hAnsi="Times New Roman" w:cs="Times New Roman" w:eastAsia="Times New Roman" w:hint="default"/>
          <w:spacing w:val="-2"/>
        </w:rPr>
        <w:t>1</w:t>
      </w:r>
      <w:r>
        <w:rPr>
          <w:spacing w:val="-2"/>
        </w:rPr>
        <w:t>月出生，本科学历，高级工程师。曾任北京市政府办公厅办公自动化室主任，北京市政府信息中心</w:t>
      </w:r>
      <w:r>
        <w:rPr>
          <w:spacing w:val="-61"/>
        </w:rPr>
        <w:t> </w:t>
      </w:r>
      <w:r>
        <w:rPr>
          <w:spacing w:val="-61"/>
        </w:rPr>
      </w:r>
      <w:r>
        <w:rPr>
          <w:spacing w:val="-2"/>
        </w:rPr>
        <w:t>主任，北京市信息技术与办公决策发展研究所所长，北京市无线电管理局副局长，北京无线电协会会长，北京华夏电通科技</w:t>
      </w:r>
      <w:r>
        <w:rPr>
          <w:spacing w:val="-65"/>
        </w:rPr>
        <w:t> </w:t>
      </w:r>
      <w:r>
        <w:rPr>
          <w:spacing w:val="-65"/>
        </w:rPr>
      </w:r>
      <w:r>
        <w:rPr/>
        <w:t>股份有限公司独立董事。</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月起任公司独立董事。 </w:t>
      </w:r>
      <w:r>
        <w:rPr>
          <w:rFonts w:ascii="Times New Roman" w:hAnsi="Times New Roman" w:cs="Times New Roman" w:eastAsia="Times New Roman" w:hint="default"/>
          <w:spacing w:val="-2"/>
        </w:rPr>
        <w:t>9</w:t>
      </w:r>
      <w:r>
        <w:rPr>
          <w:spacing w:val="-2"/>
        </w:rPr>
        <w:t>、戴金平女士，</w:t>
      </w:r>
      <w:r>
        <w:rPr>
          <w:rFonts w:ascii="Times New Roman" w:hAnsi="Times New Roman" w:cs="Times New Roman" w:eastAsia="Times New Roman" w:hint="default"/>
          <w:spacing w:val="-2"/>
        </w:rPr>
        <w:t>1965</w:t>
      </w:r>
      <w:r>
        <w:rPr>
          <w:spacing w:val="-2"/>
        </w:rPr>
        <w:t>年</w:t>
      </w:r>
      <w:r>
        <w:rPr>
          <w:rFonts w:ascii="Times New Roman" w:hAnsi="Times New Roman" w:cs="Times New Roman" w:eastAsia="Times New Roman" w:hint="default"/>
          <w:spacing w:val="-2"/>
        </w:rPr>
        <w:t>1</w:t>
      </w:r>
      <w:r>
        <w:rPr>
          <w:spacing w:val="-2"/>
        </w:rPr>
        <w:t>月出生，研究生学历，博士生导师、教授。曾任河北财经大学讲师，亿城股份、百利电气股份有限</w:t>
      </w:r>
      <w:r>
        <w:rPr>
          <w:spacing w:val="-61"/>
        </w:rPr>
        <w:t> </w:t>
      </w:r>
      <w:r>
        <w:rPr>
          <w:spacing w:val="-61"/>
        </w:rPr>
      </w:r>
      <w:r>
        <w:rPr>
          <w:spacing w:val="-2"/>
        </w:rPr>
        <w:t>公司、瑞普生物股份有限公司独立董事。现任南开大学国家经济战略研究院副院长、深圳金融工程学院副院长、跨国公司研</w:t>
      </w:r>
      <w:r>
        <w:rPr>
          <w:spacing w:val="-66"/>
        </w:rPr>
        <w:t> </w:t>
      </w:r>
      <w:r>
        <w:rPr>
          <w:spacing w:val="-66"/>
        </w:rPr>
      </w:r>
      <w:r>
        <w:rPr/>
        <w:t>究中心副主任、国际经济研究所教授，天津九安医疗电子股份有限公司、冀中能源股份有限公司、和融期货有限责任公司、 金谷期货有限公司、平安证券有限责任公司独立董事。</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月起任公司独立董事。</w:t>
      </w:r>
    </w:p>
    <w:p>
      <w:pPr>
        <w:spacing w:line="240" w:lineRule="auto" w:before="3"/>
        <w:rPr>
          <w:rFonts w:ascii="宋体" w:hAnsi="宋体" w:cs="宋体" w:eastAsia="宋体" w:hint="default"/>
          <w:sz w:val="24"/>
          <w:szCs w:val="24"/>
        </w:rPr>
      </w:pPr>
    </w:p>
    <w:p>
      <w:pPr>
        <w:pStyle w:val="BodyText"/>
        <w:spacing w:line="240" w:lineRule="auto"/>
        <w:ind w:right="0"/>
        <w:jc w:val="left"/>
      </w:pPr>
      <w:r>
        <w:rPr/>
        <w:t>（二）公司监事会成员</w:t>
      </w:r>
    </w:p>
    <w:p>
      <w:pPr>
        <w:pStyle w:val="BodyText"/>
        <w:spacing w:line="240" w:lineRule="auto" w:before="76"/>
        <w:ind w:left="154" w:right="0"/>
        <w:jc w:val="left"/>
      </w:pPr>
      <w:r>
        <w:rPr>
          <w:rFonts w:ascii="Times New Roman" w:hAnsi="Times New Roman" w:cs="Times New Roman" w:eastAsia="Times New Roman" w:hint="default"/>
        </w:rPr>
        <w:t>1</w:t>
      </w:r>
      <w:r>
        <w:rPr/>
        <w:t>、王劲岩女士，</w:t>
      </w:r>
      <w:r>
        <w:rPr>
          <w:rFonts w:ascii="Times New Roman" w:hAnsi="Times New Roman" w:cs="Times New Roman" w:eastAsia="Times New Roman" w:hint="default"/>
        </w:rPr>
        <w:t>1975</w:t>
      </w:r>
      <w:r>
        <w:rPr/>
        <w:t>年</w:t>
      </w:r>
      <w:r>
        <w:rPr>
          <w:rFonts w:ascii="Times New Roman" w:hAnsi="Times New Roman" w:cs="Times New Roman" w:eastAsia="Times New Roman" w:hint="default"/>
        </w:rPr>
        <w:t>4</w:t>
      </w:r>
      <w:r>
        <w:rPr/>
        <w:t>月出生，大学学历。</w:t>
      </w:r>
      <w:r>
        <w:rPr>
          <w:rFonts w:ascii="Times New Roman" w:hAnsi="Times New Roman" w:cs="Times New Roman" w:eastAsia="Times New Roman" w:hint="default"/>
        </w:rPr>
        <w:t>1999</w:t>
      </w:r>
      <w:r>
        <w:rPr/>
        <w:t>年加入公司，现任公司监事会主席、工会主席、服务中心经理。</w:t>
      </w:r>
    </w:p>
    <w:p>
      <w:pPr>
        <w:pStyle w:val="BodyText"/>
        <w:spacing w:line="240" w:lineRule="auto" w:before="63"/>
        <w:ind w:right="0"/>
        <w:jc w:val="left"/>
      </w:pPr>
      <w:r>
        <w:rPr>
          <w:rFonts w:ascii="Times New Roman" w:hAnsi="Times New Roman" w:cs="Times New Roman" w:eastAsia="Times New Roman" w:hint="default"/>
        </w:rPr>
        <w:t>2</w:t>
      </w:r>
      <w:r>
        <w:rPr/>
        <w:t>、曾超先生，</w:t>
      </w:r>
      <w:r>
        <w:rPr>
          <w:rFonts w:ascii="Times New Roman" w:hAnsi="Times New Roman" w:cs="Times New Roman" w:eastAsia="Times New Roman" w:hint="default"/>
        </w:rPr>
        <w:t>1978</w:t>
      </w:r>
      <w:r>
        <w:rPr/>
        <w:t>年</w:t>
      </w:r>
      <w:r>
        <w:rPr>
          <w:rFonts w:ascii="Times New Roman" w:hAnsi="Times New Roman" w:cs="Times New Roman" w:eastAsia="Times New Roman" w:hint="default"/>
        </w:rPr>
        <w:t>1</w:t>
      </w:r>
      <w:r>
        <w:rPr/>
        <w:t>月出生，本科学历。</w:t>
      </w:r>
      <w:r>
        <w:rPr>
          <w:rFonts w:ascii="Times New Roman" w:hAnsi="Times New Roman" w:cs="Times New Roman" w:eastAsia="Times New Roman" w:hint="default"/>
        </w:rPr>
        <w:t>1999</w:t>
      </w:r>
      <w:r>
        <w:rPr/>
        <w:t>年加入公司，现任公司监事、集团管控交付中心总经理。</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240" w:lineRule="auto" w:before="44"/>
        <w:ind w:right="0"/>
        <w:jc w:val="left"/>
      </w:pPr>
      <w:r>
        <w:rPr>
          <w:rFonts w:ascii="Times New Roman" w:hAnsi="Times New Roman" w:cs="Times New Roman" w:eastAsia="Times New Roman" w:hint="default"/>
        </w:rPr>
        <w:t>3</w:t>
      </w:r>
      <w:r>
        <w:rPr/>
        <w:t>、蒋硕先生，</w:t>
      </w:r>
      <w:r>
        <w:rPr>
          <w:rFonts w:ascii="Times New Roman" w:hAnsi="Times New Roman" w:cs="Times New Roman" w:eastAsia="Times New Roman" w:hint="default"/>
        </w:rPr>
        <w:t>1971</w:t>
      </w:r>
      <w:r>
        <w:rPr/>
        <w:t>年</w:t>
      </w:r>
      <w:r>
        <w:rPr>
          <w:rFonts w:ascii="Times New Roman" w:hAnsi="Times New Roman" w:cs="Times New Roman" w:eastAsia="Times New Roman" w:hint="default"/>
        </w:rPr>
        <w:t>1</w:t>
      </w:r>
      <w:r>
        <w:rPr/>
        <w:t>月出生，大专学历。</w:t>
      </w:r>
      <w:r>
        <w:rPr>
          <w:rFonts w:ascii="Times New Roman" w:hAnsi="Times New Roman" w:cs="Times New Roman" w:eastAsia="Times New Roman" w:hint="default"/>
        </w:rPr>
        <w:t>1999</w:t>
      </w:r>
      <w:r>
        <w:rPr/>
        <w:t>年加入公司，担任销售岗位，现任公司监事。</w:t>
      </w:r>
    </w:p>
    <w:p>
      <w:pPr>
        <w:spacing w:line="240" w:lineRule="auto" w:before="0"/>
        <w:rPr>
          <w:rFonts w:ascii="宋体" w:hAnsi="宋体" w:cs="宋体" w:eastAsia="宋体" w:hint="default"/>
          <w:sz w:val="18"/>
          <w:szCs w:val="18"/>
        </w:rPr>
      </w:pPr>
    </w:p>
    <w:p>
      <w:pPr>
        <w:pStyle w:val="BodyText"/>
        <w:spacing w:line="240" w:lineRule="auto" w:before="139"/>
        <w:ind w:right="0"/>
        <w:jc w:val="left"/>
      </w:pPr>
      <w:r>
        <w:rPr/>
        <w:t>（三）公司高级管理人员</w:t>
      </w:r>
    </w:p>
    <w:p>
      <w:pPr>
        <w:pStyle w:val="BodyText"/>
        <w:spacing w:line="240" w:lineRule="auto" w:before="76"/>
        <w:ind w:right="0"/>
        <w:jc w:val="left"/>
      </w:pPr>
      <w:r>
        <w:rPr>
          <w:rFonts w:ascii="Times New Roman" w:hAnsi="Times New Roman" w:cs="Times New Roman" w:eastAsia="Times New Roman" w:hint="default"/>
        </w:rPr>
        <w:t>1</w:t>
      </w:r>
      <w:r>
        <w:rPr/>
        <w:t>、施瑞丰先生简历见董事简历。</w:t>
      </w:r>
    </w:p>
    <w:p>
      <w:pPr>
        <w:pStyle w:val="BodyText"/>
        <w:spacing w:line="240" w:lineRule="auto" w:before="63"/>
        <w:ind w:right="0"/>
        <w:jc w:val="left"/>
      </w:pPr>
      <w:r>
        <w:rPr>
          <w:rFonts w:ascii="Times New Roman" w:hAnsi="Times New Roman" w:cs="Times New Roman" w:eastAsia="Times New Roman" w:hint="default"/>
        </w:rPr>
        <w:t>2</w:t>
      </w:r>
      <w:r>
        <w:rPr/>
        <w:t>、欧阳曜先生简历见董事简历。</w:t>
      </w:r>
    </w:p>
    <w:p>
      <w:pPr>
        <w:pStyle w:val="BodyText"/>
        <w:spacing w:line="240" w:lineRule="auto" w:before="63"/>
        <w:ind w:right="0"/>
        <w:jc w:val="left"/>
      </w:pPr>
      <w:r>
        <w:rPr>
          <w:rFonts w:ascii="Times New Roman" w:hAnsi="Times New Roman" w:cs="Times New Roman" w:eastAsia="Times New Roman" w:hint="default"/>
        </w:rPr>
        <w:t>3</w:t>
      </w:r>
      <w:r>
        <w:rPr/>
        <w:t>、邱安超先生简历见董事简历。</w:t>
      </w:r>
    </w:p>
    <w:p>
      <w:pPr>
        <w:pStyle w:val="BodyText"/>
        <w:spacing w:line="309" w:lineRule="auto" w:before="63"/>
        <w:ind w:right="0"/>
        <w:jc w:val="left"/>
      </w:pPr>
      <w:r>
        <w:rPr>
          <w:rFonts w:ascii="Times New Roman" w:hAnsi="Times New Roman" w:cs="Times New Roman" w:eastAsia="Times New Roman" w:hint="default"/>
          <w:spacing w:val="-2"/>
        </w:rPr>
        <w:t>4</w:t>
      </w:r>
      <w:r>
        <w:rPr>
          <w:spacing w:val="-2"/>
        </w:rPr>
        <w:t>、刘文圣先生，</w:t>
      </w:r>
      <w:r>
        <w:rPr>
          <w:rFonts w:ascii="Times New Roman" w:hAnsi="Times New Roman" w:cs="Times New Roman" w:eastAsia="Times New Roman" w:hint="default"/>
          <w:spacing w:val="-2"/>
        </w:rPr>
        <w:t>1974</w:t>
      </w:r>
      <w:r>
        <w:rPr>
          <w:spacing w:val="-2"/>
        </w:rPr>
        <w:t>年</w:t>
      </w:r>
      <w:r>
        <w:rPr>
          <w:rFonts w:ascii="Times New Roman" w:hAnsi="Times New Roman" w:cs="Times New Roman" w:eastAsia="Times New Roman" w:hint="default"/>
          <w:spacing w:val="-2"/>
        </w:rPr>
        <w:t>4</w:t>
      </w:r>
      <w:r>
        <w:rPr>
          <w:spacing w:val="-2"/>
        </w:rPr>
        <w:t>月出生，研究生学历。</w:t>
      </w:r>
      <w:r>
        <w:rPr>
          <w:rFonts w:ascii="Times New Roman" w:hAnsi="Times New Roman" w:cs="Times New Roman" w:eastAsia="Times New Roman" w:hint="default"/>
          <w:spacing w:val="-2"/>
        </w:rPr>
        <w:t>2002</w:t>
      </w:r>
      <w:r>
        <w:rPr>
          <w:spacing w:val="-2"/>
        </w:rPr>
        <w:t>年加入公司，现任久其软件副总裁、大数据研究院院长，并兼任北京久</w:t>
      </w:r>
      <w:r>
        <w:rPr>
          <w:spacing w:val="-60"/>
        </w:rPr>
        <w:t> </w:t>
      </w:r>
      <w:r>
        <w:rPr>
          <w:spacing w:val="-60"/>
        </w:rPr>
      </w:r>
      <w:r>
        <w:rPr/>
        <w:t>其智通数据科技有限公司董事。 </w:t>
      </w:r>
      <w:r>
        <w:rPr>
          <w:rFonts w:ascii="Times New Roman" w:hAnsi="Times New Roman" w:cs="Times New Roman" w:eastAsia="Times New Roman" w:hint="default"/>
        </w:rPr>
        <w:t>5</w:t>
      </w:r>
      <w:r>
        <w:rPr/>
        <w:t>、朱晓钧先生，</w:t>
      </w:r>
      <w:r>
        <w:rPr>
          <w:rFonts w:ascii="Times New Roman" w:hAnsi="Times New Roman" w:cs="Times New Roman" w:eastAsia="Times New Roman" w:hint="default"/>
        </w:rPr>
        <w:t>1976</w:t>
      </w:r>
      <w:r>
        <w:rPr/>
        <w:t>年</w:t>
      </w:r>
      <w:r>
        <w:rPr>
          <w:rFonts w:ascii="Times New Roman" w:hAnsi="Times New Roman" w:cs="Times New Roman" w:eastAsia="Times New Roman" w:hint="default"/>
        </w:rPr>
        <w:t>3</w:t>
      </w:r>
      <w:r>
        <w:rPr/>
        <w:t>月出生，本科学历。</w:t>
      </w:r>
      <w:r>
        <w:rPr>
          <w:rFonts w:ascii="Times New Roman" w:hAnsi="Times New Roman" w:cs="Times New Roman" w:eastAsia="Times New Roman" w:hint="default"/>
        </w:rPr>
        <w:t>1999</w:t>
      </w:r>
      <w:r>
        <w:rPr/>
        <w:t>年加入公司，现任久其软件副总裁、通信行业事业部总经理。</w:t>
      </w:r>
    </w:p>
    <w:p>
      <w:pPr>
        <w:pStyle w:val="BodyText"/>
        <w:spacing w:line="300" w:lineRule="auto" w:before="5"/>
        <w:ind w:left="154" w:right="0"/>
        <w:jc w:val="left"/>
      </w:pPr>
      <w:r>
        <w:rPr>
          <w:rFonts w:ascii="Times New Roman" w:hAnsi="Times New Roman" w:cs="Times New Roman" w:eastAsia="Times New Roman" w:hint="default"/>
          <w:spacing w:val="-2"/>
        </w:rPr>
        <w:t>6</w:t>
      </w:r>
      <w:r>
        <w:rPr>
          <w:spacing w:val="-2"/>
        </w:rPr>
        <w:t>、王海霞女士，</w:t>
      </w:r>
      <w:r>
        <w:rPr>
          <w:rFonts w:ascii="Times New Roman" w:hAnsi="Times New Roman" w:cs="Times New Roman" w:eastAsia="Times New Roman" w:hint="default"/>
          <w:spacing w:val="-2"/>
        </w:rPr>
        <w:t>1977</w:t>
      </w:r>
      <w:r>
        <w:rPr>
          <w:spacing w:val="-2"/>
        </w:rPr>
        <w:t>年</w:t>
      </w:r>
      <w:r>
        <w:rPr>
          <w:rFonts w:ascii="Times New Roman" w:hAnsi="Times New Roman" w:cs="Times New Roman" w:eastAsia="Times New Roman" w:hint="default"/>
          <w:spacing w:val="-2"/>
        </w:rPr>
        <w:t>4</w:t>
      </w:r>
      <w:r>
        <w:rPr>
          <w:spacing w:val="-2"/>
        </w:rPr>
        <w:t>月出生，本科学历。</w:t>
      </w:r>
      <w:r>
        <w:rPr>
          <w:rFonts w:ascii="Times New Roman" w:hAnsi="Times New Roman" w:cs="Times New Roman" w:eastAsia="Times New Roman" w:hint="default"/>
          <w:spacing w:val="-2"/>
        </w:rPr>
        <w:t>2001</w:t>
      </w:r>
      <w:r>
        <w:rPr>
          <w:spacing w:val="-2"/>
        </w:rPr>
        <w:t>年加入公司，现任久其软件副总裁、董事会秘书，并兼任新疆久其科技有</w:t>
      </w:r>
      <w:r>
        <w:rPr>
          <w:spacing w:val="-60"/>
        </w:rPr>
        <w:t> </w:t>
      </w:r>
      <w:r>
        <w:rPr>
          <w:spacing w:val="-60"/>
        </w:rPr>
      </w:r>
      <w:r>
        <w:rPr/>
        <w:t>限公司、海南久其云计算科技有限公司、深圳市久金保商业保理有限公司监事。</w:t>
      </w:r>
    </w:p>
    <w:p>
      <w:pPr>
        <w:spacing w:line="240" w:lineRule="auto" w:before="0"/>
        <w:rPr>
          <w:rFonts w:ascii="宋体" w:hAnsi="宋体" w:cs="宋体" w:eastAsia="宋体" w:hint="default"/>
          <w:sz w:val="18"/>
          <w:szCs w:val="18"/>
        </w:rPr>
      </w:pPr>
    </w:p>
    <w:p>
      <w:pPr>
        <w:pStyle w:val="BodyText"/>
        <w:spacing w:line="240" w:lineRule="auto" w:before="148"/>
        <w:ind w:right="0"/>
        <w:jc w:val="left"/>
      </w:pPr>
      <w:r>
        <w:rPr/>
        <w:t>在股东单位任职情况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21" w:type="dxa"/>
        <w:tblLayout w:type="fixed"/>
        <w:tblCellMar>
          <w:top w:w="0" w:type="dxa"/>
          <w:left w:w="0" w:type="dxa"/>
          <w:bottom w:w="0" w:type="dxa"/>
          <w:right w:w="0" w:type="dxa"/>
        </w:tblCellMar>
        <w:tblLook w:val="01E0"/>
      </w:tblPr>
      <w:tblGrid>
        <w:gridCol w:w="1211"/>
        <w:gridCol w:w="2503"/>
        <w:gridCol w:w="1276"/>
        <w:gridCol w:w="1559"/>
        <w:gridCol w:w="1593"/>
        <w:gridCol w:w="1553"/>
      </w:tblGrid>
      <w:tr>
        <w:trPr>
          <w:trHeight w:val="714"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05"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在股东单位担 任的职务</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21" w:right="49" w:hanging="270"/>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402" w:hRule="exact"/>
        </w:trPr>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欧阳曜</w:t>
            </w:r>
          </w:p>
        </w:tc>
        <w:tc>
          <w:tcPr>
            <w:tcW w:w="2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北京久其科技投资有限公司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54" w:right="0"/>
        <w:jc w:val="left"/>
      </w:pPr>
      <w:r>
        <w:rPr/>
        <w:t>在其他单位任职情况</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21" w:type="dxa"/>
        <w:tblLayout w:type="fixed"/>
        <w:tblCellMar>
          <w:top w:w="0" w:type="dxa"/>
          <w:left w:w="0" w:type="dxa"/>
          <w:bottom w:w="0" w:type="dxa"/>
          <w:right w:w="0" w:type="dxa"/>
        </w:tblCellMar>
        <w:tblLook w:val="01E0"/>
      </w:tblPr>
      <w:tblGrid>
        <w:gridCol w:w="1193"/>
        <w:gridCol w:w="2942"/>
        <w:gridCol w:w="992"/>
        <w:gridCol w:w="1564"/>
        <w:gridCol w:w="1662"/>
        <w:gridCol w:w="1342"/>
      </w:tblGrid>
      <w:tr>
        <w:trPr>
          <w:trHeight w:val="714" w:hRule="exact"/>
        </w:trPr>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1"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25"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0" w:right="41"/>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5" w:right="35"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邱安超</w:t>
            </w:r>
          </w:p>
        </w:tc>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广东同望科技股份有限公司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2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戴金平</w:t>
            </w:r>
          </w:p>
        </w:tc>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冀中能源股份有限公司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2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戴金平</w:t>
            </w:r>
          </w:p>
        </w:tc>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天津九安医疗电子股份有限公司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2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戴金平</w:t>
            </w:r>
          </w:p>
        </w:tc>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平安证券有限责任公司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6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戴金平</w:t>
            </w:r>
          </w:p>
        </w:tc>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金谷期货有限公司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6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50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54" w:right="0"/>
        <w:jc w:val="left"/>
      </w:pPr>
      <w:r>
        <w:rPr/>
        <w:t>公司现任及报告期内离任董事、监事和高级管理人员近三年证券监管机构处罚的情况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四、董事、监事、高级管理人员报酬情况" w:id="122"/>
      <w:bookmarkEnd w:id="122"/>
      <w:r>
        <w:rPr>
          <w:b w:val="0"/>
          <w:bCs w:val="0"/>
        </w:rPr>
      </w:r>
      <w:r>
        <w:rPr/>
        <w:t>四、董事、监事、高级管理人员报酬情况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董事、监事、高级管理人员报酬的决策程序、确定依据、实际支付情况</w:t>
      </w:r>
    </w:p>
    <w:p>
      <w:pPr>
        <w:pStyle w:val="BodyText"/>
        <w:spacing w:line="309" w:lineRule="auto" w:before="116"/>
        <w:ind w:right="1123"/>
        <w:jc w:val="left"/>
      </w:pPr>
      <w:r>
        <w:rPr>
          <w:rFonts w:ascii="Times New Roman" w:hAnsi="Times New Roman" w:cs="Times New Roman" w:eastAsia="Times New Roman" w:hint="default"/>
        </w:rPr>
        <w:t>1</w:t>
      </w:r>
      <w:r>
        <w:rPr/>
        <w:t>、公司董事会薪酬与考核委员会负责研究董事、高级管理人员考核的标准，根据董事、高级管理人员岗位职责制定薪酬方 案，审查公司董事、高级管理人员的履职情况并对其进行年度绩效考评。 </w:t>
      </w:r>
      <w:r>
        <w:rPr>
          <w:rFonts w:ascii="Times New Roman" w:hAnsi="Times New Roman" w:cs="Times New Roman" w:eastAsia="Times New Roman" w:hint="default"/>
        </w:rPr>
        <w:t>2</w:t>
      </w:r>
      <w:r>
        <w:rPr/>
        <w:t>、公司独立董事津贴标准按照由股东大会审议通过的《独立董事津贴办法》执行。</w:t>
      </w:r>
    </w:p>
    <w:p>
      <w:pPr>
        <w:pStyle w:val="BodyText"/>
        <w:spacing w:line="307" w:lineRule="auto" w:before="5"/>
        <w:ind w:left="154" w:right="0"/>
        <w:jc w:val="left"/>
      </w:pPr>
      <w:r>
        <w:rPr>
          <w:rFonts w:ascii="Times New Roman" w:hAnsi="Times New Roman" w:cs="Times New Roman" w:eastAsia="Times New Roman" w:hint="default"/>
          <w:spacing w:val="-2"/>
        </w:rPr>
        <w:t>3</w:t>
      </w:r>
      <w:r>
        <w:rPr>
          <w:spacing w:val="-2"/>
        </w:rPr>
        <w:t>、公司董事、监事按照其在公司的任职情况，根据公司现行薪酬管理制度、绩效管理制度的规定领取薪酬；公司外部董事、</w:t>
      </w:r>
      <w:r>
        <w:rPr>
          <w:spacing w:val="-64"/>
        </w:rPr>
        <w:t> </w:t>
      </w:r>
      <w:r>
        <w:rPr>
          <w:spacing w:val="-64"/>
        </w:rPr>
      </w:r>
      <w:r>
        <w:rPr/>
        <w:t>监事经股东大会批准后可以领取津贴。 </w:t>
      </w:r>
      <w:r>
        <w:rPr>
          <w:rFonts w:ascii="Times New Roman" w:hAnsi="Times New Roman" w:cs="Times New Roman" w:eastAsia="Times New Roman" w:hint="default"/>
        </w:rPr>
        <w:t>4</w:t>
      </w:r>
      <w:r>
        <w:rPr/>
        <w:t>、根据公司《董事、监事和高级管理人员薪酬管理制度》的规定，公司董事长及高级管理人员的年度薪酬总额由基本年薪 </w:t>
      </w:r>
      <w:r>
        <w:rPr>
          <w:spacing w:val="-2"/>
        </w:rPr>
        <w:t>和浮动奖金两部分构成，根据个人工作职务及岗位级别确定其基本年薪；根据公司经营业绩及个人年度绩效考核结果确定其</w:t>
      </w:r>
    </w:p>
    <w:p>
      <w:pPr>
        <w:spacing w:after="0" w:line="307"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77" w:footer="979" w:top="1100" w:bottom="1160" w:left="980" w:right="0"/>
        </w:sectPr>
      </w:pPr>
    </w:p>
    <w:p>
      <w:pPr>
        <w:pStyle w:val="BodyText"/>
        <w:spacing w:line="360" w:lineRule="auto" w:before="44"/>
        <w:ind w:right="-19"/>
        <w:jc w:val="left"/>
      </w:pPr>
      <w:r>
        <w:rPr/>
        <w:t>浮动奖金。 公司报告期内董事、监事和高级管理人员报酬情况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060" w:bottom="1160" w:left="980" w:right="0"/>
          <w:cols w:num="2" w:equalWidth="0">
            <w:col w:w="4115" w:space="4625"/>
            <w:col w:w="219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赵福君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53.16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施瑞丰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54.09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欧阳曜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60.16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邱安超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董事、副总裁、 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30.77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栗军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41.19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韩凤岐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祝卫</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王元京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戴金平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王劲岩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28.02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蒋硕</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15.44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52.25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刘文圣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49.56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朱晓钧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52.96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王海霞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副总裁、董事会 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47.37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546.68</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17"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公司董事、监事、高级管理人员报告期内被授予的股权激励情况</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公司员工情况" w:id="123"/>
      <w:bookmarkEnd w:id="123"/>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员工数量、专业构成及教育程度" w:id="124"/>
      <w:bookmarkEnd w:id="124"/>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1,123</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771</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1,894</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1,894</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b/>
          <w:bCs/>
          <w:sz w:val="24"/>
          <w:szCs w:val="24"/>
        </w:rPr>
      </w:pPr>
    </w:p>
    <w:tbl>
      <w:tblPr>
        <w:tblW w:w="0" w:type="auto"/>
        <w:jc w:val="left"/>
        <w:tblInd w:w="160" w:type="dxa"/>
        <w:tblLayout w:type="fixed"/>
        <w:tblCellMar>
          <w:top w:w="0" w:type="dxa"/>
          <w:left w:w="0" w:type="dxa"/>
          <w:bottom w:w="0" w:type="dxa"/>
          <w:right w:w="0" w:type="dxa"/>
        </w:tblCellMar>
        <w:tblLook w:val="01E0"/>
      </w:tblPr>
      <w:tblGrid>
        <w:gridCol w:w="4768"/>
        <w:gridCol w:w="4790"/>
      </w:tblGrid>
      <w:tr>
        <w:trPr>
          <w:trHeight w:val="402"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840"/>
              <w:jc w:val="right"/>
              <w:rPr>
                <w:rFonts w:ascii="宋体" w:hAnsi="宋体" w:cs="宋体" w:eastAsia="宋体" w:hint="default"/>
                <w:sz w:val="18"/>
                <w:szCs w:val="18"/>
              </w:rPr>
            </w:pPr>
            <w:r>
              <w:rPr>
                <w:rFonts w:ascii="宋体" w:hAnsi="宋体" w:cs="宋体" w:eastAsia="宋体" w:hint="default"/>
                <w:sz w:val="18"/>
                <w:szCs w:val="18"/>
              </w:rPr>
              <w:t>专业构成类别</w:t>
            </w:r>
          </w:p>
        </w:tc>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82"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3"/>
                <w:sz w:val="18"/>
              </w:rPr>
              <w:t>117</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1,353</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172</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217</w:t>
            </w:r>
          </w:p>
        </w:tc>
      </w:tr>
      <w:tr>
        <w:trPr>
          <w:trHeight w:val="407"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1,894</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840"/>
              <w:jc w:val="right"/>
              <w:rPr>
                <w:rFonts w:ascii="宋体" w:hAnsi="宋体" w:cs="宋体" w:eastAsia="宋体" w:hint="default"/>
                <w:sz w:val="18"/>
                <w:szCs w:val="18"/>
              </w:rPr>
            </w:pPr>
            <w:r>
              <w:rPr>
                <w:rFonts w:ascii="宋体" w:hAnsi="宋体" w:cs="宋体" w:eastAsia="宋体" w:hint="default"/>
                <w:sz w:val="18"/>
                <w:szCs w:val="18"/>
              </w:rPr>
              <w:t>教育程度类别</w:t>
            </w:r>
          </w:p>
        </w:tc>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研究生及以上</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142</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1,349</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3"/>
                <w:sz w:val="18"/>
              </w:rPr>
              <w:t>117</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286</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1,894</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薪酬政策" w:id="125"/>
      <w:bookmarkEnd w:id="125"/>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1129"/>
        <w:jc w:val="both"/>
      </w:pPr>
      <w:r>
        <w:rPr>
          <w:spacing w:val="-2"/>
        </w:rPr>
        <w:t>为了使公司薪酬政策起到吸引人才、激励员工、促进业绩目标完成的作用，公司根据行业薪酬状况以及公司薪酬在市场中的</w:t>
      </w:r>
      <w:r>
        <w:rPr>
          <w:spacing w:val="-66"/>
        </w:rPr>
        <w:t> </w:t>
      </w:r>
      <w:r>
        <w:rPr>
          <w:spacing w:val="-66"/>
        </w:rPr>
      </w:r>
      <w:r>
        <w:rPr>
          <w:spacing w:val="-2"/>
        </w:rPr>
        <w:t>定位，制定了公司《薪酬管理制度》《人事管理制度》《招聘管理制度》及《任职资格管理制度》等。同时为了保证员工薪</w:t>
      </w:r>
      <w:r>
        <w:rPr>
          <w:spacing w:val="-69"/>
        </w:rPr>
        <w:t> </w:t>
      </w:r>
      <w:r>
        <w:rPr>
          <w:spacing w:val="-69"/>
        </w:rPr>
      </w:r>
      <w:r>
        <w:rPr>
          <w:spacing w:val="-2"/>
        </w:rPr>
        <w:t>酬的公平性和激励作用，公司制定了《绩效考核制度》，并通过项目一体化激励制度、售前管理激励制度、职能部门岗位激</w:t>
      </w:r>
      <w:r>
        <w:rPr>
          <w:spacing w:val="-68"/>
        </w:rPr>
        <w:t> </w:t>
      </w:r>
      <w:r>
        <w:rPr>
          <w:spacing w:val="-68"/>
        </w:rPr>
      </w:r>
      <w:r>
        <w:rPr>
          <w:spacing w:val="-2"/>
        </w:rPr>
        <w:t>励制度等实现了全范围、全岗位的员工激励，有效调动了员工积极性，促进员工与公司共同成长与发展，保障公司经营计划</w:t>
      </w:r>
      <w:r>
        <w:rPr>
          <w:spacing w:val="-66"/>
        </w:rPr>
        <w:t> </w:t>
      </w:r>
      <w:r>
        <w:rPr>
          <w:spacing w:val="-66"/>
        </w:rPr>
      </w:r>
      <w:r>
        <w:rPr/>
        <w:t>的稳步落实和经营业绩的稳定增长。</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bookmarkStart w:name="3、培训计划" w:id="126"/>
      <w:bookmarkEnd w:id="126"/>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0"/>
        <w:jc w:val="left"/>
      </w:pPr>
      <w:r>
        <w:rPr>
          <w:spacing w:val="-2"/>
        </w:rPr>
        <w:t>公司素来重视员工培训工作，拥有完善的培训制度体系、讲师体系和课程体系，并配备</w:t>
      </w:r>
      <w:r>
        <w:rPr>
          <w:rFonts w:ascii="Times New Roman" w:hAnsi="Times New Roman" w:cs="Times New Roman" w:eastAsia="Times New Roman" w:hint="default"/>
          <w:spacing w:val="-2"/>
        </w:rPr>
        <w:t>3</w:t>
      </w:r>
      <w:r>
        <w:rPr>
          <w:spacing w:val="-2"/>
        </w:rPr>
        <w:t>名专职培训师和</w:t>
      </w:r>
      <w:r>
        <w:rPr>
          <w:rFonts w:ascii="Times New Roman" w:hAnsi="Times New Roman" w:cs="Times New Roman" w:eastAsia="Times New Roman" w:hint="default"/>
          <w:spacing w:val="-2"/>
        </w:rPr>
        <w:t>10</w:t>
      </w:r>
      <w:r>
        <w:rPr>
          <w:spacing w:val="-2"/>
        </w:rPr>
        <w:t>余名兼职内训师，</w:t>
      </w:r>
      <w:r>
        <w:rPr>
          <w:spacing w:val="-62"/>
        </w:rPr>
        <w:t> </w:t>
      </w:r>
      <w:r>
        <w:rPr>
          <w:spacing w:val="-2"/>
        </w:rPr>
        <w:t>通过面授公开课、网络课、岗前培训、师徒制、导师制等多种形式，不断提升员工的岗位胜任力。通过定制的人才培养和能</w:t>
      </w:r>
      <w:r>
        <w:rPr>
          <w:spacing w:val="-67"/>
        </w:rPr>
        <w:t> </w:t>
      </w:r>
      <w:r>
        <w:rPr>
          <w:spacing w:val="-67"/>
        </w:rPr>
      </w:r>
      <w:r>
        <w:rPr/>
        <w:t>力提升等培训项目，为公司各部门、各岗位提供更专业、更丰富的培训学习服务。</w:t>
      </w:r>
    </w:p>
    <w:p>
      <w:pPr>
        <w:spacing w:line="240" w:lineRule="auto" w:before="12"/>
        <w:rPr>
          <w:rFonts w:ascii="宋体" w:hAnsi="宋体" w:cs="宋体" w:eastAsia="宋体" w:hint="default"/>
          <w:sz w:val="22"/>
          <w:szCs w:val="22"/>
        </w:rPr>
      </w:pPr>
    </w:p>
    <w:p>
      <w:pPr>
        <w:pStyle w:val="Heading3"/>
        <w:spacing w:line="240" w:lineRule="auto"/>
        <w:ind w:left="153" w:right="0"/>
        <w:jc w:val="left"/>
        <w:rPr>
          <w:b w:val="0"/>
          <w:bCs w:val="0"/>
        </w:rPr>
      </w:pPr>
      <w:bookmarkStart w:name="4、劳务外包情况" w:id="127"/>
      <w:bookmarkEnd w:id="127"/>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4248"/>
        <w:jc w:val="center"/>
        <w:rPr>
          <w:b w:val="0"/>
          <w:bCs w:val="0"/>
        </w:rPr>
      </w:pPr>
      <w:bookmarkStart w:name="第九节 公司治理" w:id="128"/>
      <w:bookmarkEnd w:id="128"/>
      <w:r>
        <w:rPr>
          <w:b w:val="0"/>
          <w:bCs w:val="0"/>
        </w:rPr>
      </w:r>
      <w:bookmarkStart w:name="_bookmark8" w:id="129"/>
      <w:bookmarkEnd w:id="129"/>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治理的基本状况" w:id="130"/>
      <w:bookmarkEnd w:id="130"/>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033"/>
        <w:jc w:val="left"/>
      </w:pPr>
      <w:r>
        <w:rPr>
          <w:spacing w:val="-2"/>
        </w:rPr>
        <w:t>报告期内，公司严格按照《公司法》《证券法》《上市公司治理准则》《深圳证券交易所股票上市规则》《深圳证券交易所</w:t>
      </w:r>
      <w:r>
        <w:rPr>
          <w:spacing w:val="-67"/>
        </w:rPr>
        <w:t> </w:t>
      </w:r>
      <w:r>
        <w:rPr>
          <w:spacing w:val="-67"/>
        </w:rPr>
      </w:r>
      <w:r>
        <w:rPr/>
        <w:t>中小企业板上市公司规范运作指引》等相关法律、法规的规定，不断完善公司法人治理结构，健全内部控制体系。 </w:t>
      </w:r>
      <w:r>
        <w:rPr>
          <w:rFonts w:ascii="宋体" w:hAnsi="宋体" w:cs="宋体" w:eastAsia="宋体" w:hint="default"/>
        </w:rPr>
        <w:t>1</w:t>
      </w:r>
      <w:r>
        <w:rPr/>
        <w:t>、关于股东与股东大会 </w:t>
      </w:r>
      <w:r>
        <w:rPr>
          <w:spacing w:val="-2"/>
        </w:rPr>
        <w:t>公司严格按照《公司法》《公司章程》及《股东大会议事规则》的要求，规范股东大会的召集、召开、提案提交及表决等程</w:t>
      </w:r>
      <w:r>
        <w:rPr>
          <w:spacing w:val="-69"/>
        </w:rPr>
        <w:t> </w:t>
      </w:r>
      <w:r>
        <w:rPr>
          <w:spacing w:val="-69"/>
        </w:rPr>
      </w:r>
      <w:r>
        <w:rPr/>
        <w:t>序，依法规范运作，保障股东的合法权益，确保股东特别是中小股东能够充分行使股东权利，未出现违法违规的情况。 </w:t>
      </w:r>
      <w:r>
        <w:rPr>
          <w:rFonts w:ascii="宋体" w:hAnsi="宋体" w:cs="宋体" w:eastAsia="宋体" w:hint="default"/>
        </w:rPr>
        <w:t>2</w:t>
      </w:r>
      <w:r>
        <w:rPr/>
        <w:t>、关于公司与控股股东 </w:t>
      </w:r>
      <w:r>
        <w:rPr>
          <w:spacing w:val="-2"/>
        </w:rPr>
        <w:t>公司拥有独立的业务和经营自主能力，在业务、人员、资产、机构、财务上独立于控股股东，公司董事会、监事会和内部机</w:t>
      </w:r>
      <w:r>
        <w:rPr>
          <w:spacing w:val="-72"/>
        </w:rPr>
        <w:t> </w:t>
      </w:r>
      <w:r>
        <w:rPr>
          <w:spacing w:val="-72"/>
        </w:rPr>
      </w:r>
      <w:r>
        <w:rPr/>
        <w:t>构独立运作。公司控股股东能严格规范自己的行为，没有超越公司股东大会直接或间接干预公司的决策和经营活动的行为。 </w:t>
      </w:r>
      <w:r>
        <w:rPr>
          <w:rFonts w:ascii="宋体" w:hAnsi="宋体" w:cs="宋体" w:eastAsia="宋体" w:hint="default"/>
        </w:rPr>
        <w:t>3</w:t>
      </w:r>
      <w:r>
        <w:rPr/>
        <w:t>、关于董事和董事会 </w:t>
      </w:r>
      <w:r>
        <w:rPr>
          <w:spacing w:val="-2"/>
        </w:rPr>
        <w:t>截至报告期末，公司董事会由</w:t>
      </w:r>
      <w:r>
        <w:rPr>
          <w:rFonts w:ascii="Times New Roman" w:hAnsi="Times New Roman" w:cs="Times New Roman" w:eastAsia="Times New Roman" w:hint="default"/>
          <w:spacing w:val="-2"/>
        </w:rPr>
        <w:t>9</w:t>
      </w:r>
      <w:r>
        <w:rPr>
          <w:spacing w:val="-2"/>
        </w:rPr>
        <w:t>名董事组成，其中独立董事</w:t>
      </w:r>
      <w:r>
        <w:rPr>
          <w:rFonts w:ascii="Times New Roman" w:hAnsi="Times New Roman" w:cs="Times New Roman" w:eastAsia="Times New Roman" w:hint="default"/>
          <w:spacing w:val="-2"/>
        </w:rPr>
        <w:t>3</w:t>
      </w:r>
      <w:r>
        <w:rPr>
          <w:spacing w:val="-2"/>
        </w:rPr>
        <w:t>名。董事会的人数及人员构成符合相关法律、法规的要求。董事</w:t>
      </w:r>
      <w:r>
        <w:rPr>
          <w:spacing w:val="-64"/>
        </w:rPr>
        <w:t> </w:t>
      </w:r>
      <w:r>
        <w:rPr>
          <w:spacing w:val="-64"/>
        </w:rPr>
      </w:r>
      <w:r>
        <w:rPr>
          <w:spacing w:val="-2"/>
        </w:rPr>
        <w:t>会按照《公司法》《董事会议事规则》及《深圳证券交易所中小企业板上市公司规范运作指引》的要求召集组织会议，全体</w:t>
      </w:r>
      <w:r>
        <w:rPr>
          <w:spacing w:val="-70"/>
        </w:rPr>
        <w:t> </w:t>
      </w:r>
      <w:r>
        <w:rPr>
          <w:spacing w:val="-70"/>
        </w:rPr>
      </w:r>
      <w:r>
        <w:rPr/>
        <w:t>董事能够依法行使职权，认真履行董事诚实守信、勤勉尽责的义务，认真出席董事会和股东大会。 </w:t>
      </w:r>
      <w:r>
        <w:rPr>
          <w:spacing w:val="-2"/>
        </w:rPr>
        <w:t>董事会下设的战略发展委员会、审计委员会、薪酬与考核委员会和提名委员会，能够严格按照有关议事规则的要求召集并组</w:t>
      </w:r>
      <w:r>
        <w:rPr>
          <w:spacing w:val="-66"/>
        </w:rPr>
        <w:t> </w:t>
      </w:r>
      <w:r>
        <w:rPr>
          <w:spacing w:val="-66"/>
        </w:rPr>
      </w:r>
      <w:r>
        <w:rPr>
          <w:spacing w:val="-2"/>
        </w:rPr>
        <w:t>织会议，在董事会授权范围内，积极发挥专门委员会的专业作用，协助董事会履行职责，有效提升了董事会的履职能力，进</w:t>
      </w:r>
      <w:r>
        <w:rPr>
          <w:spacing w:val="-66"/>
        </w:rPr>
        <w:t> </w:t>
      </w:r>
      <w:r>
        <w:rPr>
          <w:spacing w:val="-66"/>
        </w:rPr>
      </w:r>
      <w:r>
        <w:rPr/>
        <w:t>一步完善了公司治理结构。</w:t>
      </w:r>
    </w:p>
    <w:p>
      <w:pPr>
        <w:pStyle w:val="BodyText"/>
        <w:spacing w:line="312" w:lineRule="auto" w:before="19"/>
        <w:ind w:right="0"/>
        <w:jc w:val="left"/>
      </w:pPr>
      <w:r>
        <w:rPr>
          <w:rFonts w:ascii="宋体" w:hAnsi="宋体" w:cs="宋体" w:eastAsia="宋体" w:hint="default"/>
        </w:rPr>
        <w:t>4</w:t>
      </w:r>
      <w:r>
        <w:rPr/>
        <w:t>、关于监事和监事会 </w:t>
      </w:r>
      <w:r>
        <w:rPr>
          <w:spacing w:val="-2"/>
        </w:rPr>
        <w:t>公司监事会设监事</w:t>
      </w:r>
      <w:r>
        <w:rPr>
          <w:rFonts w:ascii="Times New Roman" w:hAnsi="Times New Roman" w:cs="Times New Roman" w:eastAsia="Times New Roman" w:hint="default"/>
          <w:spacing w:val="-2"/>
        </w:rPr>
        <w:t>3</w:t>
      </w:r>
      <w:r>
        <w:rPr>
          <w:spacing w:val="-2"/>
        </w:rPr>
        <w:t>名，其中职工代表监事</w:t>
      </w:r>
      <w:r>
        <w:rPr>
          <w:rFonts w:ascii="Times New Roman" w:hAnsi="Times New Roman" w:cs="Times New Roman" w:eastAsia="Times New Roman" w:hint="default"/>
          <w:spacing w:val="-2"/>
        </w:rPr>
        <w:t>1</w:t>
      </w:r>
      <w:r>
        <w:rPr>
          <w:spacing w:val="-2"/>
        </w:rPr>
        <w:t>名，监事会的人数和构成符合相关法律、法规的要求。监事会严格按照《公司章</w:t>
      </w:r>
      <w:r>
        <w:rPr>
          <w:spacing w:val="-65"/>
        </w:rPr>
        <w:t> </w:t>
      </w:r>
      <w:r>
        <w:rPr>
          <w:spacing w:val="-65"/>
        </w:rPr>
      </w:r>
      <w:r>
        <w:rPr>
          <w:spacing w:val="-2"/>
        </w:rPr>
        <w:t>程》和《监事会议事规则》要求，对公司财务状况、董事会专门委员会及董事、独立董事、高级管理人员履职的合法合规性</w:t>
      </w:r>
      <w:r>
        <w:rPr>
          <w:spacing w:val="-72"/>
        </w:rPr>
        <w:t> </w:t>
      </w:r>
      <w:r>
        <w:rPr>
          <w:spacing w:val="-72"/>
        </w:rPr>
      </w:r>
      <w:r>
        <w:rPr/>
        <w:t>进行了监督，切实履行了职责。</w:t>
      </w:r>
    </w:p>
    <w:p>
      <w:pPr>
        <w:pStyle w:val="BodyText"/>
        <w:spacing w:line="316" w:lineRule="auto" w:before="22"/>
        <w:ind w:left="154" w:right="1032"/>
        <w:jc w:val="left"/>
      </w:pPr>
      <w:r>
        <w:rPr>
          <w:rFonts w:ascii="宋体" w:hAnsi="宋体" w:cs="宋体" w:eastAsia="宋体" w:hint="default"/>
        </w:rPr>
        <w:t>5</w:t>
      </w:r>
      <w:r>
        <w:rPr/>
        <w:t>、关于内部审计工作 公司按照《公司法》《审计法》《审计署关于内部审计工作的规定》《深圳证券交易所中小企业板上市公司规范运作指引》 </w:t>
      </w:r>
      <w:r>
        <w:rPr>
          <w:spacing w:val="-2"/>
        </w:rPr>
        <w:t>的要求，制定了《内部审计制度》，设立了审计部，并配备了专职的内部审计人员，对公司日常运营进行有效监控，并对公</w:t>
      </w:r>
      <w:r>
        <w:rPr>
          <w:spacing w:val="-72"/>
        </w:rPr>
        <w:t> </w:t>
      </w:r>
      <w:r>
        <w:rPr>
          <w:spacing w:val="-72"/>
        </w:rPr>
      </w:r>
      <w:r>
        <w:rPr/>
        <w:t>司内控的完整性、合理性及其实施的有效性进行检查和评估。</w:t>
      </w:r>
    </w:p>
    <w:p>
      <w:pPr>
        <w:pStyle w:val="BodyText"/>
        <w:spacing w:line="316" w:lineRule="auto" w:before="19"/>
        <w:ind w:left="154" w:right="0"/>
        <w:jc w:val="left"/>
      </w:pPr>
      <w:r>
        <w:rPr>
          <w:rFonts w:ascii="宋体" w:hAnsi="宋体" w:cs="宋体" w:eastAsia="宋体" w:hint="default"/>
        </w:rPr>
        <w:t>6</w:t>
      </w:r>
      <w:r>
        <w:rPr/>
        <w:t>、关于相关利益者 </w:t>
      </w:r>
      <w:r>
        <w:rPr>
          <w:spacing w:val="-4"/>
        </w:rPr>
        <w:t>公司充分尊重和维护相关利益者的合法权益，实现社会、股东、公司、员工等各方利益的协调平衡，诚信对待供应商和客户，</w:t>
      </w:r>
      <w:r>
        <w:rPr>
          <w:spacing w:val="-43"/>
        </w:rPr>
        <w:t> </w:t>
      </w:r>
      <w:r>
        <w:rPr>
          <w:spacing w:val="-43"/>
        </w:rPr>
      </w:r>
      <w:r>
        <w:rPr/>
        <w:t>坚持与相关利益者互利共赢的原则，共同推动公司持续、稳健发展。</w:t>
      </w:r>
    </w:p>
    <w:p>
      <w:pPr>
        <w:pStyle w:val="BodyText"/>
        <w:spacing w:line="314" w:lineRule="auto" w:before="19"/>
        <w:ind w:right="0"/>
        <w:jc w:val="left"/>
      </w:pPr>
      <w:r>
        <w:rPr>
          <w:rFonts w:ascii="宋体" w:hAnsi="宋体" w:cs="宋体" w:eastAsia="宋体" w:hint="default"/>
        </w:rPr>
        <w:t>7</w:t>
      </w:r>
      <w:r>
        <w:rPr/>
        <w:t>、关于信息披露与投资者关系管理 </w:t>
      </w:r>
      <w:r>
        <w:rPr>
          <w:spacing w:val="-2"/>
        </w:rPr>
        <w:t>公司严格按照中国证监会《上市公司信息披露管理办法》《深圳证券交易所中小企业板上市公司规范运作指引》的规定，以</w:t>
      </w:r>
      <w:r>
        <w:rPr>
          <w:spacing w:val="-66"/>
        </w:rPr>
        <w:t> </w:t>
      </w:r>
      <w:r>
        <w:rPr>
          <w:spacing w:val="-66"/>
        </w:rPr>
      </w:r>
      <w:r>
        <w:rPr>
          <w:spacing w:val="-2"/>
        </w:rPr>
        <w:t>及公司《信息披露制度》《投资者关系管理制度》的要求，履行信息披露义务。公司董事会秘书为信息披露及投资者关系管</w:t>
      </w:r>
      <w:r>
        <w:rPr>
          <w:spacing w:val="-67"/>
        </w:rPr>
        <w:t> </w:t>
      </w:r>
      <w:r>
        <w:rPr>
          <w:spacing w:val="-67"/>
        </w:rPr>
      </w:r>
      <w:r>
        <w:rPr>
          <w:spacing w:val="-2"/>
        </w:rPr>
        <w:t>理的负责人，通过采用投资者专线电话、电子邮箱、现场接待及深圳证券交易所互动易平台等多种方式，实现与广大投资者</w:t>
      </w:r>
      <w:r>
        <w:rPr>
          <w:spacing w:val="-66"/>
        </w:rPr>
        <w:t> </w:t>
      </w:r>
      <w:r>
        <w:rPr>
          <w:spacing w:val="-66"/>
        </w:rPr>
      </w:r>
      <w:r>
        <w:rPr>
          <w:spacing w:val="-2"/>
        </w:rPr>
        <w:t>及时、高效的沟通；并及时通过深交所互动易平台向广大股东展示投资者关系活动记录表，着力于提高公司信息披露的透明</w:t>
      </w:r>
      <w:r>
        <w:rPr>
          <w:spacing w:val="-66"/>
        </w:rPr>
        <w:t> </w:t>
      </w:r>
      <w:r>
        <w:rPr>
          <w:spacing w:val="-66"/>
        </w:rPr>
      </w:r>
      <w:r>
        <w:rPr/>
        <w:t>度及公平性。《中国证券报》《证券时报》为公司信息披露的指定报纸，巨潮资讯网</w:t>
      </w:r>
      <w:hyperlink r:id="rId24">
        <w:r>
          <w:rPr>
            <w:rFonts w:ascii="Times New Roman" w:hAnsi="Times New Roman" w:cs="Times New Roman" w:eastAsia="Times New Roman" w:hint="default"/>
          </w:rPr>
          <w:t>www.cninfo.com.cn</w:t>
        </w:r>
        <w:r>
          <w:rPr/>
          <w:t>为公司信息披露的</w:t>
        </w:r>
      </w:hyperlink>
      <w:r>
        <w:rPr>
          <w:w w:val="99"/>
        </w:rPr>
        <w:t> </w:t>
      </w:r>
      <w:r>
        <w:rPr/>
        <w:t>指定网站，严格按照有关规定真实、准确、完整、及时地披露有关信息，确保公司所有股东能够平等地获得信息。</w:t>
      </w:r>
    </w:p>
    <w:p>
      <w:pPr>
        <w:pStyle w:val="BodyText"/>
        <w:spacing w:line="240" w:lineRule="auto" w:before="61"/>
        <w:ind w:right="0"/>
        <w:jc w:val="left"/>
      </w:pPr>
      <w:r>
        <w:rPr/>
        <w:t>公司治理的实际状况与中国证监会发布的有关上市公司治理的规范性文件是否存在重大差异</w:t>
      </w:r>
    </w:p>
    <w:p>
      <w:pPr>
        <w:pStyle w:val="BodyText"/>
        <w:spacing w:line="338" w:lineRule="auto" w:before="117"/>
        <w:ind w:right="35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after="0" w:line="338" w:lineRule="auto"/>
        <w:jc w:val="left"/>
        <w:sectPr>
          <w:pgSz w:w="11910" w:h="16840"/>
          <w:pgMar w:header="877" w:footer="979" w:top="1100" w:bottom="1160" w:left="980" w:right="0"/>
        </w:sectPr>
      </w:pPr>
    </w:p>
    <w:p>
      <w:pPr>
        <w:spacing w:line="240" w:lineRule="auto" w:before="8"/>
        <w:rPr>
          <w:rFonts w:ascii="宋体" w:hAnsi="宋体" w:cs="宋体" w:eastAsia="宋体" w:hint="default"/>
          <w:sz w:val="19"/>
          <w:szCs w:val="19"/>
        </w:rPr>
      </w:pPr>
    </w:p>
    <w:p>
      <w:pPr>
        <w:pStyle w:val="Heading2"/>
        <w:spacing w:line="240" w:lineRule="auto" w:before="26"/>
        <w:ind w:right="0"/>
        <w:jc w:val="left"/>
        <w:rPr>
          <w:b w:val="0"/>
          <w:bCs w:val="0"/>
        </w:rPr>
      </w:pPr>
      <w:bookmarkStart w:name="二、公司相对于控股股东在业务、人员、资产、机构、财务等方面的独立情况" w:id="131"/>
      <w:bookmarkEnd w:id="131"/>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spacing w:val="-2"/>
        </w:rPr>
        <w:t>公司的控股股东是北京久其科技投资有限公司。该控股股东行为规范，没有超越股东大会直接或通过其他途径间接干预公司</w:t>
      </w:r>
      <w:r>
        <w:rPr>
          <w:spacing w:val="-64"/>
        </w:rPr>
        <w:t> </w:t>
      </w:r>
      <w:r>
        <w:rPr>
          <w:spacing w:val="-64"/>
        </w:rPr>
      </w:r>
      <w:r>
        <w:rPr>
          <w:spacing w:val="-2"/>
        </w:rPr>
        <w:t>的决策和经营活动。公司董事会、监事会、经理会能够独立运作，公司与控股股东在业务、人员、资产、机构、财务等方面</w:t>
      </w:r>
      <w:r>
        <w:rPr>
          <w:spacing w:val="-67"/>
        </w:rPr>
        <w:t> </w:t>
      </w:r>
      <w:r>
        <w:rPr>
          <w:spacing w:val="-67"/>
        </w:rPr>
      </w:r>
      <w:r>
        <w:rPr/>
        <w:t>完全分开，具有独立完整的业务及自主经营能力。 </w:t>
      </w:r>
      <w:r>
        <w:rPr>
          <w:spacing w:val="-2"/>
        </w:rPr>
        <w:t>业务独立情况：公司独立从事业务经营，拥有独立产品研发、销售采购和技术服务运作体系和独立的商标权、著作权等知识</w:t>
      </w:r>
      <w:r>
        <w:rPr>
          <w:spacing w:val="-66"/>
        </w:rPr>
        <w:t> </w:t>
      </w:r>
      <w:r>
        <w:rPr>
          <w:spacing w:val="-66"/>
        </w:rPr>
      </w:r>
      <w:r>
        <w:rPr/>
        <w:t>产权，与控股股东及其关联企业不存在依赖关系。 人员独立情况：公司的人事管理和绩效管理完全独立，与控股股东及其关联企业不存在依赖关系。 </w:t>
      </w:r>
      <w:r>
        <w:rPr>
          <w:spacing w:val="-2"/>
        </w:rPr>
        <w:t>资产独立情况：公司所拥有的生产经营场所房屋所有权、土地使用权、相关配套设施、工业产权和非专利技术等有形和无形</w:t>
      </w:r>
      <w:r>
        <w:rPr>
          <w:spacing w:val="-66"/>
        </w:rPr>
        <w:t> </w:t>
      </w:r>
      <w:r>
        <w:rPr>
          <w:spacing w:val="-66"/>
        </w:rPr>
      </w:r>
      <w:r>
        <w:rPr/>
        <w:t>资产完全独立于控股股东及其关联企业。 机构独立情况：公司与控股股东及其关联企业在机构设置方面不存在交叉关联及上下级关系情况。 </w:t>
      </w:r>
      <w:r>
        <w:rPr>
          <w:spacing w:val="-2"/>
        </w:rPr>
        <w:t>财务独立情况：公司拥有独立的财务会计部门，独立的会计核算体系和财务管理制度。公司独立做出财务决策，并拥有独立</w:t>
      </w:r>
      <w:r>
        <w:rPr>
          <w:spacing w:val="-66"/>
        </w:rPr>
        <w:t> </w:t>
      </w:r>
      <w:r>
        <w:rPr>
          <w:spacing w:val="-66"/>
        </w:rPr>
      </w:r>
      <w:r>
        <w:rPr/>
        <w:t>银行账户，依法独立纳税。</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三、同业竞争情况" w:id="132"/>
      <w:bookmarkEnd w:id="132"/>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报告期内召开的年度股东大会和临时股东大会的有关情况" w:id="133"/>
      <w:bookmarkEnd w:id="133"/>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本报告期股东大会情况" w:id="134"/>
      <w:bookmarkEnd w:id="134"/>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240"/>
        <w:gridCol w:w="851"/>
        <w:gridCol w:w="1559"/>
        <w:gridCol w:w="1559"/>
        <w:gridCol w:w="2763"/>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50" w:right="59" w:hanging="90"/>
              <w:jc w:val="left"/>
              <w:rPr>
                <w:rFonts w:ascii="宋体" w:hAnsi="宋体" w:cs="宋体" w:eastAsia="宋体" w:hint="default"/>
                <w:sz w:val="18"/>
                <w:szCs w:val="18"/>
              </w:rPr>
            </w:pPr>
            <w:r>
              <w:rPr>
                <w:rFonts w:ascii="宋体" w:hAnsi="宋体" w:cs="宋体" w:eastAsia="宋体" w:hint="default"/>
                <w:sz w:val="18"/>
                <w:szCs w:val="18"/>
              </w:rPr>
              <w:t>投资者参 与比例</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2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02"/>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0.05%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年第一次临时股东大会决议 公告（公告编号</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2015-020</w:t>
            </w:r>
            <w:r>
              <w:rPr>
                <w:rFonts w:ascii="宋体" w:hAnsi="宋体" w:cs="宋体" w:eastAsia="宋体" w:hint="default"/>
                <w:sz w:val="18"/>
                <w:szCs w:val="18"/>
              </w:rPr>
              <w:t>）已披露 于巨潮资讯网</w:t>
            </w:r>
            <w:r>
              <w:rPr>
                <w:rFonts w:ascii="宋体" w:hAnsi="宋体" w:cs="宋体" w:eastAsia="宋体" w:hint="default"/>
                <w:spacing w:val="-63"/>
                <w:sz w:val="18"/>
                <w:szCs w:val="18"/>
              </w:rPr>
              <w:t> </w:t>
            </w:r>
            <w:hyperlink r:id="rId13">
              <w:r>
                <w:rPr>
                  <w:rFonts w:ascii="Times New Roman" w:hAnsi="Times New Roman" w:cs="Times New Roman" w:eastAsia="Times New Roman" w:hint="default"/>
                  <w:sz w:val="18"/>
                  <w:szCs w:val="18"/>
                </w:rPr>
                <w:t>www.cninfo.com.cn</w:t>
              </w:r>
            </w:hyperlink>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02"/>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0.02%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2"/>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pacing w:val="-4"/>
                <w:sz w:val="18"/>
                <w:szCs w:val="18"/>
              </w:rPr>
              <w:t>年度股东大会决议公告（公告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编号</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2015-048</w:t>
            </w:r>
            <w:r>
              <w:rPr>
                <w:rFonts w:ascii="宋体" w:hAnsi="宋体" w:cs="宋体" w:eastAsia="宋体" w:hint="default"/>
                <w:sz w:val="18"/>
                <w:szCs w:val="18"/>
              </w:rPr>
              <w:t>）已披露于巨潮资讯 网</w:t>
            </w:r>
            <w:r>
              <w:rPr>
                <w:rFonts w:ascii="宋体" w:hAnsi="宋体" w:cs="宋体" w:eastAsia="宋体" w:hint="default"/>
                <w:spacing w:val="-60"/>
                <w:sz w:val="18"/>
                <w:szCs w:val="18"/>
              </w:rPr>
              <w:t> </w:t>
            </w:r>
            <w:hyperlink r:id="rId13">
              <w:r>
                <w:rPr>
                  <w:rFonts w:ascii="Times New Roman" w:hAnsi="Times New Roman" w:cs="Times New Roman" w:eastAsia="Times New Roman" w:hint="default"/>
                  <w:sz w:val="18"/>
                  <w:szCs w:val="18"/>
                </w:rPr>
                <w:t>www.cninfo.com.cn</w:t>
              </w:r>
            </w:hyperlink>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02"/>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0.02%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年第二次临时股东大会决议 公告（公告编号</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2015-053</w:t>
            </w:r>
            <w:r>
              <w:rPr>
                <w:rFonts w:ascii="宋体" w:hAnsi="宋体" w:cs="宋体" w:eastAsia="宋体" w:hint="default"/>
                <w:sz w:val="18"/>
                <w:szCs w:val="18"/>
              </w:rPr>
              <w:t>）已披露 于巨潮资讯网</w:t>
            </w:r>
            <w:r>
              <w:rPr>
                <w:rFonts w:ascii="宋体" w:hAnsi="宋体" w:cs="宋体" w:eastAsia="宋体" w:hint="default"/>
                <w:spacing w:val="-63"/>
                <w:sz w:val="18"/>
                <w:szCs w:val="18"/>
              </w:rPr>
              <w:t> </w:t>
            </w:r>
            <w:hyperlink r:id="rId13">
              <w:r>
                <w:rPr>
                  <w:rFonts w:ascii="Times New Roman" w:hAnsi="Times New Roman" w:cs="Times New Roman" w:eastAsia="Times New Roman" w:hint="default"/>
                  <w:sz w:val="18"/>
                  <w:szCs w:val="18"/>
                </w:rPr>
                <w:t>www.cninfo.com.cn</w:t>
              </w:r>
            </w:hyperlink>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02"/>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0.05%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年第三次临时股东大会决议 公告（公告编号</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2015-080</w:t>
            </w:r>
            <w:r>
              <w:rPr>
                <w:rFonts w:ascii="宋体" w:hAnsi="宋体" w:cs="宋体" w:eastAsia="宋体" w:hint="default"/>
                <w:sz w:val="18"/>
                <w:szCs w:val="18"/>
              </w:rPr>
              <w:t>）已披露 于巨潮资讯网</w:t>
            </w:r>
            <w:r>
              <w:rPr>
                <w:rFonts w:ascii="宋体" w:hAnsi="宋体" w:cs="宋体" w:eastAsia="宋体" w:hint="default"/>
                <w:spacing w:val="-63"/>
                <w:sz w:val="18"/>
                <w:szCs w:val="18"/>
              </w:rPr>
              <w:t> </w:t>
            </w:r>
            <w:hyperlink r:id="rId13">
              <w:r>
                <w:rPr>
                  <w:rFonts w:ascii="Times New Roman" w:hAnsi="Times New Roman" w:cs="Times New Roman" w:eastAsia="Times New Roman" w:hint="default"/>
                  <w:sz w:val="18"/>
                  <w:szCs w:val="18"/>
                </w:rPr>
                <w:t>www.cninfo.com.cn</w:t>
              </w:r>
            </w:hyperlink>
          </w:p>
        </w:tc>
      </w:tr>
      <w:tr>
        <w:trPr>
          <w:trHeight w:val="102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 股东大会</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02"/>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0.02%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年第四次临时股东大会决议 公告（公告编号</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2015-118</w:t>
            </w:r>
            <w:r>
              <w:rPr>
                <w:rFonts w:ascii="宋体" w:hAnsi="宋体" w:cs="宋体" w:eastAsia="宋体" w:hint="default"/>
                <w:sz w:val="18"/>
                <w:szCs w:val="18"/>
              </w:rPr>
              <w:t>）已披露 于巨潮资讯网</w:t>
            </w:r>
            <w:r>
              <w:rPr>
                <w:rFonts w:ascii="宋体" w:hAnsi="宋体" w:cs="宋体" w:eastAsia="宋体" w:hint="default"/>
                <w:spacing w:val="-63"/>
                <w:sz w:val="18"/>
                <w:szCs w:val="18"/>
              </w:rPr>
              <w:t> </w:t>
            </w:r>
            <w:hyperlink r:id="rId13">
              <w:r>
                <w:rPr>
                  <w:rFonts w:ascii="Times New Roman" w:hAnsi="Times New Roman" w:cs="Times New Roman" w:eastAsia="Times New Roman" w:hint="default"/>
                  <w:sz w:val="18"/>
                  <w:szCs w:val="18"/>
                </w:rPr>
                <w:t>www.cninfo.com.cn</w:t>
              </w:r>
            </w:hyperlink>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表决权恢复的优先股股东请求召开临时股东大会" w:id="135"/>
      <w:bookmarkEnd w:id="135"/>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100" w:bottom="1160" w:left="980" w:right="0"/>
        </w:sectPr>
      </w:pPr>
    </w:p>
    <w:p>
      <w:pPr>
        <w:spacing w:line="240" w:lineRule="auto" w:before="8"/>
        <w:rPr>
          <w:rFonts w:ascii="宋体" w:hAnsi="宋体" w:cs="宋体" w:eastAsia="宋体" w:hint="default"/>
          <w:sz w:val="19"/>
          <w:szCs w:val="19"/>
        </w:rPr>
      </w:pPr>
    </w:p>
    <w:p>
      <w:pPr>
        <w:pStyle w:val="Heading2"/>
        <w:spacing w:line="240" w:lineRule="auto" w:before="26"/>
        <w:ind w:right="0"/>
        <w:jc w:val="left"/>
        <w:rPr>
          <w:b w:val="0"/>
          <w:bCs w:val="0"/>
        </w:rPr>
      </w:pPr>
      <w:bookmarkStart w:name="五、报告期内独立董事履行职责的情况" w:id="136"/>
      <w:bookmarkEnd w:id="136"/>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独立董事出席董事会及股东大会的情况" w:id="137"/>
      <w:bookmarkEnd w:id="137"/>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4"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韩凤岐</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14</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1" w:right="0"/>
              <w:jc w:val="left"/>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祝 卫（离任）</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14</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14</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1" w:right="0"/>
              <w:jc w:val="lef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王元京</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1" w:right="0"/>
              <w:jc w:val="left"/>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戴金平</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1" w:right="0"/>
              <w:jc w:val="left"/>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独立董事对公司有关事项提出异议的情况" w:id="138"/>
      <w:bookmarkEnd w:id="138"/>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独立董事对公司有关事项是否提出异议</w:t>
      </w:r>
    </w:p>
    <w:p>
      <w:pPr>
        <w:pStyle w:val="BodyText"/>
        <w:spacing w:line="338" w:lineRule="auto" w:before="116"/>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2"/>
        <w:rPr>
          <w:rFonts w:ascii="宋体" w:hAnsi="宋体" w:cs="宋体" w:eastAsia="宋体" w:hint="default"/>
          <w:sz w:val="21"/>
          <w:szCs w:val="21"/>
        </w:rPr>
      </w:pPr>
    </w:p>
    <w:p>
      <w:pPr>
        <w:pStyle w:val="Heading3"/>
        <w:spacing w:line="240" w:lineRule="auto"/>
        <w:ind w:left="153" w:right="0"/>
        <w:jc w:val="left"/>
        <w:rPr>
          <w:b w:val="0"/>
          <w:bCs w:val="0"/>
        </w:rPr>
      </w:pPr>
      <w:bookmarkStart w:name="3、独立董事履行职责的其他说明" w:id="139"/>
      <w:bookmarkEnd w:id="139"/>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pStyle w:val="BodyText"/>
        <w:spacing w:line="338" w:lineRule="auto" w:before="117"/>
        <w:ind w:right="67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16" w:lineRule="auto" w:before="41"/>
        <w:ind w:right="1033"/>
        <w:jc w:val="left"/>
      </w:pPr>
      <w:r>
        <w:rPr/>
        <w:t>报告期内，公司独立董事严格按照《公司法》《上市公司治理准则》《深圳证券交易所中小企业板上市公司规范运作指引》 </w:t>
      </w:r>
      <w:r>
        <w:rPr>
          <w:spacing w:val="-2"/>
        </w:rPr>
        <w:t>等法律法规及《公司章程》《独立董事工作制度》的要求，忠实履行职责，充分发挥独立董事作用，维护公司股东尤其是中</w:t>
      </w:r>
      <w:r>
        <w:rPr>
          <w:spacing w:val="-70"/>
        </w:rPr>
        <w:t> </w:t>
      </w:r>
      <w:r>
        <w:rPr>
          <w:spacing w:val="-70"/>
        </w:rPr>
      </w:r>
      <w:r>
        <w:rPr>
          <w:spacing w:val="-2"/>
        </w:rPr>
        <w:t>小股东的利益。公司独立董事在报告期内通过参与公司董事会及其专门委员会、现场会谈考察等方式，及时了解公司经营状</w:t>
      </w:r>
      <w:r>
        <w:rPr>
          <w:spacing w:val="-66"/>
        </w:rPr>
        <w:t> </w:t>
      </w:r>
      <w:r>
        <w:rPr>
          <w:spacing w:val="-66"/>
        </w:rPr>
      </w:r>
      <w:r>
        <w:rPr>
          <w:spacing w:val="-2"/>
        </w:rPr>
        <w:t>况、财务状况、内部控制建设以及重大事项进展等情况，并提出建议。公司采纳了独立董事相关建议，并委托经营管理层组</w:t>
      </w:r>
      <w:r>
        <w:rPr>
          <w:spacing w:val="-66"/>
        </w:rPr>
        <w:t> </w:t>
      </w:r>
      <w:r>
        <w:rPr>
          <w:spacing w:val="-66"/>
        </w:rPr>
      </w:r>
      <w:r>
        <w:rPr/>
        <w:t>织相关工作的开展。</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六、董事会下设专门委员会在报告期内履行职责情况" w:id="140"/>
      <w:bookmarkEnd w:id="140"/>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0"/>
        <w:jc w:val="left"/>
      </w:pPr>
      <w:r>
        <w:rPr>
          <w:spacing w:val="-2"/>
        </w:rPr>
        <w:t>报告期内，董事会审计委员会、薪酬与考核委员会、提名委员会按照其议事规则、《深圳证券交易所中小企业板上市公司规</w:t>
      </w:r>
      <w:r>
        <w:rPr>
          <w:spacing w:val="-65"/>
        </w:rPr>
        <w:t> </w:t>
      </w:r>
      <w:r>
        <w:rPr>
          <w:spacing w:val="-65"/>
        </w:rPr>
      </w:r>
      <w:r>
        <w:rPr/>
        <w:t>范运作指引》等规范的要求，组织召开专门委员会会议，认真履行有关职责。</w:t>
      </w:r>
    </w:p>
    <w:p>
      <w:pPr>
        <w:pStyle w:val="BodyText"/>
        <w:spacing w:line="304" w:lineRule="auto" w:before="19"/>
        <w:ind w:right="1118"/>
        <w:jc w:val="left"/>
      </w:pPr>
      <w:r>
        <w:rPr>
          <w:rFonts w:ascii="宋体" w:hAnsi="宋体" w:cs="宋体" w:eastAsia="宋体" w:hint="default"/>
        </w:rPr>
        <w:t>1</w:t>
      </w:r>
      <w:r>
        <w:rPr/>
        <w:t>、董事会审计委员会 </w:t>
      </w:r>
      <w:r>
        <w:rPr>
          <w:spacing w:val="-2"/>
        </w:rPr>
        <w:t>报告期内，公司董事会审计委员会召开会议六次。在</w:t>
      </w:r>
      <w:r>
        <w:rPr>
          <w:rFonts w:ascii="Times New Roman" w:hAnsi="Times New Roman" w:cs="Times New Roman" w:eastAsia="Times New Roman" w:hint="default"/>
          <w:spacing w:val="-2"/>
        </w:rPr>
        <w:t>2014</w:t>
      </w:r>
      <w:r>
        <w:rPr>
          <w:spacing w:val="-2"/>
        </w:rPr>
        <w:t>年度报告编制期间，公司董事会审计委员会委员通过审议审计工作</w:t>
      </w:r>
      <w:r>
        <w:rPr>
          <w:spacing w:val="-62"/>
        </w:rPr>
        <w:t> </w:t>
      </w:r>
      <w:r>
        <w:rPr>
          <w:spacing w:val="-62"/>
        </w:rPr>
      </w:r>
      <w:r>
        <w:rPr>
          <w:spacing w:val="-2"/>
        </w:rPr>
        <w:t>计划、财务报表、审计报告以及内部控制报告等文件，并与经营管理层和年审会计师现场沟通的方式，有效指导了公司</w:t>
      </w:r>
      <w:r>
        <w:rPr>
          <w:rFonts w:ascii="Times New Roman" w:hAnsi="Times New Roman" w:cs="Times New Roman" w:eastAsia="Times New Roman" w:hint="default"/>
          <w:spacing w:val="-2"/>
        </w:rPr>
        <w:t>2014</w:t>
      </w:r>
      <w:r>
        <w:rPr>
          <w:rFonts w:ascii="Times New Roman" w:hAnsi="Times New Roman" w:cs="Times New Roman" w:eastAsia="Times New Roman" w:hint="default"/>
          <w:spacing w:val="-17"/>
        </w:rPr>
        <w:t> </w:t>
      </w:r>
      <w:r>
        <w:rPr>
          <w:spacing w:val="-2"/>
        </w:rPr>
        <w:t>年度审计工作的开展，同时建议公司继续聘任立信会计师事务所（特殊普通合伙）提供</w:t>
      </w:r>
      <w:r>
        <w:rPr>
          <w:rFonts w:ascii="Times New Roman" w:hAnsi="Times New Roman" w:cs="Times New Roman" w:eastAsia="Times New Roman" w:hint="default"/>
          <w:spacing w:val="-2"/>
        </w:rPr>
        <w:t>2015</w:t>
      </w:r>
      <w:r>
        <w:rPr>
          <w:spacing w:val="-2"/>
        </w:rPr>
        <w:t>年年报及其他审计服务。通过审</w:t>
      </w:r>
      <w:r>
        <w:rPr>
          <w:spacing w:val="-62"/>
        </w:rPr>
        <w:t> </w:t>
      </w:r>
      <w:r>
        <w:rPr>
          <w:spacing w:val="-62"/>
        </w:rPr>
      </w:r>
      <w:r>
        <w:rPr>
          <w:spacing w:val="-2"/>
        </w:rPr>
        <w:t>议公司</w:t>
      </w:r>
      <w:r>
        <w:rPr>
          <w:rFonts w:ascii="Times New Roman" w:hAnsi="Times New Roman" w:cs="Times New Roman" w:eastAsia="Times New Roman" w:hint="default"/>
          <w:spacing w:val="-2"/>
        </w:rPr>
        <w:t>2015</w:t>
      </w:r>
      <w:r>
        <w:rPr>
          <w:spacing w:val="-2"/>
        </w:rPr>
        <w:t>年第一季度、半年度、第三季度的财务报表和内部审计工作报告与计划，加强对公司财务和内部审计的监督和核</w:t>
      </w:r>
      <w:r>
        <w:rPr>
          <w:spacing w:val="-62"/>
        </w:rPr>
        <w:t> </w:t>
      </w:r>
      <w:r>
        <w:rPr>
          <w:spacing w:val="-62"/>
        </w:rPr>
      </w:r>
      <w:r>
        <w:rPr/>
        <w:t>查。</w:t>
      </w:r>
    </w:p>
    <w:p>
      <w:pPr>
        <w:pStyle w:val="BodyText"/>
        <w:spacing w:line="316" w:lineRule="auto" w:before="28"/>
        <w:ind w:left="154" w:right="1212"/>
        <w:jc w:val="left"/>
        <w:rPr>
          <w:rFonts w:ascii="Times New Roman" w:hAnsi="Times New Roman" w:cs="Times New Roman" w:eastAsia="Times New Roman" w:hint="default"/>
        </w:rPr>
      </w:pPr>
      <w:r>
        <w:rPr>
          <w:rFonts w:ascii="宋体" w:hAnsi="宋体" w:cs="宋体" w:eastAsia="宋体" w:hint="default"/>
        </w:rPr>
        <w:t>2</w:t>
      </w:r>
      <w:r>
        <w:rPr/>
        <w:t>、董事会薪酬与考核委员会 报告期内，公司董事会薪酬与考核委员会召开会议两次。根据公司</w:t>
      </w:r>
      <w:r>
        <w:rPr>
          <w:rFonts w:ascii="Times New Roman" w:hAnsi="Times New Roman" w:cs="Times New Roman" w:eastAsia="Times New Roman" w:hint="default"/>
        </w:rPr>
        <w:t>2014</w:t>
      </w:r>
      <w:r>
        <w:rPr/>
        <w:t>年度业绩情况，对公司董事、高级管理人员的</w:t>
      </w:r>
      <w:r>
        <w:rPr>
          <w:rFonts w:ascii="Times New Roman" w:hAnsi="Times New Roman" w:cs="Times New Roman" w:eastAsia="Times New Roman" w:hint="default"/>
        </w:rPr>
        <w:t>2014</w:t>
      </w:r>
    </w:p>
    <w:p>
      <w:pPr>
        <w:spacing w:after="0" w:line="316" w:lineRule="auto"/>
        <w:jc w:val="left"/>
        <w:rPr>
          <w:rFonts w:ascii="Times New Roman" w:hAnsi="Times New Roman" w:cs="Times New Roman" w:eastAsia="Times New Roman" w:hint="default"/>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4"/>
          <w:szCs w:val="24"/>
        </w:rPr>
      </w:pPr>
    </w:p>
    <w:p>
      <w:pPr>
        <w:pStyle w:val="BodyText"/>
        <w:spacing w:line="300" w:lineRule="auto" w:before="44"/>
        <w:ind w:left="154" w:right="1029"/>
        <w:jc w:val="left"/>
      </w:pPr>
      <w:r>
        <w:rPr>
          <w:spacing w:val="-3"/>
        </w:rPr>
        <w:t>年度绩效考核情况进行审查，并确定公司董事和高级管理人员</w:t>
      </w:r>
      <w:r>
        <w:rPr>
          <w:rFonts w:ascii="Times New Roman" w:hAnsi="Times New Roman" w:cs="Times New Roman" w:eastAsia="Times New Roman" w:hint="default"/>
          <w:spacing w:val="-3"/>
        </w:rPr>
        <w:t>2015</w:t>
      </w:r>
      <w:r>
        <w:rPr>
          <w:spacing w:val="-3"/>
        </w:rPr>
        <w:t>年度基本年薪，并对公司《</w:t>
      </w:r>
      <w:r>
        <w:rPr>
          <w:rFonts w:ascii="Times New Roman" w:hAnsi="Times New Roman" w:cs="Times New Roman" w:eastAsia="Times New Roman" w:hint="default"/>
          <w:spacing w:val="-3"/>
        </w:rPr>
        <w:t>2015</w:t>
      </w:r>
      <w:r>
        <w:rPr>
          <w:spacing w:val="-3"/>
        </w:rPr>
        <w:t>年员工持股计划（草案）》</w:t>
      </w:r>
      <w:r>
        <w:rPr>
          <w:spacing w:val="-87"/>
        </w:rPr>
        <w:t> </w:t>
      </w:r>
      <w:r>
        <w:rPr>
          <w:spacing w:val="-87"/>
        </w:rPr>
      </w:r>
      <w:r>
        <w:rPr/>
        <w:t>及其摘要进行了审核。</w:t>
      </w:r>
    </w:p>
    <w:p>
      <w:pPr>
        <w:pStyle w:val="BodyText"/>
        <w:spacing w:line="319" w:lineRule="auto" w:before="31"/>
        <w:ind w:left="154" w:right="0"/>
        <w:jc w:val="left"/>
      </w:pPr>
      <w:r>
        <w:rPr>
          <w:rFonts w:ascii="宋体" w:hAnsi="宋体" w:cs="宋体" w:eastAsia="宋体" w:hint="default"/>
        </w:rPr>
        <w:t>3</w:t>
      </w:r>
      <w:r>
        <w:rPr/>
        <w:t>、董事会提名委员会 </w:t>
      </w:r>
      <w:r>
        <w:rPr>
          <w:spacing w:val="-2"/>
        </w:rPr>
        <w:t>报告期内，公司董事会提名委员会召开会议一次。对公司拟选举的两位非独立董事及两位独立董事任职资格进行审查，未发</w:t>
      </w:r>
      <w:r>
        <w:rPr>
          <w:spacing w:val="-66"/>
        </w:rPr>
        <w:t> </w:t>
      </w:r>
      <w:r>
        <w:rPr>
          <w:spacing w:val="-66"/>
        </w:rPr>
      </w:r>
      <w:r>
        <w:rPr/>
        <w:t>现其具有《公司法》及相关法律法规禁止担任上市公司的独立董事的情形。</w:t>
      </w:r>
    </w:p>
    <w:p>
      <w:pPr>
        <w:spacing w:line="240" w:lineRule="auto" w:before="8"/>
        <w:rPr>
          <w:rFonts w:ascii="宋体" w:hAnsi="宋体" w:cs="宋体" w:eastAsia="宋体" w:hint="default"/>
          <w:sz w:val="20"/>
          <w:szCs w:val="20"/>
        </w:rPr>
      </w:pPr>
    </w:p>
    <w:p>
      <w:pPr>
        <w:pStyle w:val="Heading2"/>
        <w:spacing w:line="240" w:lineRule="auto"/>
        <w:ind w:right="0"/>
        <w:jc w:val="left"/>
        <w:rPr>
          <w:b w:val="0"/>
          <w:bCs w:val="0"/>
        </w:rPr>
      </w:pPr>
      <w:bookmarkStart w:name="七、监事会工作情况" w:id="141"/>
      <w:bookmarkEnd w:id="141"/>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监事会在报告期内的监督活动中发现公司是否存在风险</w:t>
      </w:r>
    </w:p>
    <w:p>
      <w:pPr>
        <w:pStyle w:val="BodyText"/>
        <w:spacing w:line="340" w:lineRule="auto" w:before="116"/>
        <w:ind w:right="76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八、高级管理人员的考评及激励情况" w:id="142"/>
      <w:bookmarkEnd w:id="142"/>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spacing w:val="-2"/>
        </w:rPr>
        <w:t>根据公司《董事、监事和高级管理人员薪酬管理制度》等相关制度的规定，公司高级管理人员薪酬由基本年薪和浮动奖金两</w:t>
      </w:r>
      <w:r>
        <w:rPr>
          <w:spacing w:val="-66"/>
        </w:rPr>
        <w:t> </w:t>
      </w:r>
      <w:r>
        <w:rPr>
          <w:spacing w:val="-66"/>
        </w:rPr>
      </w:r>
      <w:r>
        <w:rPr>
          <w:spacing w:val="-4"/>
        </w:rPr>
        <w:t>部分构成，其中基本年薪根据个人工作职务、岗位级别标准按月发放；浮动奖金根据公司经营业绩和个人绩效考核情况确定。</w:t>
      </w:r>
      <w:r>
        <w:rPr>
          <w:spacing w:val="-44"/>
        </w:rPr>
        <w:t> </w:t>
      </w:r>
      <w:r>
        <w:rPr>
          <w:spacing w:val="-44"/>
        </w:rPr>
      </w:r>
      <w:r>
        <w:rPr>
          <w:spacing w:val="-2"/>
        </w:rPr>
        <w:t>每个会计年度结束之后，公司董事会薪酬与考核委员会负责对高级管理人员的绩效考核成绩与薪酬进行审查，确定其上一年</w:t>
      </w:r>
      <w:r>
        <w:rPr>
          <w:spacing w:val="-64"/>
        </w:rPr>
        <w:t> </w:t>
      </w:r>
      <w:r>
        <w:rPr>
          <w:spacing w:val="-64"/>
        </w:rPr>
      </w:r>
      <w:r>
        <w:rPr/>
        <w:t>度年终奖金及当年度基本年薪。</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九、内部控制评价报告" w:id="143"/>
      <w:bookmarkEnd w:id="143"/>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报告期内发现的内部控制重大缺陷的具体情况" w:id="144"/>
      <w:bookmarkEnd w:id="144"/>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内控自我评价报告" w:id="145"/>
      <w:bookmarkEnd w:id="145"/>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9"/>
        <w:gridCol w:w="3329"/>
        <w:gridCol w:w="305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年度内部控制评价报告》披露于巨潮资讯网</w:t>
            </w:r>
            <w:r>
              <w:rPr>
                <w:rFonts w:ascii="宋体" w:hAnsi="宋体" w:cs="宋体" w:eastAsia="宋体" w:hint="default"/>
                <w:spacing w:val="-61"/>
                <w:sz w:val="18"/>
                <w:szCs w:val="18"/>
              </w:rPr>
              <w:t> </w:t>
            </w:r>
            <w:hyperlink r:id="rId13">
              <w:r>
                <w:rPr>
                  <w:rFonts w:ascii="Times New Roman" w:hAnsi="Times New Roman" w:cs="Times New Roman" w:eastAsia="Times New Roman" w:hint="default"/>
                  <w:sz w:val="18"/>
                  <w:szCs w:val="18"/>
                </w:rPr>
                <w:t>www.cninfo.com.cn</w:t>
              </w:r>
            </w:hyperlink>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397"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922"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4" w:space="0" w:color="000000"/>
            </w:tcBorders>
          </w:tcPr>
          <w:p>
            <w:pPr>
              <w:pStyle w:val="TableParagraph"/>
              <w:spacing w:line="302"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、财务报告相关的内部控制重大缺陷的迹</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4"/>
                <w:sz w:val="18"/>
                <w:szCs w:val="18"/>
              </w:rPr>
              <w:t>象包括：</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）公司董事、监事和高级管理人</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员的舞弊行为；</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）公司更正已公布的财务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报告；</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宋体" w:hAnsi="宋体" w:cs="宋体" w:eastAsia="宋体" w:hint="default"/>
                <w:spacing w:val="-60"/>
                <w:sz w:val="18"/>
                <w:szCs w:val="18"/>
              </w:rPr>
              <w:t> </w:t>
            </w:r>
            <w:r>
              <w:rPr>
                <w:rFonts w:ascii="宋体" w:hAnsi="宋体" w:cs="宋体" w:eastAsia="宋体" w:hint="default"/>
                <w:sz w:val="18"/>
                <w:szCs w:val="18"/>
              </w:rPr>
              <w:t>注册会计师发现的却未被公司</w:t>
            </w:r>
            <w:r>
              <w:rPr>
                <w:rFonts w:ascii="宋体" w:hAnsi="宋体" w:cs="宋体" w:eastAsia="宋体" w:hint="default"/>
                <w:sz w:val="18"/>
                <w:szCs w:val="18"/>
              </w:rPr>
              <w:t> 内部控制识别的当期财务报告中的重大错 </w:t>
            </w:r>
            <w:r>
              <w:rPr>
                <w:rFonts w:ascii="宋体" w:hAnsi="宋体" w:cs="宋体" w:eastAsia="宋体" w:hint="default"/>
                <w:spacing w:val="-4"/>
                <w:sz w:val="18"/>
                <w:szCs w:val="18"/>
              </w:rPr>
              <w:t>报；</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）审计委员会和审计部门对公司的对</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外财务报告和财务报告内部控制监督无</w:t>
            </w:r>
          </w:p>
        </w:tc>
        <w:tc>
          <w:tcPr>
            <w:tcW w:w="3051"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非财务报告缺陷认定主要以缺陷对业 </w:t>
            </w:r>
            <w:r>
              <w:rPr>
                <w:rFonts w:ascii="宋体" w:hAnsi="宋体" w:cs="宋体" w:eastAsia="宋体" w:hint="default"/>
                <w:spacing w:val="-4"/>
                <w:sz w:val="18"/>
                <w:szCs w:val="18"/>
              </w:rPr>
              <w:t>务流程有效性的影响程度、发生的可能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性作判定。非财务报告重大缺陷存在的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迹象包括：违犯国家法律法规或规范性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文件、重大决策程序不科学、制度缺失</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可能导致系统性失效、重大或重要缺陷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不能得到整改、其他对公司负面影响重</w:t>
            </w:r>
          </w:p>
        </w:tc>
      </w:tr>
      <w:tr>
        <w:trPr>
          <w:trHeight w:val="392"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9"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922"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6"/>
        <w:rPr>
          <w:rFonts w:ascii="宋体" w:hAnsi="宋体" w:cs="宋体" w:eastAsia="宋体" w:hint="default"/>
          <w:b/>
          <w:bCs/>
          <w:sz w:val="24"/>
          <w:szCs w:val="24"/>
        </w:rPr>
      </w:pPr>
      <w:r>
        <w:rPr/>
        <w:pict>
          <v:shape style="position:absolute;margin-left:277.634003pt;margin-top:105.719986pt;width:257.3pt;height:142.4pt;mso-position-horizontal-relative:page;mso-position-vertical-relative:page;z-index:-88211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3"/>
                      <w:szCs w:val="23"/>
                    </w:rPr>
                  </w:pPr>
                </w:p>
                <w:p>
                  <w:pPr>
                    <w:pStyle w:val="BodyText"/>
                    <w:spacing w:line="240" w:lineRule="auto"/>
                    <w:ind w:left="0" w:right="0"/>
                    <w:jc w:val="left"/>
                  </w:pPr>
                  <w:r>
                    <w:rPr/>
                    <w:t>缺陷是指除上述重大缺陷、</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3194"/>
        <w:gridCol w:w="3324"/>
        <w:gridCol w:w="3051"/>
      </w:tblGrid>
      <w:tr>
        <w:trPr>
          <w:trHeight w:val="352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效。</w:t>
            </w:r>
          </w:p>
          <w:p>
            <w:pPr>
              <w:pStyle w:val="TableParagraph"/>
              <w:spacing w:line="309" w:lineRule="auto" w:before="116"/>
              <w:ind w:left="23" w:right="2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、财务报告相关的内部控制重要缺陷的迹</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4"/>
                <w:sz w:val="18"/>
                <w:szCs w:val="18"/>
              </w:rPr>
              <w:t>象包括：</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）未依照公认会计准则选择和应</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4"/>
                <w:sz w:val="18"/>
                <w:szCs w:val="18"/>
              </w:rPr>
              <w:t>用会计政策；</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）未建立反舞弊程序和控制</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4"/>
                <w:sz w:val="18"/>
                <w:szCs w:val="18"/>
              </w:rPr>
              <w:t>措施；</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）对于非常规或特殊交易的账务处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理没有建立相应的控制机制或没有实施且 </w:t>
            </w:r>
            <w:r>
              <w:rPr>
                <w:rFonts w:ascii="宋体" w:hAnsi="宋体" w:cs="宋体" w:eastAsia="宋体" w:hint="default"/>
                <w:spacing w:val="-4"/>
                <w:sz w:val="18"/>
                <w:szCs w:val="18"/>
              </w:rPr>
              <w:t>没有相应的补偿性控制；</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）对于期末财务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报告过程的控制存在一项或多项缺陷且不 能合理保证编制的财务报表达到真实、完 </w:t>
            </w:r>
            <w:r>
              <w:rPr>
                <w:rFonts w:ascii="宋体" w:hAnsi="宋体" w:cs="宋体" w:eastAsia="宋体" w:hint="default"/>
                <w:spacing w:val="-9"/>
                <w:sz w:val="18"/>
                <w:szCs w:val="18"/>
              </w:rPr>
              <w:t>整的目标。一般</w:t>
            </w:r>
            <w:r>
              <w:rPr>
                <w:rFonts w:ascii="宋体" w:hAnsi="宋体" w:cs="宋体" w:eastAsia="宋体" w:hint="default"/>
                <w:sz w:val="18"/>
                <w:szCs w:val="18"/>
              </w:rPr>
              <w:t> 重要缺陷之外的其他控制缺陷。</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2"/>
              <w:jc w:val="left"/>
              <w:rPr>
                <w:rFonts w:ascii="宋体" w:hAnsi="宋体" w:cs="宋体" w:eastAsia="宋体" w:hint="default"/>
                <w:sz w:val="18"/>
                <w:szCs w:val="18"/>
              </w:rPr>
            </w:pPr>
            <w:r>
              <w:rPr>
                <w:rFonts w:ascii="宋体" w:hAnsi="宋体" w:cs="宋体" w:eastAsia="宋体" w:hint="default"/>
                <w:spacing w:val="-4"/>
                <w:sz w:val="18"/>
                <w:szCs w:val="18"/>
              </w:rPr>
              <w:t>大的情形。除此以外，其他情形按影响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程度分别确定为重要缺陷或一般缺陷。</w:t>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848" w:lineRule="exact"/>
              <w:ind w:right="-51"/>
              <w:jc w:val="left"/>
              <w:rPr>
                <w:rFonts w:ascii="宋体" w:hAnsi="宋体" w:cs="宋体" w:eastAsia="宋体" w:hint="default"/>
                <w:sz w:val="20"/>
                <w:szCs w:val="20"/>
              </w:rPr>
            </w:pPr>
            <w:r>
              <w:rPr>
                <w:rFonts w:ascii="宋体" w:hAnsi="宋体" w:cs="宋体" w:eastAsia="宋体" w:hint="default"/>
                <w:position w:val="-56"/>
                <w:sz w:val="20"/>
                <w:szCs w:val="20"/>
              </w:rPr>
              <w:pict>
                <v:group style="width:152.1pt;height:142.4pt;mso-position-horizontal-relative:char;mso-position-vertical-relative:line" coordorigin="0,0" coordsize="3042,2848">
                  <v:group style="position:absolute;left:0;top:0;width:3042;height:2848" coordorigin="0,0" coordsize="3042,2848">
                    <v:shape style="position:absolute;left:0;top:0;width:3042;height:2848" coordorigin="0,0" coordsize="3042,2848" path="m0,2848l3041,2848,3041,0,0,0,0,2848xe" filled="true" fillcolor="#ffffff" stroked="false">
                      <v:path arrowok="t"/>
                      <v:fill type="solid"/>
                    </v:shape>
                  </v:group>
                </v:group>
              </w:pict>
            </w:r>
            <w:r>
              <w:rPr>
                <w:rFonts w:ascii="宋体" w:hAnsi="宋体" w:cs="宋体" w:eastAsia="宋体" w:hint="default"/>
                <w:position w:val="-56"/>
                <w:sz w:val="20"/>
                <w:szCs w:val="20"/>
              </w:rPr>
            </w:r>
          </w:p>
        </w:tc>
      </w:tr>
      <w:tr>
        <w:trPr>
          <w:trHeight w:val="52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1"/>
              <w:jc w:val="both"/>
              <w:rPr>
                <w:rFonts w:ascii="宋体" w:hAnsi="宋体" w:cs="宋体" w:eastAsia="宋体" w:hint="default"/>
                <w:sz w:val="18"/>
                <w:szCs w:val="18"/>
              </w:rPr>
            </w:pPr>
            <w:r>
              <w:rPr>
                <w:rFonts w:ascii="宋体" w:hAnsi="宋体" w:cs="宋体" w:eastAsia="宋体" w:hint="default"/>
                <w:sz w:val="18"/>
                <w:szCs w:val="18"/>
              </w:rPr>
              <w:t>以资产总额、营业收入以及利润总额作为 衡量指标，按照孰低原则执行。</w:t>
            </w:r>
          </w:p>
          <w:p>
            <w:pPr>
              <w:pStyle w:val="TableParagraph"/>
              <w:spacing w:line="300" w:lineRule="auto" w:before="55"/>
              <w:ind w:left="23"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、资产总额，一般缺陷：错报额</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 额的</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；重要缺陷：资产总额的</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0.3%&lt; </w:t>
            </w:r>
            <w:r>
              <w:rPr>
                <w:rFonts w:ascii="宋体" w:hAnsi="宋体" w:cs="宋体" w:eastAsia="宋体" w:hint="default"/>
                <w:sz w:val="18"/>
                <w:szCs w:val="18"/>
              </w:rPr>
              <w:t>错报额</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；重大缺陷：错报 额</w:t>
            </w:r>
            <w:r>
              <w:rPr>
                <w:rFonts w:ascii="Times New Roman" w:hAnsi="Times New Roman" w:cs="Times New Roman" w:eastAsia="Times New Roman" w:hint="default"/>
                <w:sz w:val="18"/>
                <w:szCs w:val="18"/>
              </w:rPr>
              <w:t>&gt;</w:t>
            </w:r>
            <w:r>
              <w:rPr>
                <w:rFonts w:ascii="宋体" w:hAnsi="宋体" w:cs="宋体" w:eastAsia="宋体" w:hint="default"/>
                <w:sz w:val="18"/>
                <w:szCs w:val="18"/>
              </w:rPr>
              <w:t>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300" w:lineRule="auto" w:before="51"/>
              <w:ind w:left="23"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、营业收入，一般缺陷：错报额</w:t>
            </w:r>
            <w:r>
              <w:rPr>
                <w:rFonts w:ascii="Times New Roman" w:hAnsi="Times New Roman" w:cs="Times New Roman" w:eastAsia="Times New Roman" w:hint="default"/>
                <w:sz w:val="18"/>
                <w:szCs w:val="18"/>
              </w:rPr>
              <w:t>≤</w:t>
            </w:r>
            <w:r>
              <w:rPr>
                <w:rFonts w:ascii="宋体" w:hAnsi="宋体" w:cs="宋体" w:eastAsia="宋体" w:hint="default"/>
                <w:sz w:val="18"/>
                <w:szCs w:val="18"/>
              </w:rPr>
              <w:t>营业收 入的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或者</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万；重要缺陷：营业收</w:t>
            </w:r>
            <w:r>
              <w:rPr>
                <w:rFonts w:ascii="宋体" w:hAnsi="宋体" w:cs="宋体" w:eastAsia="宋体" w:hint="default"/>
                <w:sz w:val="18"/>
                <w:szCs w:val="18"/>
              </w:rPr>
              <w:t> 入的</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或者</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250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万</w:t>
            </w:r>
            <w:r>
              <w:rPr>
                <w:rFonts w:ascii="Times New Roman" w:hAnsi="Times New Roman" w:cs="Times New Roman" w:eastAsia="Times New Roman" w:hint="default"/>
                <w:sz w:val="18"/>
                <w:szCs w:val="18"/>
              </w:rPr>
              <w:t>&lt;</w:t>
            </w:r>
            <w:r>
              <w:rPr>
                <w:rFonts w:ascii="宋体" w:hAnsi="宋体" w:cs="宋体" w:eastAsia="宋体" w:hint="default"/>
                <w:sz w:val="18"/>
                <w:szCs w:val="18"/>
              </w:rPr>
              <w:t>错报额</w:t>
            </w:r>
            <w:r>
              <w:rPr>
                <w:rFonts w:ascii="Times New Roman" w:hAnsi="Times New Roman" w:cs="Times New Roman" w:eastAsia="Times New Roman" w:hint="default"/>
                <w:sz w:val="18"/>
                <w:szCs w:val="18"/>
              </w:rPr>
              <w:t>≤</w:t>
            </w:r>
            <w:r>
              <w:rPr>
                <w:rFonts w:ascii="宋体" w:hAnsi="宋体" w:cs="宋体" w:eastAsia="宋体" w:hint="default"/>
                <w:sz w:val="18"/>
                <w:szCs w:val="18"/>
              </w:rPr>
              <w:t>营业收入的 </w:t>
            </w:r>
            <w:r>
              <w:rPr>
                <w:rFonts w:ascii="Times New Roman" w:hAnsi="Times New Roman" w:cs="Times New Roman" w:eastAsia="Times New Roman" w:hint="default"/>
                <w:sz w:val="18"/>
                <w:szCs w:val="18"/>
              </w:rPr>
              <w:t>1%</w:t>
            </w:r>
            <w:r>
              <w:rPr>
                <w:rFonts w:ascii="宋体" w:hAnsi="宋体" w:cs="宋体" w:eastAsia="宋体" w:hint="default"/>
                <w:sz w:val="18"/>
                <w:szCs w:val="18"/>
              </w:rPr>
              <w:t>或者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万；重大缺陷：错报额</w:t>
            </w:r>
            <w:r>
              <w:rPr>
                <w:rFonts w:ascii="Times New Roman" w:hAnsi="Times New Roman" w:cs="Times New Roman" w:eastAsia="Times New Roman" w:hint="default"/>
                <w:sz w:val="18"/>
                <w:szCs w:val="18"/>
              </w:rPr>
              <w:t>&gt;</w:t>
            </w:r>
            <w:r>
              <w:rPr>
                <w:rFonts w:ascii="宋体" w:hAnsi="宋体" w:cs="宋体" w:eastAsia="宋体" w:hint="default"/>
                <w:sz w:val="18"/>
                <w:szCs w:val="18"/>
              </w:rPr>
              <w:t>营业 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或者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300" w:lineRule="auto" w:before="52"/>
              <w:ind w:left="23" w:right="2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、利润总额，一般缺陷：错报额</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 额的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或者</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250</w:t>
            </w:r>
            <w:r>
              <w:rPr>
                <w:rFonts w:ascii="Times New Roman" w:hAnsi="Times New Roman" w:cs="Times New Roman" w:eastAsia="Times New Roman" w:hint="default"/>
                <w:spacing w:val="2"/>
                <w:sz w:val="18"/>
                <w:szCs w:val="18"/>
              </w:rPr>
              <w:t> </w:t>
            </w:r>
            <w:r>
              <w:rPr>
                <w:rFonts w:ascii="宋体" w:hAnsi="宋体" w:cs="宋体" w:eastAsia="宋体" w:hint="default"/>
                <w:spacing w:val="-8"/>
                <w:sz w:val="18"/>
                <w:szCs w:val="18"/>
              </w:rPr>
              <w:t>万；重要缺陷：利润总额</w:t>
            </w:r>
            <w:r>
              <w:rPr>
                <w:rFonts w:ascii="宋体" w:hAnsi="宋体" w:cs="宋体" w:eastAsia="宋体" w:hint="default"/>
                <w:sz w:val="18"/>
                <w:szCs w:val="18"/>
              </w:rPr>
              <w:t> 的</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或者</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250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w:t>
            </w:r>
            <w:r>
              <w:rPr>
                <w:rFonts w:ascii="Times New Roman" w:hAnsi="Times New Roman" w:cs="Times New Roman" w:eastAsia="Times New Roman" w:hint="default"/>
                <w:sz w:val="18"/>
                <w:szCs w:val="18"/>
              </w:rPr>
              <w:t>&lt;</w:t>
            </w:r>
            <w:r>
              <w:rPr>
                <w:rFonts w:ascii="宋体" w:hAnsi="宋体" w:cs="宋体" w:eastAsia="宋体" w:hint="default"/>
                <w:sz w:val="18"/>
                <w:szCs w:val="18"/>
              </w:rPr>
              <w:t>错报额</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利润总额的</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w:t>
            </w:r>
          </w:p>
          <w:p>
            <w:pPr>
              <w:pStyle w:val="TableParagraph"/>
              <w:spacing w:line="302" w:lineRule="auto" w:before="13"/>
              <w:ind w:left="23" w:right="20"/>
              <w:jc w:val="both"/>
              <w:rPr>
                <w:rFonts w:ascii="宋体" w:hAnsi="宋体" w:cs="宋体" w:eastAsia="宋体" w:hint="default"/>
                <w:sz w:val="18"/>
                <w:szCs w:val="18"/>
              </w:rPr>
            </w:pPr>
            <w:r>
              <w:rPr>
                <w:rFonts w:ascii="宋体" w:hAnsi="宋体" w:cs="宋体" w:eastAsia="宋体" w:hint="default"/>
                <w:sz w:val="18"/>
                <w:szCs w:val="18"/>
              </w:rPr>
              <w:t>或者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万；重大缺陷：错报额</w:t>
            </w:r>
            <w:r>
              <w:rPr>
                <w:rFonts w:ascii="Times New Roman" w:hAnsi="Times New Roman" w:cs="Times New Roman" w:eastAsia="Times New Roman" w:hint="default"/>
                <w:spacing w:val="-5"/>
                <w:sz w:val="18"/>
                <w:szCs w:val="18"/>
              </w:rPr>
              <w:t>&gt;</w:t>
            </w:r>
            <w:r>
              <w:rPr>
                <w:rFonts w:ascii="宋体" w:hAnsi="宋体" w:cs="宋体" w:eastAsia="宋体" w:hint="default"/>
                <w:spacing w:val="-5"/>
                <w:sz w:val="18"/>
                <w:szCs w:val="18"/>
              </w:rPr>
              <w:t>利润总额</w:t>
            </w:r>
            <w:r>
              <w:rPr>
                <w:rFonts w:ascii="宋体" w:hAnsi="宋体" w:cs="宋体" w:eastAsia="宋体" w:hint="default"/>
                <w:sz w:val="18"/>
                <w:szCs w:val="18"/>
              </w:rPr>
              <w:t>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或者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 </w:t>
            </w:r>
            <w:r>
              <w:rPr>
                <w:rFonts w:ascii="宋体" w:hAnsi="宋体" w:cs="宋体" w:eastAsia="宋体" w:hint="default"/>
                <w:sz w:val="18"/>
                <w:szCs w:val="18"/>
              </w:rPr>
              <w:t>万。</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22" w:right="20"/>
              <w:jc w:val="left"/>
              <w:rPr>
                <w:rFonts w:ascii="宋体" w:hAnsi="宋体" w:cs="宋体" w:eastAsia="宋体" w:hint="default"/>
                <w:sz w:val="18"/>
                <w:szCs w:val="18"/>
              </w:rPr>
            </w:pPr>
            <w:r>
              <w:rPr>
                <w:rFonts w:ascii="宋体" w:hAnsi="宋体" w:cs="宋体" w:eastAsia="宋体" w:hint="default"/>
                <w:sz w:val="18"/>
                <w:szCs w:val="18"/>
              </w:rPr>
              <w:t>根据缺陷可能造成直接财产损失的绝 对金额或潜在负面影响等因素确定。</w:t>
            </w:r>
          </w:p>
          <w:p>
            <w:pPr>
              <w:pStyle w:val="TableParagraph"/>
              <w:spacing w:line="307" w:lineRule="auto" w:before="55"/>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、重大缺陷，直接财产损失：</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w:t>
            </w:r>
            <w:r>
              <w:rPr>
                <w:rFonts w:ascii="宋体" w:hAnsi="宋体" w:cs="宋体" w:eastAsia="宋体" w:hint="default"/>
                <w:sz w:val="18"/>
                <w:szCs w:val="18"/>
              </w:rPr>
              <w:t>以上；潜在负面影响：已经对外 正式披露并对公司定期报告披露造成 负面影响。</w:t>
            </w:r>
          </w:p>
          <w:p>
            <w:pPr>
              <w:pStyle w:val="TableParagraph"/>
              <w:spacing w:line="307" w:lineRule="auto" w:before="64"/>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、重要缺陷，直接财产损失：</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万元；潜在负面影响：受到国 </w:t>
            </w:r>
            <w:r>
              <w:rPr>
                <w:rFonts w:ascii="宋体" w:hAnsi="宋体" w:cs="宋体" w:eastAsia="宋体" w:hint="default"/>
                <w:spacing w:val="-4"/>
                <w:sz w:val="18"/>
                <w:szCs w:val="18"/>
              </w:rPr>
              <w:t>家政府部门处罚，但未对公司定期报告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披露造成负面影响。</w:t>
            </w:r>
          </w:p>
          <w:p>
            <w:pPr>
              <w:pStyle w:val="TableParagraph"/>
              <w:spacing w:line="312" w:lineRule="auto" w:before="65"/>
              <w:ind w:left="22"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、一般缺陷，直接财产损失：</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万元 </w:t>
            </w:r>
            <w:r>
              <w:rPr>
                <w:rFonts w:ascii="宋体" w:hAnsi="宋体" w:cs="宋体" w:eastAsia="宋体" w:hint="default"/>
                <w:spacing w:val="-4"/>
                <w:sz w:val="18"/>
                <w:szCs w:val="18"/>
              </w:rPr>
              <w:t>以下；潜在负面影响：受到省级（含省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级）以下政府部门处罚但未对公司定期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报告披露造成负面影响。</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十、内部控制审计报告或鉴证报告" w:id="146"/>
      <w:bookmarkEnd w:id="146"/>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内部控制鉴证报告</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我们认为，贵公司按照财政部等五部委颁发的《企业内部控制基本规范》及相关规定于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日在所有重大方 面保持了与财务报表相关的有效的内部控制。本结论是在受到鉴证报告中指出的固有限制的条件下形成的。</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立信会计师事务所（特殊普通合伙）出具的《内部控制鉴证报告》披露于巨潮资讯网</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36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hyperlink r:id="rId13">
              <w:r>
                <w:rPr>
                  <w:rFonts w:ascii="Times New Roman"/>
                  <w:sz w:val="18"/>
                </w:rPr>
                <w:t>www.cninfo.com.cn</w:t>
              </w:r>
            </w:hyperlink>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标准意见</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54" w:right="0"/>
        <w:jc w:val="left"/>
      </w:pPr>
      <w:r>
        <w:rPr/>
        <w:t>会计师事务所是否出具非标准意见的内部控制鉴证报告</w:t>
      </w:r>
    </w:p>
    <w:p>
      <w:pPr>
        <w:pStyle w:val="BodyText"/>
        <w:spacing w:line="338" w:lineRule="auto" w:before="117"/>
        <w:ind w:right="46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会计师事务所出具的内部控制鉴证报告与董事会的自我评价报告意见是否一致</w:t>
      </w:r>
    </w:p>
    <w:p>
      <w:pPr>
        <w:pStyle w:val="BodyText"/>
        <w:spacing w:line="240" w:lineRule="auto" w:before="42"/>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4248"/>
        <w:jc w:val="center"/>
        <w:rPr>
          <w:b w:val="0"/>
          <w:bCs w:val="0"/>
        </w:rPr>
      </w:pPr>
      <w:bookmarkStart w:name="第十节 财务报告" w:id="147"/>
      <w:bookmarkEnd w:id="147"/>
      <w:r>
        <w:rPr>
          <w:b w:val="0"/>
          <w:bCs w:val="0"/>
        </w:rPr>
      </w:r>
      <w:bookmarkStart w:name="_bookmark9" w:id="148"/>
      <w:bookmarkEnd w:id="148"/>
      <w:r>
        <w:rPr>
          <w:b w:val="0"/>
          <w:bCs w:val="0"/>
        </w:rPr>
      </w:r>
      <w:r>
        <w:rPr/>
        <w:t>第十节</w:t>
      </w:r>
      <w:r>
        <w:rPr>
          <w:spacing w:val="-5"/>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49"/>
      <w:bookmarkEnd w:id="149"/>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[2016]</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710671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tabs>
                <w:tab w:pos="832" w:val="left" w:leader="none"/>
              </w:tabs>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陈勇波</w:t>
              <w:tab/>
              <w:t>梁谦海</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5"/>
        <w:rPr>
          <w:rFonts w:ascii="宋体" w:hAnsi="宋体" w:cs="宋体" w:eastAsia="宋体" w:hint="default"/>
          <w:b/>
          <w:bCs/>
          <w:sz w:val="24"/>
          <w:szCs w:val="24"/>
        </w:rPr>
      </w:pPr>
    </w:p>
    <w:p>
      <w:pPr>
        <w:pStyle w:val="BodyText"/>
        <w:spacing w:line="240" w:lineRule="auto"/>
        <w:ind w:right="-19"/>
        <w:jc w:val="left"/>
      </w:pPr>
      <w:r>
        <w:rPr/>
        <w:t>北京久其软件股份有限公司全体股东：</w:t>
      </w:r>
    </w:p>
    <w:p>
      <w:pPr>
        <w:pStyle w:val="BodyText"/>
        <w:spacing w:line="357" w:lineRule="auto" w:before="51"/>
        <w:ind w:left="333" w:right="-19" w:hanging="180"/>
        <w:jc w:val="left"/>
      </w:pPr>
      <w:r>
        <w:rPr/>
        <w:br w:type="column"/>
      </w:r>
      <w:r>
        <w:rPr/>
        <w:t>审计报告正文 审计报告</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8"/>
          <w:szCs w:val="18"/>
        </w:rPr>
      </w:pPr>
    </w:p>
    <w:p>
      <w:pPr>
        <w:pStyle w:val="BodyText"/>
        <w:spacing w:line="240" w:lineRule="auto"/>
        <w:ind w:right="0"/>
        <w:jc w:val="left"/>
      </w:pPr>
      <w:r>
        <w:rPr/>
        <w:t>信会师报字</w:t>
      </w:r>
      <w:r>
        <w:rPr>
          <w:rFonts w:ascii="Times New Roman" w:hAnsi="Times New Roman" w:cs="Times New Roman" w:eastAsia="Times New Roman" w:hint="default"/>
        </w:rPr>
        <w:t>[2016]</w:t>
      </w:r>
      <w:r>
        <w:rPr/>
        <w:t>第</w:t>
      </w:r>
      <w:r>
        <w:rPr>
          <w:rFonts w:ascii="Times New Roman" w:hAnsi="Times New Roman" w:cs="Times New Roman" w:eastAsia="Times New Roman" w:hint="default"/>
        </w:rPr>
        <w:t>710671</w:t>
      </w:r>
      <w:r>
        <w:rPr/>
        <w:t>号</w:t>
      </w:r>
    </w:p>
    <w:p>
      <w:pPr>
        <w:spacing w:after="0" w:line="240" w:lineRule="auto"/>
        <w:jc w:val="left"/>
        <w:sectPr>
          <w:type w:val="continuous"/>
          <w:pgSz w:w="11910" w:h="16840"/>
          <w:pgMar w:top="1060" w:bottom="1160" w:left="980" w:right="0"/>
          <w:cols w:num="3" w:equalWidth="0">
            <w:col w:w="3215" w:space="1065"/>
            <w:col w:w="1235" w:space="1777"/>
            <w:col w:w="3638"/>
          </w:cols>
        </w:sectPr>
      </w:pPr>
    </w:p>
    <w:p>
      <w:pPr>
        <w:pStyle w:val="BodyText"/>
        <w:spacing w:line="312" w:lineRule="auto" w:before="76"/>
        <w:ind w:right="1030"/>
        <w:jc w:val="left"/>
      </w:pPr>
      <w:r>
        <w:rPr>
          <w:spacing w:val="-3"/>
        </w:rPr>
        <w:t>我们审计了后附的北京久其软件股份有限公司（以下简称贵公司）财务报表，包括</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日的合并及公司资产负债表、</w:t>
      </w:r>
      <w:r>
        <w:rPr>
          <w:spacing w:val="-87"/>
        </w:rPr>
        <w:t> </w:t>
      </w:r>
      <w:r>
        <w:rPr>
          <w:rFonts w:ascii="Times New Roman" w:hAnsi="Times New Roman" w:cs="Times New Roman" w:eastAsia="Times New Roman" w:hint="default"/>
        </w:rPr>
        <w:t>2015</w:t>
      </w:r>
      <w:r>
        <w:rPr/>
        <w:t>年度的合并及公司利润表、合并及公司现金流量表、合并及公司所有者权益变动表以及财务报表附注。 一、管理层对财务报表的责任 编制和公允列报财务报表是贵公司管理层的责任。这种责任包括：（</w:t>
      </w:r>
      <w:r>
        <w:rPr>
          <w:rFonts w:ascii="Times New Roman" w:hAnsi="Times New Roman" w:cs="Times New Roman" w:eastAsia="Times New Roman" w:hint="default"/>
        </w:rPr>
        <w:t>1</w:t>
      </w:r>
      <w:r>
        <w:rPr/>
        <w:t>）按照企业会计准则的规定编制财务报表，并使其实 现公允反映；（</w:t>
      </w:r>
      <w:r>
        <w:rPr>
          <w:rFonts w:ascii="Times New Roman" w:hAnsi="Times New Roman" w:cs="Times New Roman" w:eastAsia="Times New Roman" w:hint="default"/>
        </w:rPr>
        <w:t>2</w:t>
      </w:r>
      <w:r>
        <w:rPr/>
        <w:t>）设计、执行和维护必要的内部控制，以使财务报表不存在由于舞弊或错误导致的重大错报。 二、注册会计师的责任 我们的责任是在执行审计工作的基础上对财务报表发表审计意见。我们按照中国注册会计师审计准则的规定执行了审计工 </w:t>
      </w:r>
      <w:r>
        <w:rPr>
          <w:spacing w:val="-2"/>
        </w:rPr>
        <w:t>作。中国注册会计师审计准则要求我们遵守中国注册会计师职业道德守则，计划和执行审计工作以对财务报表是否不存在重</w:t>
      </w:r>
      <w:r>
        <w:rPr>
          <w:spacing w:val="-64"/>
        </w:rPr>
        <w:t> </w:t>
      </w:r>
      <w:r>
        <w:rPr>
          <w:spacing w:val="-64"/>
        </w:rPr>
      </w:r>
      <w:r>
        <w:rPr/>
        <w:t>大错报获取合理保证。 </w:t>
      </w:r>
      <w:r>
        <w:rPr>
          <w:spacing w:val="-2"/>
        </w:rPr>
        <w:t>审计工作涉及实施审计程序，以获取有关财务报表金额和披露的审计证据。选择的审计程序取决于注册会计师的判断，包括</w:t>
      </w:r>
      <w:r>
        <w:rPr>
          <w:spacing w:val="-66"/>
        </w:rPr>
        <w:t> </w:t>
      </w:r>
      <w:r>
        <w:rPr>
          <w:spacing w:val="-66"/>
        </w:rPr>
      </w:r>
      <w:r>
        <w:rPr>
          <w:spacing w:val="-2"/>
        </w:rPr>
        <w:t>对由于舞弊或错误导致的财务报表重大错报风险的评估。在进行风险评估时，注册会计师考虑与财务报表编制和公允列报相</w:t>
      </w:r>
      <w:r>
        <w:rPr>
          <w:spacing w:val="-64"/>
        </w:rPr>
        <w:t> </w:t>
      </w:r>
      <w:r>
        <w:rPr>
          <w:spacing w:val="-64"/>
        </w:rPr>
      </w:r>
      <w:r>
        <w:rPr>
          <w:spacing w:val="-2"/>
        </w:rPr>
        <w:t>关的内部控制，以设计恰当的审计程序，但目的并非对内部控制的有效性发表意见。审计工作还包括评价管理层选用会计政</w:t>
      </w:r>
      <w:r>
        <w:rPr>
          <w:spacing w:val="-65"/>
        </w:rPr>
        <w:t> </w:t>
      </w:r>
      <w:r>
        <w:rPr>
          <w:spacing w:val="-65"/>
        </w:rPr>
      </w:r>
      <w:r>
        <w:rPr/>
        <w:t>策的恰当性和作出会计估计的合理性，以及评价财务报表的总体列报。 我们相信，我们获取的审计证据是充分、适当的，为发表审计意见提供了基础。</w:t>
      </w:r>
    </w:p>
    <w:p>
      <w:pPr>
        <w:pStyle w:val="BodyText"/>
        <w:spacing w:line="309" w:lineRule="auto" w:before="22"/>
        <w:ind w:right="1118"/>
        <w:jc w:val="left"/>
      </w:pPr>
      <w:r>
        <w:rPr/>
        <w:t>三、审计意见 </w:t>
      </w:r>
      <w:r>
        <w:rPr>
          <w:spacing w:val="-2"/>
        </w:rPr>
        <w:t>我们认为，贵公司财务报表在所有重大方面按照企业会计准则的规定编制，公允反映了贵公司</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日的合并及公司</w:t>
      </w:r>
      <w:r>
        <w:rPr>
          <w:spacing w:val="-55"/>
        </w:rPr>
        <w:t> </w:t>
      </w:r>
      <w:r>
        <w:rPr/>
        <w:t>财务状况以及</w:t>
      </w:r>
      <w:r>
        <w:rPr>
          <w:rFonts w:ascii="Times New Roman" w:hAnsi="Times New Roman" w:cs="Times New Roman" w:eastAsia="Times New Roman" w:hint="default"/>
        </w:rPr>
        <w:t>2015</w:t>
      </w:r>
      <w:r>
        <w:rPr/>
        <w:t>年度的合并及公司经营成果和现金流量。</w:t>
      </w:r>
    </w:p>
    <w:p>
      <w:pPr>
        <w:spacing w:line="240" w:lineRule="auto" w:before="3"/>
        <w:rPr>
          <w:rFonts w:ascii="宋体" w:hAnsi="宋体" w:cs="宋体" w:eastAsia="宋体" w:hint="default"/>
          <w:sz w:val="24"/>
          <w:szCs w:val="24"/>
        </w:rPr>
      </w:pPr>
    </w:p>
    <w:p>
      <w:pPr>
        <w:pStyle w:val="BodyText"/>
        <w:tabs>
          <w:tab w:pos="5524" w:val="left" w:leader="none"/>
        </w:tabs>
        <w:spacing w:line="636" w:lineRule="auto"/>
        <w:ind w:left="874" w:right="3389" w:hanging="721"/>
        <w:jc w:val="left"/>
      </w:pPr>
      <w:r>
        <w:rPr/>
        <w:t>立信会计师事务所（特殊普通合伙）</w:t>
        <w:tab/>
        <w:t>中国注册会计师：陈勇波 </w:t>
      </w:r>
      <w:r>
        <w:rPr>
          <w:spacing w:val="-1"/>
        </w:rPr>
        <w:t>中国</w:t>
      </w:r>
      <w:r>
        <w:rPr>
          <w:rFonts w:ascii="Times New Roman" w:hAnsi="Times New Roman" w:cs="Times New Roman" w:eastAsia="Times New Roman" w:hint="default"/>
          <w:b/>
          <w:bCs/>
          <w:spacing w:val="-1"/>
        </w:rPr>
        <w:t>·</w:t>
      </w:r>
      <w:r>
        <w:rPr>
          <w:spacing w:val="-1"/>
        </w:rPr>
        <w:t>上海</w:t>
        <w:tab/>
      </w:r>
      <w:r>
        <w:rPr/>
        <w:t>中国注册会计师：梁谦海</w:t>
      </w:r>
    </w:p>
    <w:p>
      <w:pPr>
        <w:spacing w:line="240" w:lineRule="auto" w:before="0"/>
        <w:rPr>
          <w:rFonts w:ascii="宋体" w:hAnsi="宋体" w:cs="宋体" w:eastAsia="宋体" w:hint="default"/>
          <w:sz w:val="18"/>
          <w:szCs w:val="18"/>
        </w:rPr>
      </w:pPr>
    </w:p>
    <w:p>
      <w:pPr>
        <w:pStyle w:val="BodyText"/>
        <w:spacing w:line="240" w:lineRule="auto" w:before="122"/>
        <w:ind w:left="0" w:right="1139"/>
        <w:jc w:val="right"/>
      </w:pPr>
      <w:r>
        <w:rPr/>
        <w:t>二〇一六年三月三十日</w:t>
      </w:r>
    </w:p>
    <w:p>
      <w:pPr>
        <w:spacing w:after="0" w:line="240" w:lineRule="auto"/>
        <w:jc w:val="right"/>
        <w:sectPr>
          <w:type w:val="continuous"/>
          <w:pgSz w:w="11910" w:h="16840"/>
          <w:pgMar w:top="1060" w:bottom="1160" w:left="980" w:right="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bookmarkStart w:name="二、财务报表" w:id="150"/>
      <w:bookmarkEnd w:id="150"/>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1、合并资产负债表" w:id="151"/>
      <w:bookmarkEnd w:id="151"/>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79" w:top="1100" w:bottom="1160" w:left="980" w:right="0"/>
        </w:sectPr>
      </w:pPr>
    </w:p>
    <w:p>
      <w:pPr>
        <w:pStyle w:val="BodyText"/>
        <w:spacing w:line="240" w:lineRule="auto" w:before="44"/>
        <w:ind w:right="-19"/>
        <w:jc w:val="left"/>
      </w:pPr>
      <w:r>
        <w:rPr/>
        <w:t>编制单位：北京久其软件股份有限公司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right="-16"/>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3" w:equalWidth="0">
            <w:col w:w="3215" w:space="863"/>
            <w:col w:w="1639" w:space="3203"/>
            <w:col w:w="201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849,766,266.10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287,187,584.43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50,799,905.59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2,474,783.60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245,235.00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186,830,460.68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65,227,158.98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26,810,369.53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7,141,358.34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42,525,034.00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19,623,716.50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87,371,268.35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71,665.90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18,754,824.37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1,214,533,006.63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430,296,624.74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101,422,164.40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55,300,798.28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53,208,911.08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31,322,219.04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223,176,461.54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143,059,452.33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111,915,154.08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75,478,719.35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17,645,325.16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856,109,925.83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2,401,000.00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428,624.19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486,028.48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4,499,550.03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656,146.24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1,282,752,732.99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394,357,747.04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2,497,285,739.62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824,654,371.78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78,047,200.00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87,118,729.15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1,336,073.64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137,598,263.54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5,737,912.40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70,347,353.95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42,718,300.55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27,014,267.60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9,037,686.34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463,600.36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687,583.46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98,270,247.35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4,689,915.00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498,859,661.95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64,207,471.39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21,114,325.35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1,212,833.76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79,990.56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21,114,325.35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1,292,824.32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519,973,987.30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65,500,295.71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216,596,780.00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175,795,305.00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1,335,718,114.77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275,919,230.51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50,489.15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51,561,214.62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44,963,753.07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361,670,071.14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253,108,020.97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1,965,596,669.68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749,786,309.55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11,715,082.64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9,367,766.52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1,977,311,752.32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759,154,076.07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2,497,285,739.62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824,654,371.78</w:t>
            </w:r>
          </w:p>
        </w:tc>
      </w:tr>
    </w:tbl>
    <w:p>
      <w:pPr>
        <w:spacing w:line="240" w:lineRule="auto" w:before="3"/>
        <w:rPr>
          <w:rFonts w:ascii="Times New Roman" w:hAnsi="Times New Roman" w:cs="Times New Roman" w:eastAsia="Times New Roman" w:hint="default"/>
          <w:sz w:val="23"/>
          <w:szCs w:val="23"/>
        </w:rPr>
      </w:pPr>
    </w:p>
    <w:p>
      <w:pPr>
        <w:pStyle w:val="BodyText"/>
        <w:tabs>
          <w:tab w:pos="3420" w:val="left" w:leader="none"/>
          <w:tab w:pos="7561" w:val="left" w:leader="none"/>
        </w:tabs>
        <w:spacing w:line="240" w:lineRule="auto" w:before="44"/>
        <w:ind w:left="0" w:right="1229"/>
        <w:jc w:val="right"/>
      </w:pPr>
      <w:r>
        <w:rPr/>
        <w:t>法定代表人：赵福君</w:t>
        <w:tab/>
        <w:t>主管会计工作负责人：邱安超</w:t>
        <w:tab/>
        <w:t>会计机构负责人：马巧红</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2、母公司资产负债表" w:id="152"/>
      <w:bookmarkEnd w:id="152"/>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559,368,399.84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205,765,092.03</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50,799,905.59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824,783.60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245,235.00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70,939,600.23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56,291,956.14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6,139,725.53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7,120,353.02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25,351,257.75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31,719,383.75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1,618,783.38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71,665.90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664,242,550.33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352,013,591.43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101,422,164.40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1,260,444,222.86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119,804,835.66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121,219,877.80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122,931,645.93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72,072,172.60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49,679,067.65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17,645,325.16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13,066.49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342,959.17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3,787,088.70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556,293.29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1,457,536,428.45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412,382,291.26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2,121,778,978.78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764,395,882.69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78,047,200.00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2,136,599.06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1,724,693.64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6,933,083.05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4,727,214.00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44,971,537.78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32,021,917.70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10,363,799.63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6,713,583.99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463,600.36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97,052,629.09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3,439,905.59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239,968,448.97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48,627,314.92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20,579,685.30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1,212,833.76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79,990.56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20,579,685.30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1,292,824.32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260,548,134.27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49,920,139.24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216,596,780.00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175,795,305.00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1,337,770,080.87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277,971,196.61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51,561,214.62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44,963,753.07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255,302,769.02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215,745,488.77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1,861,230,844.51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714,475,743.45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2,121,778,978.78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764,395,882.69</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3、合并利润表" w:id="153"/>
      <w:bookmarkEnd w:id="153"/>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716,679,345.55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326,678,547.40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716,679,345.55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326,678,547.40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593,452,326.57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279,945,879.11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244,317,870.92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16,379,457.86</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r>
        <w:rPr/>
        <w:pict>
          <v:group style="position:absolute;margin-left:212.119995pt;margin-top:400.699982pt;width:157.7pt;height:19.650pt;mso-position-horizontal-relative:page;mso-position-vertical-relative:page;z-index:-882088" coordorigin="4242,8014" coordsize="3154,393">
            <v:shape style="position:absolute;left:4242;top:8014;width:3154;height:393" coordorigin="4242,8014" coordsize="3154,393" path="m4242,8406l7396,8406,7396,8014,4242,8014,4242,8406xe" filled="true" fillcolor="#ffffff" stroked="false">
              <v:path arrowok="t"/>
              <v:fill type="solid"/>
            </v:shape>
            <w10:wrap type="none"/>
          </v:group>
        </w:pict>
      </w:r>
      <w:r>
        <w:rPr/>
        <w:pict>
          <v:group style="position:absolute;margin-left:212.119995pt;margin-top:521.320007pt;width:157.7pt;height:19.650pt;mso-position-horizontal-relative:page;mso-position-vertical-relative:page;z-index:-882064" coordorigin="4242,10426" coordsize="3154,393">
            <v:shape style="position:absolute;left:4242;top:10426;width:3154;height:393" coordorigin="4242,10426" coordsize="3154,393" path="m4242,10819l7396,10819,7396,10426,4242,10426,4242,10819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3080"/>
        <w:gridCol w:w="1060"/>
        <w:gridCol w:w="2151"/>
        <w:gridCol w:w="3278"/>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3,068,385.15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2,019,064.37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53,066,812.82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23,979,631.66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295,905,386.49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237,804,919.02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-3,684,950.69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-3,067,595.72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778,821.88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2,830,401.92</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11,530.41</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13,824,542.24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18,803,768.33</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1,572,147.20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1,453,558.98</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right="119"/>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1" w:type="dxa"/>
            <w:gridSpan w:val="2"/>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137,051,561.22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65,547,967.03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15,116,192.13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11,198,904.15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70,819.55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860,587.52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928,932.38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326,086.50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744,908.68</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60"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21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97" w:right="0"/>
              <w:jc w:val="left"/>
              <w:rPr>
                <w:rFonts w:ascii="Times New Roman" w:hAnsi="Times New Roman" w:cs="Times New Roman" w:eastAsia="Times New Roman" w:hint="default"/>
                <w:sz w:val="18"/>
                <w:szCs w:val="18"/>
              </w:rPr>
            </w:pPr>
            <w:r>
              <w:rPr>
                <w:rFonts w:ascii="Times New Roman"/>
                <w:sz w:val="18"/>
              </w:rPr>
              <w:t>151,307,165.83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75,817,938.80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21,524,191.57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4,171,273.89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129,782,974.26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71,646,664.91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134,979,385.42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72,679,211.46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-5,196,411.16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-1,032,546.55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50,489.15</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50,489.15</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3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权益法下在被投资单位不</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67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1" w:right="154"/>
              <w:jc w:val="left"/>
              <w:rPr>
                <w:rFonts w:ascii="宋体" w:hAnsi="宋体" w:cs="宋体" w:eastAsia="宋体" w:hint="default"/>
                <w:sz w:val="18"/>
                <w:szCs w:val="18"/>
              </w:rPr>
            </w:pPr>
            <w:r>
              <w:rPr>
                <w:rFonts w:ascii="宋体" w:hAnsi="宋体" w:cs="宋体" w:eastAsia="宋体" w:hint="default"/>
                <w:sz w:val="18"/>
                <w:szCs w:val="18"/>
              </w:rPr>
              <w:t>能重分类进损益的其他综合收益中享 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50,489.15</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50,489.15</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129,833,463.41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71,646,664.91</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135,029,874.57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72,679,211.46</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4"/>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-5,196,411.16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-1,032,546.55</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0.6827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0.4134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0.6827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0.4134</w:t>
            </w:r>
          </w:p>
        </w:tc>
      </w:tr>
    </w:tbl>
    <w:p>
      <w:pPr>
        <w:pStyle w:val="BodyText"/>
        <w:tabs>
          <w:tab w:pos="3574" w:val="left" w:leader="none"/>
          <w:tab w:pos="7715" w:val="left" w:leader="none"/>
        </w:tabs>
        <w:spacing w:line="592" w:lineRule="auto" w:before="51"/>
        <w:ind w:right="1229"/>
        <w:jc w:val="both"/>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法定代表人：赵福君</w:t>
        <w:tab/>
        <w:t>主管会计工作负责人：邱安超</w:t>
        <w:tab/>
        <w:t>会计机构负责人：马巧红 </w:t>
      </w:r>
      <w:bookmarkStart w:name="4、母公司利润表" w:id="154"/>
      <w:bookmarkEnd w:id="154"/>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before="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310,253,099.96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256,505,347.10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20,916,381.23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12,991,213.25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1,453,363.51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1,453,879.87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21,813,457.90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18,565,665.66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206,440,816.54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183,749,579.06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-1,107,485.02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-2,158,222.19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317,473.55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2,402,804.30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11,530.41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3,373,243.99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18,803,768.33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1,572,147.20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1,453,558.98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63,792,336.24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58,315,725.89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6,235,029.06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6,603,228.26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303,085.47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769,785.40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227,159.43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744,335.89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69,724,279.83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64,149,168.75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3,749,664.33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2,930,621.52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65,974,615.50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61,218,547.23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65,974,615.50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61,218,547.23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0.3337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0.3482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0.3337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0.3482</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5、合并现金流量表" w:id="155"/>
      <w:bookmarkEnd w:id="155"/>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717,100,443.41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347,418,333.17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12,466,901.53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2,858,237.10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28,045,309.47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10,963,554.70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757,612,654.41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361,240,124.97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225,183,757.88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16,410,289.45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253,682,121.87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191,277,841.47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41,328,954.54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24,466,529.70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63,895,658.75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45,742,467.16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584,090,493.04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277,897,127.78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173,522,161.37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83,342,997.19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337,000,001.00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357,251,920.00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11,269,598.68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11,023,467.46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147,183.30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268,052.13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250,615.14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348,667,398.12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368,543,439.59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13,918,368.83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33,020,101.32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331,001,920.00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34,360,953.01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39,949.52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235,319,271.36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364,022,021.32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113,348,126.76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4,521,418.27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233,934,968.75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6,950,000.00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77,228,800.00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311,163,768.75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20,507,457.16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31,643,154.90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20,384,609.49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6,121,509.43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40,892,066.65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37,764,664.33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270,271,702.10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-35,764,664.33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819,455.90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557,961,446.13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52,099,751.13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277,333,109.93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225,233,358.80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835,294,556.06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277,333,109.93</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6、母公司现金流量表" w:id="156"/>
      <w:bookmarkEnd w:id="156"/>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326,195,032.97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271,733,568.35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6,082,089.57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1,547,323.50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23,501,355.18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10,601,061.54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355,778,477.72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283,881,953.39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23,960,170.15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11,697,692.53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170,439,462.62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143,289,461.39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19,122,020.64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17,525,313.13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46,268,044.22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51,534,789.13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259,789,697.63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224,047,256.18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95,988,780.09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59,834,697.21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307,000,001.00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357,251,920.00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11,269,598.68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11,023,467.46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135,333.30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116,443.89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256,068.10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318,661,001.08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368,391,831.35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7,572,401.41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13,455,373.37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351,001,920.00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162,050,000.00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39,949.52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326,662,350.93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364,457,293.37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-8,001,349.85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3,934,537.98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226,984,968.75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77,228,800.00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304,213,768.75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19,819,873.70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31,643,154.90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20,384,609.49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6,121,509.43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40,204,483.19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37,764,664.33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264,009,285.56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-37,764,664.33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768,986.30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352,765,702.10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26,004,570.86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195,977,617.53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169,973,046.67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548,743,319.63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195,977,617.53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4"/>
        <w:rPr>
          <w:rFonts w:ascii="Times New Roman" w:hAnsi="Times New Roman" w:cs="Times New Roman" w:eastAsia="Times New Roman" w:hint="default"/>
          <w:sz w:val="3"/>
          <w:szCs w:val="3"/>
        </w:rPr>
      </w:pPr>
      <w:r>
        <w:rPr/>
        <w:pict>
          <v:shape style="position:absolute;margin-left:774.419983pt;margin-top:556.820007pt;width:67.5pt;height:38.5pt;mso-position-horizontal-relative:page;mso-position-vertical-relative:page;z-index:2056" type="#_x0000_t75" stroked="false">
            <v:imagedata r:id="rId27" o:title=""/>
          </v:shape>
        </w:pict>
      </w: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3"/>
        <w:spacing w:line="240" w:lineRule="auto"/>
        <w:ind w:left="140" w:right="0"/>
        <w:jc w:val="left"/>
        <w:rPr>
          <w:b w:val="0"/>
          <w:bCs w:val="0"/>
        </w:rPr>
      </w:pPr>
      <w:bookmarkStart w:name="7、合并所有者权益变动表" w:id="157"/>
      <w:bookmarkEnd w:id="157"/>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40" w:right="0"/>
        <w:jc w:val="left"/>
      </w:pPr>
      <w:r>
        <w:rPr/>
        <w:t>本期金额</w:t>
      </w:r>
    </w:p>
    <w:p>
      <w:pPr>
        <w:pStyle w:val="BodyText"/>
        <w:spacing w:line="240" w:lineRule="auto" w:before="116"/>
        <w:ind w:left="0" w:right="1535"/>
        <w:jc w:val="right"/>
      </w:pPr>
      <w:r>
        <w:rPr/>
        <w:t>单位：元</w:t>
      </w:r>
    </w:p>
    <w:p>
      <w:pPr>
        <w:spacing w:line="240" w:lineRule="auto" w:before="1"/>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1415"/>
        <w:gridCol w:w="1237"/>
        <w:gridCol w:w="532"/>
        <w:gridCol w:w="530"/>
        <w:gridCol w:w="532"/>
        <w:gridCol w:w="1348"/>
        <w:gridCol w:w="665"/>
        <w:gridCol w:w="818"/>
        <w:gridCol w:w="665"/>
        <w:gridCol w:w="1121"/>
        <w:gridCol w:w="665"/>
        <w:gridCol w:w="1361"/>
        <w:gridCol w:w="1316"/>
        <w:gridCol w:w="1496"/>
      </w:tblGrid>
      <w:tr>
        <w:trPr>
          <w:trHeight w:val="402"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1228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97"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94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316" w:type="dxa"/>
            <w:vMerge w:val="restart"/>
            <w:tcBorders>
              <w:top w:val="single" w:sz="4" w:space="0" w:color="000000"/>
              <w:left w:val="single" w:sz="4" w:space="0" w:color="000000"/>
              <w:right w:val="single" w:sz="4" w:space="0" w:color="000000"/>
            </w:tcBorders>
            <w:shd w:val="clear" w:color="auto" w:fill="D2D2D2"/>
          </w:tcPr>
          <w:p>
            <w:pPr/>
          </w:p>
        </w:tc>
        <w:tc>
          <w:tcPr>
            <w:tcW w:w="1496" w:type="dxa"/>
            <w:vMerge w:val="restart"/>
            <w:tcBorders>
              <w:top w:val="single" w:sz="4" w:space="0" w:color="000000"/>
              <w:left w:val="single" w:sz="4" w:space="0" w:color="000000"/>
              <w:right w:val="single" w:sz="4" w:space="0" w:color="000000"/>
            </w:tcBorders>
            <w:shd w:val="clear" w:color="auto" w:fill="D2D2D2"/>
          </w:tcPr>
          <w:p>
            <w:pPr/>
          </w:p>
        </w:tc>
      </w:tr>
      <w:tr>
        <w:trPr>
          <w:trHeight w:val="211" w:hRule="exact"/>
        </w:trPr>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37" w:type="dxa"/>
            <w:vMerge w:val="restart"/>
            <w:tcBorders>
              <w:top w:val="single" w:sz="4" w:space="0" w:color="000000"/>
              <w:left w:val="single" w:sz="4" w:space="0" w:color="000000"/>
              <w:right w:val="single" w:sz="4" w:space="0" w:color="000000"/>
            </w:tcBorders>
            <w:shd w:val="clear" w:color="auto" w:fill="D2D2D2"/>
          </w:tcPr>
          <w:p>
            <w:pPr/>
          </w:p>
        </w:tc>
        <w:tc>
          <w:tcPr>
            <w:tcW w:w="15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348" w:type="dxa"/>
            <w:vMerge w:val="restart"/>
            <w:tcBorders>
              <w:top w:val="single" w:sz="4" w:space="0" w:color="000000"/>
              <w:left w:val="single" w:sz="4" w:space="0" w:color="000000"/>
              <w:right w:val="single" w:sz="4" w:space="0" w:color="FFFFFF"/>
            </w:tcBorders>
            <w:shd w:val="clear" w:color="auto" w:fill="D2D2D2"/>
          </w:tcPr>
          <w:p>
            <w:pPr/>
          </w:p>
        </w:tc>
        <w:tc>
          <w:tcPr>
            <w:tcW w:w="665" w:type="dxa"/>
            <w:tcBorders>
              <w:top w:val="single" w:sz="4" w:space="0" w:color="000000"/>
              <w:left w:val="single" w:sz="4" w:space="0" w:color="FFFFFF"/>
              <w:bottom w:val="nil" w:sz="6" w:space="0" w:color="auto"/>
              <w:right w:val="single" w:sz="4" w:space="0" w:color="000000"/>
            </w:tcBorders>
            <w:shd w:val="clear" w:color="auto" w:fill="D2D2D2"/>
          </w:tcPr>
          <w:p>
            <w:pPr/>
          </w:p>
        </w:tc>
        <w:tc>
          <w:tcPr>
            <w:tcW w:w="818"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1" w:type="dxa"/>
            <w:vMerge w:val="restart"/>
            <w:tcBorders>
              <w:top w:val="single" w:sz="4" w:space="0" w:color="000000"/>
              <w:left w:val="single" w:sz="4" w:space="0" w:color="000000"/>
              <w:right w:val="single" w:sz="4" w:space="0" w:color="FFFFFF"/>
            </w:tcBorders>
            <w:shd w:val="clear" w:color="auto" w:fill="D2D2D2"/>
          </w:tcPr>
          <w:p>
            <w:pPr/>
          </w:p>
        </w:tc>
        <w:tc>
          <w:tcPr>
            <w:tcW w:w="665" w:type="dxa"/>
            <w:tcBorders>
              <w:top w:val="single" w:sz="4" w:space="0" w:color="000000"/>
              <w:left w:val="single" w:sz="4" w:space="0" w:color="FFFFFF"/>
              <w:bottom w:val="nil" w:sz="6" w:space="0" w:color="auto"/>
              <w:right w:val="single" w:sz="4" w:space="0" w:color="000000"/>
            </w:tcBorders>
            <w:shd w:val="clear" w:color="auto" w:fill="D2D2D2"/>
          </w:tcPr>
          <w:p>
            <w:pPr/>
          </w:p>
        </w:tc>
        <w:tc>
          <w:tcPr>
            <w:tcW w:w="1361" w:type="dxa"/>
            <w:vMerge w:val="restart"/>
            <w:tcBorders>
              <w:top w:val="single" w:sz="4" w:space="0" w:color="000000"/>
              <w:left w:val="single" w:sz="4" w:space="0" w:color="000000"/>
              <w:right w:val="single" w:sz="4" w:space="0" w:color="000000"/>
            </w:tcBorders>
            <w:shd w:val="clear" w:color="auto" w:fill="D2D2D2"/>
          </w:tcPr>
          <w:p>
            <w:pPr/>
          </w:p>
        </w:tc>
        <w:tc>
          <w:tcPr>
            <w:tcW w:w="1316" w:type="dxa"/>
            <w:vMerge/>
            <w:tcBorders>
              <w:left w:val="single" w:sz="4" w:space="0" w:color="000000"/>
              <w:bottom w:val="nil" w:sz="6" w:space="0" w:color="auto"/>
              <w:right w:val="single" w:sz="4" w:space="0" w:color="000000"/>
            </w:tcBorders>
            <w:shd w:val="clear" w:color="auto" w:fill="D2D2D2"/>
          </w:tcPr>
          <w:p>
            <w:pPr/>
          </w:p>
        </w:tc>
        <w:tc>
          <w:tcPr>
            <w:tcW w:w="1496" w:type="dxa"/>
            <w:vMerge/>
            <w:tcBorders>
              <w:left w:val="single" w:sz="4" w:space="0" w:color="000000"/>
              <w:bottom w:val="nil" w:sz="6" w:space="0" w:color="auto"/>
              <w:right w:val="single" w:sz="4" w:space="0" w:color="000000"/>
            </w:tcBorders>
            <w:shd w:val="clear" w:color="auto" w:fill="D2D2D2"/>
          </w:tcPr>
          <w:p>
            <w:pPr/>
          </w:p>
        </w:tc>
      </w:tr>
      <w:tr>
        <w:trPr>
          <w:trHeight w:val="176"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1237" w:type="dxa"/>
            <w:vMerge/>
            <w:tcBorders>
              <w:left w:val="single" w:sz="4" w:space="0" w:color="000000"/>
              <w:bottom w:val="nil" w:sz="6" w:space="0" w:color="auto"/>
              <w:right w:val="single" w:sz="4" w:space="0" w:color="000000"/>
            </w:tcBorders>
            <w:shd w:val="clear" w:color="auto" w:fill="D2D2D2"/>
          </w:tcPr>
          <w:p>
            <w:pPr/>
          </w:p>
        </w:tc>
        <w:tc>
          <w:tcPr>
            <w:tcW w:w="1594" w:type="dxa"/>
            <w:gridSpan w:val="3"/>
            <w:vMerge/>
            <w:tcBorders>
              <w:left w:val="single" w:sz="4" w:space="0" w:color="000000"/>
              <w:bottom w:val="single" w:sz="4" w:space="0" w:color="000000"/>
              <w:right w:val="single" w:sz="4" w:space="0" w:color="000000"/>
            </w:tcBorders>
            <w:shd w:val="clear" w:color="auto" w:fill="D2D2D2"/>
          </w:tcPr>
          <w:p>
            <w:pPr/>
          </w:p>
        </w:tc>
        <w:tc>
          <w:tcPr>
            <w:tcW w:w="1348" w:type="dxa"/>
            <w:vMerge/>
            <w:tcBorders>
              <w:left w:val="single" w:sz="4" w:space="0" w:color="000000"/>
              <w:bottom w:val="nil" w:sz="6" w:space="0" w:color="auto"/>
              <w:right w:val="single" w:sz="4" w:space="0" w:color="FFFFFF"/>
            </w:tcBorders>
            <w:shd w:val="clear" w:color="auto" w:fill="D2D2D2"/>
          </w:tcPr>
          <w:p>
            <w:pPr/>
          </w:p>
        </w:tc>
        <w:tc>
          <w:tcPr>
            <w:tcW w:w="665" w:type="dxa"/>
            <w:vMerge w:val="restart"/>
            <w:tcBorders>
              <w:top w:val="nil" w:sz="6" w:space="0" w:color="auto"/>
              <w:left w:val="single" w:sz="4" w:space="0" w:color="FFFFFF"/>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81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3" w:right="42"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121" w:type="dxa"/>
            <w:vMerge/>
            <w:tcBorders>
              <w:left w:val="single" w:sz="4" w:space="0" w:color="000000"/>
              <w:bottom w:val="nil" w:sz="6" w:space="0" w:color="auto"/>
              <w:right w:val="single" w:sz="4" w:space="0" w:color="FFFFFF"/>
            </w:tcBorders>
            <w:shd w:val="clear" w:color="auto" w:fill="D2D2D2"/>
          </w:tcPr>
          <w:p>
            <w:pPr/>
          </w:p>
        </w:tc>
        <w:tc>
          <w:tcPr>
            <w:tcW w:w="665" w:type="dxa"/>
            <w:vMerge w:val="restart"/>
            <w:tcBorders>
              <w:top w:val="nil" w:sz="6" w:space="0" w:color="auto"/>
              <w:left w:val="single" w:sz="4" w:space="0" w:color="FFFFFF"/>
              <w:right w:val="single" w:sz="4" w:space="0" w:color="000000"/>
            </w:tcBorders>
            <w:shd w:val="clear" w:color="auto" w:fill="D2D2D2"/>
          </w:tcPr>
          <w:p>
            <w:pPr>
              <w:pStyle w:val="TableParagraph"/>
              <w:spacing w:line="316" w:lineRule="auto" w:before="74"/>
              <w:ind w:left="56" w:right="5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361" w:type="dxa"/>
            <w:vMerge/>
            <w:tcBorders>
              <w:left w:val="single" w:sz="4" w:space="0" w:color="000000"/>
              <w:bottom w:val="nil" w:sz="6" w:space="0" w:color="auto"/>
              <w:right w:val="single" w:sz="4" w:space="0" w:color="000000"/>
            </w:tcBorders>
            <w:shd w:val="clear" w:color="auto" w:fill="D2D2D2"/>
          </w:tcPr>
          <w:p>
            <w:pPr/>
          </w:p>
        </w:tc>
        <w:tc>
          <w:tcPr>
            <w:tcW w:w="13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11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4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1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7" w:hRule="exact"/>
        </w:trPr>
        <w:tc>
          <w:tcPr>
            <w:tcW w:w="1415" w:type="dxa"/>
            <w:vMerge w:val="restart"/>
            <w:tcBorders>
              <w:top w:val="nil" w:sz="6" w:space="0" w:color="auto"/>
              <w:left w:val="single" w:sz="4" w:space="0" w:color="000000"/>
              <w:right w:val="single" w:sz="4" w:space="0" w:color="000000"/>
            </w:tcBorders>
            <w:shd w:val="clear" w:color="auto" w:fill="D2D2D2"/>
          </w:tcPr>
          <w:p>
            <w:pPr/>
          </w:p>
        </w:tc>
        <w:tc>
          <w:tcPr>
            <w:tcW w:w="123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2"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170" w:right="79"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170"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2" w:type="dxa"/>
            <w:tcBorders>
              <w:top w:val="single" w:sz="4" w:space="0" w:color="000000"/>
              <w:left w:val="single" w:sz="4" w:space="0" w:color="000000"/>
              <w:bottom w:val="nil" w:sz="6" w:space="0" w:color="auto"/>
              <w:right w:val="single" w:sz="4" w:space="0" w:color="000000"/>
            </w:tcBorders>
            <w:shd w:val="clear" w:color="auto" w:fill="D2D2D2"/>
          </w:tcPr>
          <w:p>
            <w:pPr/>
          </w:p>
        </w:tc>
        <w:tc>
          <w:tcPr>
            <w:tcW w:w="1348" w:type="dxa"/>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54"/>
              <w:ind w:left="308"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665" w:type="dxa"/>
            <w:vMerge/>
            <w:tcBorders>
              <w:left w:val="single" w:sz="4" w:space="0" w:color="FFFFFF"/>
              <w:right w:val="single" w:sz="4" w:space="0" w:color="000000"/>
            </w:tcBorders>
            <w:shd w:val="clear" w:color="auto" w:fill="D2D2D2"/>
          </w:tcPr>
          <w:p>
            <w:pPr/>
          </w:p>
        </w:tc>
        <w:tc>
          <w:tcPr>
            <w:tcW w:w="818"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1121" w:type="dxa"/>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52"/>
              <w:ind w:left="19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65" w:type="dxa"/>
            <w:vMerge/>
            <w:tcBorders>
              <w:left w:val="single" w:sz="4" w:space="0" w:color="FFFFFF"/>
              <w:right w:val="single" w:sz="4" w:space="0" w:color="000000"/>
            </w:tcBorders>
            <w:shd w:val="clear" w:color="auto" w:fill="D2D2D2"/>
          </w:tcPr>
          <w:p>
            <w:pPr/>
          </w:p>
        </w:tc>
        <w:tc>
          <w:tcPr>
            <w:tcW w:w="13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2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16" w:type="dxa"/>
            <w:vMerge/>
            <w:tcBorders>
              <w:left w:val="single" w:sz="4" w:space="0" w:color="000000"/>
              <w:bottom w:val="nil" w:sz="6" w:space="0" w:color="auto"/>
              <w:right w:val="single" w:sz="4" w:space="0" w:color="000000"/>
            </w:tcBorders>
            <w:shd w:val="clear" w:color="auto" w:fill="D2D2D2"/>
          </w:tcPr>
          <w:p>
            <w:pPr/>
          </w:p>
        </w:tc>
        <w:tc>
          <w:tcPr>
            <w:tcW w:w="1496" w:type="dxa"/>
            <w:vMerge/>
            <w:tcBorders>
              <w:left w:val="single" w:sz="4" w:space="0" w:color="000000"/>
              <w:bottom w:val="nil" w:sz="6" w:space="0" w:color="auto"/>
              <w:right w:val="single" w:sz="4" w:space="0" w:color="000000"/>
            </w:tcBorders>
            <w:shd w:val="clear" w:color="auto" w:fill="D2D2D2"/>
          </w:tcPr>
          <w:p>
            <w:pPr/>
          </w:p>
        </w:tc>
      </w:tr>
      <w:tr>
        <w:trPr>
          <w:trHeight w:val="196" w:hRule="exact"/>
        </w:trPr>
        <w:tc>
          <w:tcPr>
            <w:tcW w:w="1415" w:type="dxa"/>
            <w:vMerge/>
            <w:tcBorders>
              <w:left w:val="single" w:sz="4" w:space="0" w:color="000000"/>
              <w:right w:val="single" w:sz="4" w:space="0" w:color="000000"/>
            </w:tcBorders>
            <w:shd w:val="clear" w:color="auto" w:fill="D2D2D2"/>
          </w:tcPr>
          <w:p>
            <w:pPr/>
          </w:p>
        </w:tc>
        <w:tc>
          <w:tcPr>
            <w:tcW w:w="1237" w:type="dxa"/>
            <w:vMerge/>
            <w:tcBorders>
              <w:left w:val="single" w:sz="4" w:space="0" w:color="000000"/>
              <w:bottom w:val="nil" w:sz="6" w:space="0" w:color="auto"/>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48" w:type="dxa"/>
            <w:vMerge/>
            <w:tcBorders>
              <w:left w:val="single" w:sz="4" w:space="0" w:color="000000"/>
              <w:bottom w:val="nil" w:sz="6" w:space="0" w:color="auto"/>
              <w:right w:val="single" w:sz="4" w:space="0" w:color="FFFFFF"/>
            </w:tcBorders>
            <w:shd w:val="clear" w:color="auto" w:fill="D2D2D2"/>
          </w:tcPr>
          <w:p>
            <w:pPr/>
          </w:p>
        </w:tc>
        <w:tc>
          <w:tcPr>
            <w:tcW w:w="665" w:type="dxa"/>
            <w:vMerge/>
            <w:tcBorders>
              <w:left w:val="single" w:sz="4" w:space="0" w:color="FFFFFF"/>
              <w:right w:val="single" w:sz="4" w:space="0" w:color="000000"/>
            </w:tcBorders>
            <w:shd w:val="clear" w:color="auto" w:fill="D2D2D2"/>
          </w:tcPr>
          <w:p>
            <w:pPr/>
          </w:p>
        </w:tc>
        <w:tc>
          <w:tcPr>
            <w:tcW w:w="818"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1121" w:type="dxa"/>
            <w:vMerge/>
            <w:tcBorders>
              <w:left w:val="single" w:sz="4" w:space="0" w:color="000000"/>
              <w:bottom w:val="nil" w:sz="6" w:space="0" w:color="auto"/>
              <w:right w:val="single" w:sz="4" w:space="0" w:color="FFFFFF"/>
            </w:tcBorders>
            <w:shd w:val="clear" w:color="auto" w:fill="D2D2D2"/>
          </w:tcPr>
          <w:p>
            <w:pPr/>
          </w:p>
        </w:tc>
        <w:tc>
          <w:tcPr>
            <w:tcW w:w="665" w:type="dxa"/>
            <w:vMerge/>
            <w:tcBorders>
              <w:left w:val="single" w:sz="4" w:space="0" w:color="FFFFFF"/>
              <w:right w:val="single" w:sz="4" w:space="0" w:color="000000"/>
            </w:tcBorders>
            <w:shd w:val="clear" w:color="auto" w:fill="D2D2D2"/>
          </w:tcPr>
          <w:p>
            <w:pPr/>
          </w:p>
        </w:tc>
        <w:tc>
          <w:tcPr>
            <w:tcW w:w="1361" w:type="dxa"/>
            <w:vMerge/>
            <w:tcBorders>
              <w:left w:val="single" w:sz="4" w:space="0" w:color="000000"/>
              <w:bottom w:val="nil" w:sz="6" w:space="0" w:color="auto"/>
              <w:right w:val="single" w:sz="4" w:space="0" w:color="000000"/>
            </w:tcBorders>
            <w:shd w:val="clear" w:color="auto" w:fill="D2D2D2"/>
          </w:tcPr>
          <w:p>
            <w:pPr/>
          </w:p>
        </w:tc>
        <w:tc>
          <w:tcPr>
            <w:tcW w:w="1316" w:type="dxa"/>
            <w:vMerge w:val="restart"/>
            <w:tcBorders>
              <w:top w:val="nil" w:sz="6" w:space="0" w:color="auto"/>
              <w:left w:val="single" w:sz="4" w:space="0" w:color="000000"/>
              <w:right w:val="single" w:sz="4" w:space="0" w:color="000000"/>
            </w:tcBorders>
            <w:shd w:val="clear" w:color="auto" w:fill="D2D2D2"/>
          </w:tcPr>
          <w:p>
            <w:pPr/>
          </w:p>
        </w:tc>
        <w:tc>
          <w:tcPr>
            <w:tcW w:w="1496" w:type="dxa"/>
            <w:vMerge w:val="restart"/>
            <w:tcBorders>
              <w:top w:val="nil" w:sz="6" w:space="0" w:color="auto"/>
              <w:left w:val="single" w:sz="4" w:space="0" w:color="000000"/>
              <w:right w:val="single" w:sz="4" w:space="0" w:color="000000"/>
            </w:tcBorders>
            <w:shd w:val="clear" w:color="auto" w:fill="D2D2D2"/>
          </w:tcPr>
          <w:p>
            <w:pPr/>
          </w:p>
        </w:tc>
      </w:tr>
      <w:tr>
        <w:trPr>
          <w:trHeight w:val="179" w:hRule="exact"/>
        </w:trPr>
        <w:tc>
          <w:tcPr>
            <w:tcW w:w="1415" w:type="dxa"/>
            <w:vMerge/>
            <w:tcBorders>
              <w:left w:val="single" w:sz="4" w:space="0" w:color="000000"/>
              <w:right w:val="single" w:sz="4" w:space="0" w:color="000000"/>
            </w:tcBorders>
            <w:shd w:val="clear" w:color="auto" w:fill="D2D2D2"/>
          </w:tcPr>
          <w:p>
            <w:pPr/>
          </w:p>
        </w:tc>
        <w:tc>
          <w:tcPr>
            <w:tcW w:w="1237" w:type="dxa"/>
            <w:vMerge w:val="restart"/>
            <w:tcBorders>
              <w:top w:val="nil" w:sz="6" w:space="0" w:color="auto"/>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bottom w:val="nil" w:sz="6" w:space="0" w:color="auto"/>
              <w:right w:val="single" w:sz="4" w:space="0" w:color="000000"/>
            </w:tcBorders>
            <w:shd w:val="clear" w:color="auto" w:fill="D2D2D2"/>
          </w:tcPr>
          <w:p>
            <w:pPr/>
          </w:p>
        </w:tc>
        <w:tc>
          <w:tcPr>
            <w:tcW w:w="1348" w:type="dxa"/>
            <w:vMerge w:val="restart"/>
            <w:tcBorders>
              <w:top w:val="nil" w:sz="6" w:space="0" w:color="auto"/>
              <w:left w:val="single" w:sz="4" w:space="0" w:color="000000"/>
              <w:right w:val="single" w:sz="4" w:space="0" w:color="FFFFFF"/>
            </w:tcBorders>
            <w:shd w:val="clear" w:color="auto" w:fill="D2D2D2"/>
          </w:tcPr>
          <w:p>
            <w:pPr/>
          </w:p>
        </w:tc>
        <w:tc>
          <w:tcPr>
            <w:tcW w:w="665" w:type="dxa"/>
            <w:vMerge/>
            <w:tcBorders>
              <w:left w:val="single" w:sz="4" w:space="0" w:color="FFFFFF"/>
              <w:bottom w:val="nil" w:sz="6" w:space="0" w:color="auto"/>
              <w:right w:val="single" w:sz="4" w:space="0" w:color="000000"/>
            </w:tcBorders>
            <w:shd w:val="clear" w:color="auto" w:fill="D2D2D2"/>
          </w:tcPr>
          <w:p>
            <w:pPr/>
          </w:p>
        </w:tc>
        <w:tc>
          <w:tcPr>
            <w:tcW w:w="818"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1121" w:type="dxa"/>
            <w:vMerge w:val="restart"/>
            <w:tcBorders>
              <w:top w:val="nil" w:sz="6" w:space="0" w:color="auto"/>
              <w:left w:val="single" w:sz="4" w:space="0" w:color="000000"/>
              <w:right w:val="single" w:sz="4" w:space="0" w:color="FFFFFF"/>
            </w:tcBorders>
            <w:shd w:val="clear" w:color="auto" w:fill="D2D2D2"/>
          </w:tcPr>
          <w:p>
            <w:pPr/>
          </w:p>
        </w:tc>
        <w:tc>
          <w:tcPr>
            <w:tcW w:w="665" w:type="dxa"/>
            <w:vMerge/>
            <w:tcBorders>
              <w:left w:val="single" w:sz="4" w:space="0" w:color="FFFFFF"/>
              <w:bottom w:val="nil" w:sz="6" w:space="0" w:color="auto"/>
              <w:right w:val="single" w:sz="4" w:space="0" w:color="000000"/>
            </w:tcBorders>
            <w:shd w:val="clear" w:color="auto" w:fill="D2D2D2"/>
          </w:tcPr>
          <w:p>
            <w:pPr/>
          </w:p>
        </w:tc>
        <w:tc>
          <w:tcPr>
            <w:tcW w:w="1361" w:type="dxa"/>
            <w:vMerge w:val="restart"/>
            <w:tcBorders>
              <w:top w:val="nil" w:sz="6" w:space="0" w:color="auto"/>
              <w:left w:val="single" w:sz="4" w:space="0" w:color="000000"/>
              <w:right w:val="single" w:sz="4" w:space="0" w:color="000000"/>
            </w:tcBorders>
            <w:shd w:val="clear" w:color="auto" w:fill="D2D2D2"/>
          </w:tcPr>
          <w:p>
            <w:pPr/>
          </w:p>
        </w:tc>
        <w:tc>
          <w:tcPr>
            <w:tcW w:w="1316" w:type="dxa"/>
            <w:vMerge/>
            <w:tcBorders>
              <w:left w:val="single" w:sz="4" w:space="0" w:color="000000"/>
              <w:right w:val="single" w:sz="4" w:space="0" w:color="000000"/>
            </w:tcBorders>
            <w:shd w:val="clear" w:color="auto" w:fill="D2D2D2"/>
          </w:tcPr>
          <w:p>
            <w:pPr/>
          </w:p>
        </w:tc>
        <w:tc>
          <w:tcPr>
            <w:tcW w:w="1496" w:type="dxa"/>
            <w:vMerge/>
            <w:tcBorders>
              <w:left w:val="single" w:sz="4" w:space="0" w:color="000000"/>
              <w:right w:val="single" w:sz="4" w:space="0" w:color="000000"/>
            </w:tcBorders>
            <w:shd w:val="clear" w:color="auto" w:fill="D2D2D2"/>
          </w:tcPr>
          <w:p>
            <w:pPr/>
          </w:p>
        </w:tc>
      </w:tr>
      <w:tr>
        <w:trPr>
          <w:trHeight w:val="195"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1237"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tcBorders>
              <w:top w:val="nil" w:sz="6" w:space="0" w:color="auto"/>
              <w:left w:val="single" w:sz="4" w:space="0" w:color="000000"/>
              <w:bottom w:val="single" w:sz="4" w:space="0" w:color="000000"/>
              <w:right w:val="single" w:sz="4" w:space="0" w:color="000000"/>
            </w:tcBorders>
            <w:shd w:val="clear" w:color="auto" w:fill="D2D2D2"/>
          </w:tcPr>
          <w:p>
            <w:pPr/>
          </w:p>
        </w:tc>
        <w:tc>
          <w:tcPr>
            <w:tcW w:w="1348" w:type="dxa"/>
            <w:vMerge/>
            <w:tcBorders>
              <w:left w:val="single" w:sz="4" w:space="0" w:color="000000"/>
              <w:bottom w:val="single" w:sz="4" w:space="0" w:color="000000"/>
              <w:right w:val="single" w:sz="4" w:space="0" w:color="FFFFFF"/>
            </w:tcBorders>
            <w:shd w:val="clear" w:color="auto" w:fill="D2D2D2"/>
          </w:tcPr>
          <w:p>
            <w:pPr/>
          </w:p>
        </w:tc>
        <w:tc>
          <w:tcPr>
            <w:tcW w:w="665" w:type="dxa"/>
            <w:tcBorders>
              <w:top w:val="nil" w:sz="6" w:space="0" w:color="auto"/>
              <w:left w:val="single" w:sz="4" w:space="0" w:color="FFFFFF"/>
              <w:bottom w:val="single" w:sz="4" w:space="0" w:color="000000"/>
              <w:right w:val="single" w:sz="4" w:space="0" w:color="000000"/>
            </w:tcBorders>
            <w:shd w:val="clear" w:color="auto" w:fill="D2D2D2"/>
          </w:tcPr>
          <w:p>
            <w:pPr/>
          </w:p>
        </w:tc>
        <w:tc>
          <w:tcPr>
            <w:tcW w:w="818"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1" w:type="dxa"/>
            <w:vMerge/>
            <w:tcBorders>
              <w:left w:val="single" w:sz="4" w:space="0" w:color="000000"/>
              <w:bottom w:val="single" w:sz="4" w:space="0" w:color="000000"/>
              <w:right w:val="single" w:sz="4" w:space="0" w:color="FFFFFF"/>
            </w:tcBorders>
            <w:shd w:val="clear" w:color="auto" w:fill="D2D2D2"/>
          </w:tcPr>
          <w:p>
            <w:pPr/>
          </w:p>
        </w:tc>
        <w:tc>
          <w:tcPr>
            <w:tcW w:w="665" w:type="dxa"/>
            <w:tcBorders>
              <w:top w:val="nil" w:sz="6" w:space="0" w:color="auto"/>
              <w:left w:val="single" w:sz="4" w:space="0" w:color="FFFFFF"/>
              <w:bottom w:val="single" w:sz="4" w:space="0" w:color="000000"/>
              <w:right w:val="single" w:sz="4" w:space="0" w:color="000000"/>
            </w:tcBorders>
            <w:shd w:val="clear" w:color="auto" w:fill="D2D2D2"/>
          </w:tcPr>
          <w:p>
            <w:pPr/>
          </w:p>
        </w:tc>
        <w:tc>
          <w:tcPr>
            <w:tcW w:w="1361" w:type="dxa"/>
            <w:vMerge/>
            <w:tcBorders>
              <w:left w:val="single" w:sz="4" w:space="0" w:color="000000"/>
              <w:bottom w:val="single" w:sz="4" w:space="0" w:color="000000"/>
              <w:right w:val="single" w:sz="4" w:space="0" w:color="000000"/>
            </w:tcBorders>
            <w:shd w:val="clear" w:color="auto" w:fill="D2D2D2"/>
          </w:tcPr>
          <w:p>
            <w:pPr/>
          </w:p>
        </w:tc>
        <w:tc>
          <w:tcPr>
            <w:tcW w:w="1316" w:type="dxa"/>
            <w:vMerge/>
            <w:tcBorders>
              <w:left w:val="single" w:sz="4" w:space="0" w:color="000000"/>
              <w:bottom w:val="single" w:sz="4" w:space="0" w:color="000000"/>
              <w:right w:val="single" w:sz="4" w:space="0" w:color="000000"/>
            </w:tcBorders>
            <w:shd w:val="clear" w:color="auto" w:fill="D2D2D2"/>
          </w:tcPr>
          <w:p>
            <w:pPr/>
          </w:p>
        </w:tc>
        <w:tc>
          <w:tcPr>
            <w:tcW w:w="149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123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175,795,305.00</w:t>
            </w: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275,919,230.51</w:t>
            </w:r>
          </w:p>
        </w:tc>
        <w:tc>
          <w:tcPr>
            <w:tcW w:w="665" w:type="dxa"/>
            <w:tcBorders>
              <w:top w:val="single" w:sz="4" w:space="0" w:color="000000"/>
              <w:left w:val="single" w:sz="4" w:space="0" w:color="FFFFFF"/>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44,963,753.07</w:t>
            </w:r>
          </w:p>
        </w:tc>
        <w:tc>
          <w:tcPr>
            <w:tcW w:w="665" w:type="dxa"/>
            <w:tcBorders>
              <w:top w:val="single" w:sz="4" w:space="0" w:color="000000"/>
              <w:left w:val="single" w:sz="4" w:space="0" w:color="FFFFFF"/>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253,108,020.97</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9,367,766.52</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759,154,076.07</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1237" w:type="dxa"/>
            <w:tcBorders>
              <w:top w:val="single" w:sz="4" w:space="0" w:color="000000"/>
              <w:left w:val="single" w:sz="9" w:space="0" w:color="D2D2D2"/>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FFFFFF"/>
            </w:tcBorders>
          </w:tcPr>
          <w:p>
            <w:pPr/>
          </w:p>
        </w:tc>
        <w:tc>
          <w:tcPr>
            <w:tcW w:w="665" w:type="dxa"/>
            <w:tcBorders>
              <w:top w:val="single" w:sz="4" w:space="0" w:color="000000"/>
              <w:left w:val="single" w:sz="4" w:space="0" w:color="FFFFFF"/>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FFFFFF"/>
            </w:tcBorders>
          </w:tcPr>
          <w:p>
            <w:pPr/>
          </w:p>
        </w:tc>
        <w:tc>
          <w:tcPr>
            <w:tcW w:w="665" w:type="dxa"/>
            <w:tcBorders>
              <w:top w:val="single" w:sz="4" w:space="0" w:color="000000"/>
              <w:left w:val="single" w:sz="4" w:space="0" w:color="FFFFFF"/>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1237" w:type="dxa"/>
            <w:tcBorders>
              <w:top w:val="single" w:sz="4" w:space="0" w:color="000000"/>
              <w:left w:val="single" w:sz="9" w:space="0" w:color="D2D2D2"/>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FFFFFF"/>
            </w:tcBorders>
          </w:tcPr>
          <w:p>
            <w:pPr/>
          </w:p>
        </w:tc>
        <w:tc>
          <w:tcPr>
            <w:tcW w:w="665" w:type="dxa"/>
            <w:tcBorders>
              <w:top w:val="single" w:sz="4" w:space="0" w:color="000000"/>
              <w:left w:val="single" w:sz="4" w:space="0" w:color="FFFFFF"/>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FFFFFF"/>
            </w:tcBorders>
          </w:tcPr>
          <w:p>
            <w:pPr/>
          </w:p>
        </w:tc>
        <w:tc>
          <w:tcPr>
            <w:tcW w:w="665" w:type="dxa"/>
            <w:tcBorders>
              <w:top w:val="single" w:sz="4" w:space="0" w:color="000000"/>
              <w:left w:val="single" w:sz="4" w:space="0" w:color="FFFFFF"/>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32"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1237" w:type="dxa"/>
            <w:tcBorders>
              <w:top w:val="single" w:sz="4" w:space="0" w:color="000000"/>
              <w:left w:val="single" w:sz="9" w:space="0" w:color="D2D2D2"/>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FFFFFF"/>
            </w:tcBorders>
          </w:tcPr>
          <w:p>
            <w:pPr/>
          </w:p>
        </w:tc>
        <w:tc>
          <w:tcPr>
            <w:tcW w:w="665" w:type="dxa"/>
            <w:tcBorders>
              <w:top w:val="single" w:sz="4" w:space="0" w:color="000000"/>
              <w:left w:val="single" w:sz="4" w:space="0" w:color="FFFFFF"/>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FFFFFF"/>
            </w:tcBorders>
          </w:tcPr>
          <w:p>
            <w:pPr/>
          </w:p>
        </w:tc>
        <w:tc>
          <w:tcPr>
            <w:tcW w:w="665" w:type="dxa"/>
            <w:tcBorders>
              <w:top w:val="single" w:sz="4" w:space="0" w:color="000000"/>
              <w:left w:val="single" w:sz="4" w:space="0" w:color="FFFFFF"/>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37" w:type="dxa"/>
            <w:tcBorders>
              <w:top w:val="single" w:sz="4" w:space="0" w:color="000000"/>
              <w:left w:val="single" w:sz="9" w:space="0" w:color="D2D2D2"/>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FFFFFF"/>
            </w:tcBorders>
          </w:tcPr>
          <w:p>
            <w:pPr/>
          </w:p>
        </w:tc>
        <w:tc>
          <w:tcPr>
            <w:tcW w:w="665" w:type="dxa"/>
            <w:tcBorders>
              <w:top w:val="single" w:sz="4" w:space="0" w:color="000000"/>
              <w:left w:val="single" w:sz="4" w:space="0" w:color="FFFFFF"/>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FFFFFF"/>
            </w:tcBorders>
          </w:tcPr>
          <w:p>
            <w:pPr/>
          </w:p>
        </w:tc>
        <w:tc>
          <w:tcPr>
            <w:tcW w:w="665" w:type="dxa"/>
            <w:tcBorders>
              <w:top w:val="single" w:sz="4" w:space="0" w:color="000000"/>
              <w:left w:val="single" w:sz="4" w:space="0" w:color="FFFFFF"/>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123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175,795,305.00</w:t>
            </w: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275,919,230.51</w:t>
            </w:r>
          </w:p>
        </w:tc>
        <w:tc>
          <w:tcPr>
            <w:tcW w:w="665" w:type="dxa"/>
            <w:tcBorders>
              <w:top w:val="single" w:sz="4" w:space="0" w:color="000000"/>
              <w:left w:val="single" w:sz="4" w:space="0" w:color="FFFFFF"/>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44,963,753.07</w:t>
            </w:r>
          </w:p>
        </w:tc>
        <w:tc>
          <w:tcPr>
            <w:tcW w:w="665" w:type="dxa"/>
            <w:tcBorders>
              <w:top w:val="single" w:sz="4" w:space="0" w:color="000000"/>
              <w:left w:val="single" w:sz="4" w:space="0" w:color="FFFFFF"/>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253,108,020.97</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9,367,766.52</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759,154,076.07</w:t>
            </w: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123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40,801,475.00</w:t>
            </w: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1,059,798,884.26</w:t>
            </w:r>
          </w:p>
        </w:tc>
        <w:tc>
          <w:tcPr>
            <w:tcW w:w="665" w:type="dxa"/>
            <w:tcBorders>
              <w:top w:val="single" w:sz="4" w:space="0" w:color="000000"/>
              <w:left w:val="single" w:sz="4" w:space="0" w:color="FFFFFF"/>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50,489.15</w:t>
            </w:r>
          </w:p>
        </w:tc>
        <w:tc>
          <w:tcPr>
            <w:tcW w:w="665"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6,597,461.55</w:t>
            </w:r>
          </w:p>
        </w:tc>
        <w:tc>
          <w:tcPr>
            <w:tcW w:w="665" w:type="dxa"/>
            <w:tcBorders>
              <w:top w:val="single" w:sz="4" w:space="0" w:color="000000"/>
              <w:left w:val="single" w:sz="4" w:space="0" w:color="FFFFFF"/>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108,562,050.17</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2,347,316.12</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1,218,157,676.25</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1237" w:type="dxa"/>
            <w:tcBorders>
              <w:top w:val="single" w:sz="4" w:space="0" w:color="000000"/>
              <w:left w:val="single" w:sz="9" w:space="0" w:color="D2D2D2"/>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FFFFFF"/>
            </w:tcBorders>
          </w:tcPr>
          <w:p>
            <w:pPr/>
          </w:p>
        </w:tc>
        <w:tc>
          <w:tcPr>
            <w:tcW w:w="665" w:type="dxa"/>
            <w:tcBorders>
              <w:top w:val="single" w:sz="4" w:space="0" w:color="000000"/>
              <w:left w:val="single" w:sz="4" w:space="0" w:color="FFFFFF"/>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50,489.15</w:t>
            </w:r>
          </w:p>
        </w:tc>
        <w:tc>
          <w:tcPr>
            <w:tcW w:w="665"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FFFFFF"/>
            </w:tcBorders>
          </w:tcPr>
          <w:p>
            <w:pPr/>
          </w:p>
        </w:tc>
        <w:tc>
          <w:tcPr>
            <w:tcW w:w="665" w:type="dxa"/>
            <w:tcBorders>
              <w:top w:val="single" w:sz="4" w:space="0" w:color="000000"/>
              <w:left w:val="single" w:sz="4" w:space="0" w:color="FFFFFF"/>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134,979,385.42</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-5,196,411.16</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129,833,463.41</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123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40,801,475.00</w:t>
            </w: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1,059,798,884.26</w:t>
            </w:r>
          </w:p>
        </w:tc>
        <w:tc>
          <w:tcPr>
            <w:tcW w:w="665" w:type="dxa"/>
            <w:tcBorders>
              <w:top w:val="single" w:sz="4" w:space="0" w:color="000000"/>
              <w:left w:val="single" w:sz="4" w:space="0" w:color="FFFFFF"/>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FFFFFF"/>
            </w:tcBorders>
          </w:tcPr>
          <w:p>
            <w:pPr/>
          </w:p>
        </w:tc>
        <w:tc>
          <w:tcPr>
            <w:tcW w:w="665" w:type="dxa"/>
            <w:tcBorders>
              <w:top w:val="single" w:sz="4" w:space="0" w:color="000000"/>
              <w:left w:val="single" w:sz="4" w:space="0" w:color="FFFFFF"/>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7,543,727.28</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1,108,144,086.54</w:t>
            </w: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w:t>
            </w:r>
          </w:p>
        </w:tc>
        <w:tc>
          <w:tcPr>
            <w:tcW w:w="123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40,801,475.00</w:t>
            </w: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1,059,279,144.26</w:t>
            </w:r>
          </w:p>
        </w:tc>
        <w:tc>
          <w:tcPr>
            <w:tcW w:w="665" w:type="dxa"/>
            <w:tcBorders>
              <w:top w:val="single" w:sz="4" w:space="0" w:color="000000"/>
              <w:left w:val="single" w:sz="4" w:space="0" w:color="FFFFFF"/>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FFFFFF"/>
            </w:tcBorders>
          </w:tcPr>
          <w:p>
            <w:pPr/>
          </w:p>
        </w:tc>
        <w:tc>
          <w:tcPr>
            <w:tcW w:w="665" w:type="dxa"/>
            <w:tcBorders>
              <w:top w:val="single" w:sz="4" w:space="0" w:color="000000"/>
              <w:left w:val="single" w:sz="4" w:space="0" w:color="FFFFFF"/>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6,950,000.00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1,107,030,619.26</w:t>
            </w:r>
          </w:p>
        </w:tc>
      </w:tr>
    </w:tbl>
    <w:p>
      <w:pPr>
        <w:spacing w:after="0" w:line="240" w:lineRule="auto"/>
        <w:jc w:val="right"/>
        <w:rPr>
          <w:rFonts w:ascii="Times New Roman" w:hAnsi="Times New Roman" w:cs="Times New Roman" w:eastAsia="Times New Roman" w:hint="default"/>
          <w:sz w:val="18"/>
          <w:szCs w:val="18"/>
        </w:rPr>
        <w:sectPr>
          <w:headerReference w:type="default" r:id="rId25"/>
          <w:footerReference w:type="default" r:id="rId26"/>
          <w:pgSz w:w="16840" w:h="11910" w:orient="landscape"/>
          <w:pgMar w:header="867" w:footer="979" w:top="1060" w:bottom="1160" w:left="130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427"/>
        <w:gridCol w:w="1237"/>
        <w:gridCol w:w="532"/>
        <w:gridCol w:w="530"/>
        <w:gridCol w:w="532"/>
        <w:gridCol w:w="1348"/>
        <w:gridCol w:w="665"/>
        <w:gridCol w:w="818"/>
        <w:gridCol w:w="665"/>
        <w:gridCol w:w="1121"/>
        <w:gridCol w:w="665"/>
        <w:gridCol w:w="1361"/>
        <w:gridCol w:w="1316"/>
        <w:gridCol w:w="1496"/>
        <w:gridCol w:w="280"/>
      </w:tblGrid>
      <w:tr>
        <w:trPr>
          <w:trHeight w:val="377" w:hRule="exact"/>
        </w:trPr>
        <w:tc>
          <w:tcPr>
            <w:tcW w:w="1427"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通股</w:t>
            </w:r>
          </w:p>
        </w:tc>
        <w:tc>
          <w:tcPr>
            <w:tcW w:w="1237" w:type="dxa"/>
            <w:tcBorders>
              <w:top w:val="single" w:sz="15" w:space="0" w:color="000000"/>
              <w:left w:val="single" w:sz="9" w:space="0" w:color="D2D2D2"/>
              <w:bottom w:val="single" w:sz="4" w:space="0" w:color="000000"/>
              <w:right w:val="single" w:sz="4" w:space="0" w:color="000000"/>
            </w:tcBorders>
          </w:tcPr>
          <w:p>
            <w:pPr/>
          </w:p>
        </w:tc>
        <w:tc>
          <w:tcPr>
            <w:tcW w:w="532" w:type="dxa"/>
            <w:tcBorders>
              <w:top w:val="single" w:sz="15" w:space="0" w:color="000000"/>
              <w:left w:val="single" w:sz="4" w:space="0" w:color="000000"/>
              <w:bottom w:val="single" w:sz="4" w:space="0" w:color="000000"/>
              <w:right w:val="single" w:sz="4" w:space="0" w:color="000000"/>
            </w:tcBorders>
          </w:tcPr>
          <w:p>
            <w:pPr/>
          </w:p>
        </w:tc>
        <w:tc>
          <w:tcPr>
            <w:tcW w:w="530" w:type="dxa"/>
            <w:tcBorders>
              <w:top w:val="single" w:sz="15" w:space="0" w:color="000000"/>
              <w:left w:val="single" w:sz="4" w:space="0" w:color="000000"/>
              <w:bottom w:val="single" w:sz="4" w:space="0" w:color="000000"/>
              <w:right w:val="single" w:sz="4" w:space="0" w:color="000000"/>
            </w:tcBorders>
          </w:tcPr>
          <w:p>
            <w:pPr/>
          </w:p>
        </w:tc>
        <w:tc>
          <w:tcPr>
            <w:tcW w:w="532" w:type="dxa"/>
            <w:tcBorders>
              <w:top w:val="single" w:sz="15" w:space="0" w:color="000000"/>
              <w:left w:val="single" w:sz="4" w:space="0" w:color="000000"/>
              <w:bottom w:val="single" w:sz="4" w:space="0" w:color="000000"/>
              <w:right w:val="single" w:sz="4" w:space="0" w:color="000000"/>
            </w:tcBorders>
          </w:tcPr>
          <w:p>
            <w:pPr/>
          </w:p>
        </w:tc>
        <w:tc>
          <w:tcPr>
            <w:tcW w:w="1348" w:type="dxa"/>
            <w:tcBorders>
              <w:top w:val="single" w:sz="15" w:space="0" w:color="000000"/>
              <w:left w:val="single" w:sz="4" w:space="0" w:color="000000"/>
              <w:bottom w:val="single" w:sz="4" w:space="0" w:color="000000"/>
              <w:right w:val="single" w:sz="4" w:space="0" w:color="000000"/>
            </w:tcBorders>
          </w:tcPr>
          <w:p>
            <w:pPr/>
          </w:p>
        </w:tc>
        <w:tc>
          <w:tcPr>
            <w:tcW w:w="665" w:type="dxa"/>
            <w:tcBorders>
              <w:top w:val="single" w:sz="15" w:space="0" w:color="000000"/>
              <w:left w:val="single" w:sz="4" w:space="0" w:color="000000"/>
              <w:bottom w:val="single" w:sz="4" w:space="0" w:color="000000"/>
              <w:right w:val="single" w:sz="4" w:space="0" w:color="000000"/>
            </w:tcBorders>
          </w:tcPr>
          <w:p>
            <w:pPr/>
          </w:p>
        </w:tc>
        <w:tc>
          <w:tcPr>
            <w:tcW w:w="818" w:type="dxa"/>
            <w:tcBorders>
              <w:top w:val="single" w:sz="15" w:space="0" w:color="000000"/>
              <w:left w:val="single" w:sz="4" w:space="0" w:color="000000"/>
              <w:bottom w:val="single" w:sz="4" w:space="0" w:color="000000"/>
              <w:right w:val="single" w:sz="4" w:space="0" w:color="000000"/>
            </w:tcBorders>
          </w:tcPr>
          <w:p>
            <w:pPr/>
          </w:p>
        </w:tc>
        <w:tc>
          <w:tcPr>
            <w:tcW w:w="665" w:type="dxa"/>
            <w:tcBorders>
              <w:top w:val="single" w:sz="15" w:space="0" w:color="000000"/>
              <w:left w:val="single" w:sz="4" w:space="0" w:color="000000"/>
              <w:bottom w:val="single" w:sz="4" w:space="0" w:color="000000"/>
              <w:right w:val="single" w:sz="4" w:space="0" w:color="000000"/>
            </w:tcBorders>
          </w:tcPr>
          <w:p>
            <w:pPr/>
          </w:p>
        </w:tc>
        <w:tc>
          <w:tcPr>
            <w:tcW w:w="1121" w:type="dxa"/>
            <w:tcBorders>
              <w:top w:val="single" w:sz="15" w:space="0" w:color="000000"/>
              <w:left w:val="single" w:sz="4" w:space="0" w:color="000000"/>
              <w:bottom w:val="single" w:sz="4" w:space="0" w:color="000000"/>
              <w:right w:val="single" w:sz="4" w:space="0" w:color="000000"/>
            </w:tcBorders>
          </w:tcPr>
          <w:p>
            <w:pPr/>
          </w:p>
        </w:tc>
        <w:tc>
          <w:tcPr>
            <w:tcW w:w="665" w:type="dxa"/>
            <w:tcBorders>
              <w:top w:val="single" w:sz="15" w:space="0" w:color="000000"/>
              <w:left w:val="single" w:sz="4" w:space="0" w:color="000000"/>
              <w:bottom w:val="single" w:sz="4" w:space="0" w:color="000000"/>
              <w:right w:val="single" w:sz="4" w:space="0" w:color="000000"/>
            </w:tcBorders>
          </w:tcPr>
          <w:p>
            <w:pPr/>
          </w:p>
        </w:tc>
        <w:tc>
          <w:tcPr>
            <w:tcW w:w="1361" w:type="dxa"/>
            <w:tcBorders>
              <w:top w:val="single" w:sz="15" w:space="0" w:color="000000"/>
              <w:left w:val="single" w:sz="4" w:space="0" w:color="000000"/>
              <w:bottom w:val="single" w:sz="4" w:space="0" w:color="000000"/>
              <w:right w:val="single" w:sz="4" w:space="0" w:color="000000"/>
            </w:tcBorders>
          </w:tcPr>
          <w:p>
            <w:pPr/>
          </w:p>
        </w:tc>
        <w:tc>
          <w:tcPr>
            <w:tcW w:w="1316" w:type="dxa"/>
            <w:tcBorders>
              <w:top w:val="single" w:sz="15" w:space="0" w:color="000000"/>
              <w:left w:val="single" w:sz="4" w:space="0" w:color="000000"/>
              <w:bottom w:val="single" w:sz="4" w:space="0" w:color="000000"/>
              <w:right w:val="single" w:sz="4" w:space="0" w:color="000000"/>
            </w:tcBorders>
          </w:tcPr>
          <w:p>
            <w:pPr/>
          </w:p>
        </w:tc>
        <w:tc>
          <w:tcPr>
            <w:tcW w:w="1496" w:type="dxa"/>
            <w:tcBorders>
              <w:top w:val="single" w:sz="15" w:space="0" w:color="000000"/>
              <w:left w:val="single" w:sz="4" w:space="0" w:color="000000"/>
              <w:bottom w:val="single" w:sz="4" w:space="0" w:color="000000"/>
              <w:right w:val="single" w:sz="4" w:space="0" w:color="000000"/>
            </w:tcBorders>
          </w:tcPr>
          <w:p>
            <w:pPr/>
          </w:p>
        </w:tc>
        <w:tc>
          <w:tcPr>
            <w:tcW w:w="280" w:type="dxa"/>
            <w:vMerge w:val="restart"/>
            <w:tcBorders>
              <w:top w:val="single" w:sz="6" w:space="0" w:color="000000"/>
              <w:left w:val="single" w:sz="4" w:space="0" w:color="000000"/>
              <w:right w:val="nil" w:sz="6" w:space="0" w:color="auto"/>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1237" w:type="dxa"/>
            <w:tcBorders>
              <w:top w:val="single" w:sz="4" w:space="0" w:color="000000"/>
              <w:left w:val="single" w:sz="9" w:space="0" w:color="D2D2D2"/>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280" w:type="dxa"/>
            <w:vMerge/>
            <w:tcBorders>
              <w:left w:val="single" w:sz="4" w:space="0" w:color="000000"/>
              <w:right w:val="nil" w:sz="6" w:space="0" w:color="auto"/>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1237" w:type="dxa"/>
            <w:tcBorders>
              <w:top w:val="single" w:sz="4" w:space="0" w:color="000000"/>
              <w:left w:val="single" w:sz="9" w:space="0" w:color="D2D2D2"/>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280" w:type="dxa"/>
            <w:vMerge/>
            <w:tcBorders>
              <w:left w:val="single" w:sz="4" w:space="0" w:color="000000"/>
              <w:right w:val="nil" w:sz="6" w:space="0" w:color="auto"/>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37" w:type="dxa"/>
            <w:tcBorders>
              <w:top w:val="single" w:sz="4" w:space="0" w:color="000000"/>
              <w:left w:val="single" w:sz="9" w:space="0" w:color="D2D2D2"/>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5" w:right="0"/>
              <w:jc w:val="left"/>
              <w:rPr>
                <w:rFonts w:ascii="Times New Roman" w:hAnsi="Times New Roman" w:cs="Times New Roman" w:eastAsia="Times New Roman" w:hint="default"/>
                <w:sz w:val="18"/>
                <w:szCs w:val="18"/>
              </w:rPr>
            </w:pPr>
            <w:r>
              <w:rPr>
                <w:rFonts w:ascii="Times New Roman"/>
                <w:sz w:val="18"/>
              </w:rPr>
              <w:t>519,740.00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2" w:right="0"/>
              <w:jc w:val="left"/>
              <w:rPr>
                <w:rFonts w:ascii="Times New Roman" w:hAnsi="Times New Roman" w:cs="Times New Roman" w:eastAsia="Times New Roman" w:hint="default"/>
                <w:sz w:val="18"/>
                <w:szCs w:val="18"/>
              </w:rPr>
            </w:pPr>
            <w:r>
              <w:rPr>
                <w:rFonts w:ascii="Times New Roman"/>
                <w:sz w:val="18"/>
              </w:rPr>
              <w:t>593,727.28</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1,113,467.28</w:t>
            </w:r>
          </w:p>
        </w:tc>
        <w:tc>
          <w:tcPr>
            <w:tcW w:w="280" w:type="dxa"/>
            <w:vMerge/>
            <w:tcBorders>
              <w:left w:val="single" w:sz="4" w:space="0" w:color="000000"/>
              <w:right w:val="nil" w:sz="6" w:space="0" w:color="auto"/>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237" w:type="dxa"/>
            <w:tcBorders>
              <w:top w:val="single" w:sz="4" w:space="0" w:color="000000"/>
              <w:left w:val="single" w:sz="9" w:space="0" w:color="D2D2D2"/>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6,597,461.55</w:t>
            </w:r>
          </w:p>
        </w:tc>
        <w:tc>
          <w:tcPr>
            <w:tcW w:w="665"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-26,417,335.25</w:t>
            </w:r>
          </w:p>
        </w:tc>
        <w:tc>
          <w:tcPr>
            <w:tcW w:w="131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-19,819,873.70</w:t>
            </w:r>
          </w:p>
        </w:tc>
        <w:tc>
          <w:tcPr>
            <w:tcW w:w="280" w:type="dxa"/>
            <w:vMerge/>
            <w:tcBorders>
              <w:left w:val="single" w:sz="4" w:space="0" w:color="000000"/>
              <w:right w:val="nil" w:sz="6" w:space="0" w:color="auto"/>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37" w:type="dxa"/>
            <w:tcBorders>
              <w:top w:val="single" w:sz="4" w:space="0" w:color="000000"/>
              <w:left w:val="single" w:sz="9" w:space="0" w:color="D2D2D2"/>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6,597,461.55</w:t>
            </w:r>
          </w:p>
        </w:tc>
        <w:tc>
          <w:tcPr>
            <w:tcW w:w="665"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-6,597,461.55</w:t>
            </w:r>
          </w:p>
        </w:tc>
        <w:tc>
          <w:tcPr>
            <w:tcW w:w="131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280" w:type="dxa"/>
            <w:vMerge/>
            <w:tcBorders>
              <w:left w:val="single" w:sz="4" w:space="0" w:color="000000"/>
              <w:right w:val="nil" w:sz="6" w:space="0" w:color="auto"/>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1237" w:type="dxa"/>
            <w:tcBorders>
              <w:top w:val="single" w:sz="4" w:space="0" w:color="000000"/>
              <w:left w:val="single" w:sz="9" w:space="0" w:color="D2D2D2"/>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280" w:type="dxa"/>
            <w:vMerge/>
            <w:tcBorders>
              <w:left w:val="single" w:sz="4" w:space="0" w:color="000000"/>
              <w:right w:val="nil" w:sz="6" w:space="0" w:color="auto"/>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1237" w:type="dxa"/>
            <w:tcBorders>
              <w:top w:val="single" w:sz="4" w:space="0" w:color="000000"/>
              <w:left w:val="single" w:sz="9" w:space="0" w:color="D2D2D2"/>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-19,819,873.70</w:t>
            </w:r>
          </w:p>
        </w:tc>
        <w:tc>
          <w:tcPr>
            <w:tcW w:w="131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-19,819,873.70</w:t>
            </w:r>
          </w:p>
        </w:tc>
        <w:tc>
          <w:tcPr>
            <w:tcW w:w="280" w:type="dxa"/>
            <w:vMerge/>
            <w:tcBorders>
              <w:left w:val="single" w:sz="4" w:space="0" w:color="000000"/>
              <w:right w:val="nil" w:sz="6" w:space="0" w:color="auto"/>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37" w:type="dxa"/>
            <w:tcBorders>
              <w:top w:val="single" w:sz="4" w:space="0" w:color="000000"/>
              <w:left w:val="single" w:sz="9" w:space="0" w:color="D2D2D2"/>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280" w:type="dxa"/>
            <w:vMerge/>
            <w:tcBorders>
              <w:left w:val="single" w:sz="4" w:space="0" w:color="000000"/>
              <w:right w:val="nil" w:sz="6" w:space="0" w:color="auto"/>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1237" w:type="dxa"/>
            <w:tcBorders>
              <w:top w:val="single" w:sz="4" w:space="0" w:color="000000"/>
              <w:left w:val="single" w:sz="9" w:space="0" w:color="D2D2D2"/>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280" w:type="dxa"/>
            <w:vMerge/>
            <w:tcBorders>
              <w:left w:val="single" w:sz="4" w:space="0" w:color="000000"/>
              <w:right w:val="nil" w:sz="6" w:space="0" w:color="auto"/>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1237" w:type="dxa"/>
            <w:tcBorders>
              <w:top w:val="single" w:sz="4" w:space="0" w:color="000000"/>
              <w:left w:val="single" w:sz="9" w:space="0" w:color="D2D2D2"/>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280" w:type="dxa"/>
            <w:vMerge/>
            <w:tcBorders>
              <w:left w:val="single" w:sz="4" w:space="0" w:color="000000"/>
              <w:right w:val="nil" w:sz="6" w:space="0" w:color="auto"/>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1237" w:type="dxa"/>
            <w:tcBorders>
              <w:top w:val="single" w:sz="4" w:space="0" w:color="000000"/>
              <w:left w:val="single" w:sz="9" w:space="0" w:color="D2D2D2"/>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280" w:type="dxa"/>
            <w:vMerge/>
            <w:tcBorders>
              <w:left w:val="single" w:sz="4" w:space="0" w:color="000000"/>
              <w:right w:val="nil" w:sz="6" w:space="0" w:color="auto"/>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1237" w:type="dxa"/>
            <w:tcBorders>
              <w:top w:val="single" w:sz="4" w:space="0" w:color="000000"/>
              <w:left w:val="single" w:sz="9" w:space="0" w:color="D2D2D2"/>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280" w:type="dxa"/>
            <w:vMerge/>
            <w:tcBorders>
              <w:left w:val="single" w:sz="4" w:space="0" w:color="000000"/>
              <w:right w:val="nil" w:sz="6" w:space="0" w:color="auto"/>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37" w:type="dxa"/>
            <w:tcBorders>
              <w:top w:val="single" w:sz="4" w:space="0" w:color="000000"/>
              <w:left w:val="single" w:sz="9" w:space="0" w:color="D2D2D2"/>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280" w:type="dxa"/>
            <w:vMerge/>
            <w:tcBorders>
              <w:left w:val="single" w:sz="4" w:space="0" w:color="000000"/>
              <w:right w:val="nil" w:sz="6" w:space="0" w:color="auto"/>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237" w:type="dxa"/>
            <w:tcBorders>
              <w:top w:val="single" w:sz="4" w:space="0" w:color="000000"/>
              <w:left w:val="single" w:sz="9" w:space="0" w:color="D2D2D2"/>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280" w:type="dxa"/>
            <w:vMerge/>
            <w:tcBorders>
              <w:left w:val="single" w:sz="4" w:space="0" w:color="000000"/>
              <w:right w:val="nil" w:sz="6" w:space="0" w:color="auto"/>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237" w:type="dxa"/>
            <w:tcBorders>
              <w:top w:val="single" w:sz="4" w:space="0" w:color="000000"/>
              <w:left w:val="single" w:sz="9" w:space="0" w:color="D2D2D2"/>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280" w:type="dxa"/>
            <w:vMerge/>
            <w:tcBorders>
              <w:left w:val="single" w:sz="4" w:space="0" w:color="000000"/>
              <w:bottom w:val="nil" w:sz="6" w:space="0" w:color="auto"/>
              <w:right w:val="nil" w:sz="6" w:space="0" w:color="auto"/>
            </w:tcBorders>
          </w:tcPr>
          <w:p>
            <w:pPr/>
          </w:p>
        </w:tc>
      </w:tr>
    </w:tbl>
    <w:p>
      <w:pPr>
        <w:spacing w:after="0"/>
        <w:sectPr>
          <w:footerReference w:type="default" r:id="rId28"/>
          <w:pgSz w:w="16840" w:h="11910" w:orient="landscape"/>
          <w:pgMar w:footer="979" w:header="867" w:top="1060" w:bottom="1160" w:left="1320" w:right="0"/>
          <w:pgNumType w:start="84"/>
        </w:sectPr>
      </w:pPr>
    </w:p>
    <w:p>
      <w:pPr>
        <w:spacing w:line="240" w:lineRule="auto" w:before="4"/>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427"/>
        <w:gridCol w:w="1237"/>
        <w:gridCol w:w="532"/>
        <w:gridCol w:w="530"/>
        <w:gridCol w:w="532"/>
        <w:gridCol w:w="1348"/>
        <w:gridCol w:w="665"/>
        <w:gridCol w:w="818"/>
        <w:gridCol w:w="665"/>
        <w:gridCol w:w="1121"/>
        <w:gridCol w:w="665"/>
        <w:gridCol w:w="1361"/>
        <w:gridCol w:w="1316"/>
        <w:gridCol w:w="1496"/>
        <w:gridCol w:w="280"/>
      </w:tblGrid>
      <w:tr>
        <w:trPr>
          <w:trHeight w:val="416" w:hRule="exact"/>
        </w:trPr>
        <w:tc>
          <w:tcPr>
            <w:tcW w:w="1427"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237" w:type="dxa"/>
            <w:tcBorders>
              <w:top w:val="single" w:sz="15" w:space="0" w:color="000000"/>
              <w:left w:val="single" w:sz="9" w:space="0" w:color="D2D2D2"/>
              <w:bottom w:val="single" w:sz="4" w:space="0" w:color="000000"/>
              <w:right w:val="single" w:sz="4" w:space="0" w:color="000000"/>
            </w:tcBorders>
          </w:tcPr>
          <w:p>
            <w:pPr/>
          </w:p>
        </w:tc>
        <w:tc>
          <w:tcPr>
            <w:tcW w:w="532" w:type="dxa"/>
            <w:tcBorders>
              <w:top w:val="single" w:sz="15" w:space="0" w:color="000000"/>
              <w:left w:val="single" w:sz="4" w:space="0" w:color="000000"/>
              <w:bottom w:val="single" w:sz="4" w:space="0" w:color="000000"/>
              <w:right w:val="single" w:sz="4" w:space="0" w:color="000000"/>
            </w:tcBorders>
          </w:tcPr>
          <w:p>
            <w:pPr/>
          </w:p>
        </w:tc>
        <w:tc>
          <w:tcPr>
            <w:tcW w:w="530" w:type="dxa"/>
            <w:tcBorders>
              <w:top w:val="single" w:sz="15" w:space="0" w:color="000000"/>
              <w:left w:val="single" w:sz="4" w:space="0" w:color="000000"/>
              <w:bottom w:val="single" w:sz="4" w:space="0" w:color="000000"/>
              <w:right w:val="single" w:sz="4" w:space="0" w:color="000000"/>
            </w:tcBorders>
          </w:tcPr>
          <w:p>
            <w:pPr/>
          </w:p>
        </w:tc>
        <w:tc>
          <w:tcPr>
            <w:tcW w:w="532" w:type="dxa"/>
            <w:tcBorders>
              <w:top w:val="single" w:sz="15" w:space="0" w:color="000000"/>
              <w:left w:val="single" w:sz="4" w:space="0" w:color="000000"/>
              <w:bottom w:val="single" w:sz="4" w:space="0" w:color="000000"/>
              <w:right w:val="single" w:sz="4" w:space="0" w:color="000000"/>
            </w:tcBorders>
          </w:tcPr>
          <w:p>
            <w:pPr/>
          </w:p>
        </w:tc>
        <w:tc>
          <w:tcPr>
            <w:tcW w:w="1348" w:type="dxa"/>
            <w:tcBorders>
              <w:top w:val="single" w:sz="15" w:space="0" w:color="000000"/>
              <w:left w:val="single" w:sz="4" w:space="0" w:color="000000"/>
              <w:bottom w:val="single" w:sz="4" w:space="0" w:color="000000"/>
              <w:right w:val="single" w:sz="4" w:space="0" w:color="000000"/>
            </w:tcBorders>
          </w:tcPr>
          <w:p>
            <w:pPr/>
          </w:p>
        </w:tc>
        <w:tc>
          <w:tcPr>
            <w:tcW w:w="665" w:type="dxa"/>
            <w:tcBorders>
              <w:top w:val="single" w:sz="15" w:space="0" w:color="000000"/>
              <w:left w:val="single" w:sz="4" w:space="0" w:color="000000"/>
              <w:bottom w:val="single" w:sz="4" w:space="0" w:color="000000"/>
              <w:right w:val="single" w:sz="4" w:space="0" w:color="000000"/>
            </w:tcBorders>
          </w:tcPr>
          <w:p>
            <w:pPr/>
          </w:p>
        </w:tc>
        <w:tc>
          <w:tcPr>
            <w:tcW w:w="818" w:type="dxa"/>
            <w:tcBorders>
              <w:top w:val="single" w:sz="15" w:space="0" w:color="000000"/>
              <w:left w:val="single" w:sz="4" w:space="0" w:color="000000"/>
              <w:bottom w:val="single" w:sz="4" w:space="0" w:color="000000"/>
              <w:right w:val="single" w:sz="4" w:space="0" w:color="000000"/>
            </w:tcBorders>
          </w:tcPr>
          <w:p>
            <w:pPr/>
          </w:p>
        </w:tc>
        <w:tc>
          <w:tcPr>
            <w:tcW w:w="665" w:type="dxa"/>
            <w:tcBorders>
              <w:top w:val="single" w:sz="15" w:space="0" w:color="000000"/>
              <w:left w:val="single" w:sz="4" w:space="0" w:color="000000"/>
              <w:bottom w:val="single" w:sz="4" w:space="0" w:color="000000"/>
              <w:right w:val="single" w:sz="4" w:space="0" w:color="000000"/>
            </w:tcBorders>
          </w:tcPr>
          <w:p>
            <w:pPr/>
          </w:p>
        </w:tc>
        <w:tc>
          <w:tcPr>
            <w:tcW w:w="1121" w:type="dxa"/>
            <w:tcBorders>
              <w:top w:val="single" w:sz="15" w:space="0" w:color="000000"/>
              <w:left w:val="single" w:sz="4" w:space="0" w:color="000000"/>
              <w:bottom w:val="single" w:sz="4" w:space="0" w:color="000000"/>
              <w:right w:val="single" w:sz="4" w:space="0" w:color="000000"/>
            </w:tcBorders>
          </w:tcPr>
          <w:p>
            <w:pPr/>
          </w:p>
        </w:tc>
        <w:tc>
          <w:tcPr>
            <w:tcW w:w="665" w:type="dxa"/>
            <w:tcBorders>
              <w:top w:val="single" w:sz="15" w:space="0" w:color="000000"/>
              <w:left w:val="single" w:sz="4" w:space="0" w:color="000000"/>
              <w:bottom w:val="single" w:sz="4" w:space="0" w:color="000000"/>
              <w:right w:val="single" w:sz="4" w:space="0" w:color="000000"/>
            </w:tcBorders>
          </w:tcPr>
          <w:p>
            <w:pPr/>
          </w:p>
        </w:tc>
        <w:tc>
          <w:tcPr>
            <w:tcW w:w="1361" w:type="dxa"/>
            <w:tcBorders>
              <w:top w:val="single" w:sz="15" w:space="0" w:color="000000"/>
              <w:left w:val="single" w:sz="4" w:space="0" w:color="000000"/>
              <w:bottom w:val="single" w:sz="4" w:space="0" w:color="000000"/>
              <w:right w:val="single" w:sz="4" w:space="0" w:color="000000"/>
            </w:tcBorders>
          </w:tcPr>
          <w:p>
            <w:pPr/>
          </w:p>
        </w:tc>
        <w:tc>
          <w:tcPr>
            <w:tcW w:w="1316" w:type="dxa"/>
            <w:tcBorders>
              <w:top w:val="single" w:sz="15" w:space="0" w:color="000000"/>
              <w:left w:val="single" w:sz="4" w:space="0" w:color="000000"/>
              <w:bottom w:val="single" w:sz="4" w:space="0" w:color="000000"/>
              <w:right w:val="single" w:sz="4" w:space="0" w:color="000000"/>
            </w:tcBorders>
          </w:tcPr>
          <w:p>
            <w:pPr/>
          </w:p>
        </w:tc>
        <w:tc>
          <w:tcPr>
            <w:tcW w:w="1496" w:type="dxa"/>
            <w:tcBorders>
              <w:top w:val="single" w:sz="15" w:space="0" w:color="000000"/>
              <w:left w:val="single" w:sz="4" w:space="0" w:color="000000"/>
              <w:bottom w:val="single" w:sz="4" w:space="0" w:color="000000"/>
              <w:right w:val="single" w:sz="4" w:space="0" w:color="000000"/>
            </w:tcBorders>
          </w:tcPr>
          <w:p>
            <w:pPr/>
          </w:p>
        </w:tc>
        <w:tc>
          <w:tcPr>
            <w:tcW w:w="280" w:type="dxa"/>
            <w:vMerge w:val="restart"/>
            <w:tcBorders>
              <w:top w:val="single" w:sz="6" w:space="0" w:color="000000"/>
              <w:left w:val="single" w:sz="4" w:space="0" w:color="000000"/>
              <w:right w:val="nil" w:sz="6" w:space="0" w:color="auto"/>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237" w:type="dxa"/>
            <w:tcBorders>
              <w:top w:val="single" w:sz="4" w:space="0" w:color="000000"/>
              <w:left w:val="single" w:sz="9" w:space="0" w:color="D2D2D2"/>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280" w:type="dxa"/>
            <w:vMerge/>
            <w:tcBorders>
              <w:left w:val="single" w:sz="4" w:space="0" w:color="000000"/>
              <w:right w:val="nil" w:sz="6" w:space="0" w:color="auto"/>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123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216,596,780.00</w:t>
            </w: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1,335,718,114.77</w:t>
            </w:r>
          </w:p>
        </w:tc>
        <w:tc>
          <w:tcPr>
            <w:tcW w:w="665"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 w:right="0"/>
              <w:jc w:val="left"/>
              <w:rPr>
                <w:rFonts w:ascii="Times New Roman" w:hAnsi="Times New Roman" w:cs="Times New Roman" w:eastAsia="Times New Roman" w:hint="default"/>
                <w:sz w:val="18"/>
                <w:szCs w:val="18"/>
              </w:rPr>
            </w:pPr>
            <w:r>
              <w:rPr>
                <w:rFonts w:ascii="Times New Roman"/>
                <w:sz w:val="18"/>
              </w:rPr>
              <w:t>50,489.15</w:t>
            </w:r>
          </w:p>
        </w:tc>
        <w:tc>
          <w:tcPr>
            <w:tcW w:w="665"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51,561,214.62</w:t>
            </w:r>
          </w:p>
        </w:tc>
        <w:tc>
          <w:tcPr>
            <w:tcW w:w="665"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 w:right="0"/>
              <w:jc w:val="left"/>
              <w:rPr>
                <w:rFonts w:ascii="Times New Roman" w:hAnsi="Times New Roman" w:cs="Times New Roman" w:eastAsia="Times New Roman" w:hint="default"/>
                <w:sz w:val="18"/>
                <w:szCs w:val="18"/>
              </w:rPr>
            </w:pPr>
            <w:r>
              <w:rPr>
                <w:rFonts w:ascii="Times New Roman"/>
                <w:sz w:val="18"/>
              </w:rPr>
              <w:t>361,670,071.14</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4" w:right="0"/>
              <w:jc w:val="left"/>
              <w:rPr>
                <w:rFonts w:ascii="Times New Roman" w:hAnsi="Times New Roman" w:cs="Times New Roman" w:eastAsia="Times New Roman" w:hint="default"/>
                <w:sz w:val="18"/>
                <w:szCs w:val="18"/>
              </w:rPr>
            </w:pPr>
            <w:r>
              <w:rPr>
                <w:rFonts w:ascii="Times New Roman"/>
                <w:sz w:val="18"/>
              </w:rPr>
              <w:t>11,715,082.64</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0" w:right="0"/>
              <w:jc w:val="left"/>
              <w:rPr>
                <w:rFonts w:ascii="Times New Roman" w:hAnsi="Times New Roman" w:cs="Times New Roman" w:eastAsia="Times New Roman" w:hint="default"/>
                <w:sz w:val="18"/>
                <w:szCs w:val="18"/>
              </w:rPr>
            </w:pPr>
            <w:r>
              <w:rPr>
                <w:rFonts w:ascii="Times New Roman"/>
                <w:sz w:val="18"/>
              </w:rPr>
              <w:t>1,977,311,752.32</w:t>
            </w:r>
          </w:p>
        </w:tc>
        <w:tc>
          <w:tcPr>
            <w:tcW w:w="280" w:type="dxa"/>
            <w:vMerge/>
            <w:tcBorders>
              <w:left w:val="single" w:sz="4" w:space="0" w:color="000000"/>
              <w:bottom w:val="nil" w:sz="6" w:space="0" w:color="auto"/>
              <w:right w:val="nil" w:sz="6" w:space="0" w:color="auto"/>
            </w:tcBorders>
          </w:tcPr>
          <w:p>
            <w:pPr/>
          </w:p>
        </w:tc>
      </w:tr>
    </w:tbl>
    <w:p>
      <w:pPr>
        <w:pStyle w:val="BodyText"/>
        <w:spacing w:line="240" w:lineRule="auto" w:before="51"/>
        <w:ind w:left="120" w:right="0"/>
        <w:jc w:val="left"/>
      </w:pPr>
      <w:r>
        <w:rPr/>
        <w:t>上期金额</w:t>
      </w:r>
    </w:p>
    <w:p>
      <w:pPr>
        <w:pStyle w:val="BodyText"/>
        <w:spacing w:line="240" w:lineRule="auto" w:before="117"/>
        <w:ind w:left="0" w:right="1535"/>
        <w:jc w:val="right"/>
      </w:pPr>
      <w:r>
        <w:rPr/>
        <w:t>单位：元</w:t>
      </w:r>
    </w:p>
    <w:p>
      <w:pPr>
        <w:spacing w:line="240" w:lineRule="auto" w:before="0"/>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415"/>
        <w:gridCol w:w="1373"/>
        <w:gridCol w:w="530"/>
        <w:gridCol w:w="532"/>
        <w:gridCol w:w="530"/>
        <w:gridCol w:w="1361"/>
        <w:gridCol w:w="666"/>
        <w:gridCol w:w="665"/>
        <w:gridCol w:w="665"/>
        <w:gridCol w:w="1271"/>
        <w:gridCol w:w="665"/>
        <w:gridCol w:w="1361"/>
        <w:gridCol w:w="1316"/>
        <w:gridCol w:w="1497"/>
      </w:tblGrid>
      <w:tr>
        <w:trPr>
          <w:trHeight w:val="402"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124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961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316" w:type="dxa"/>
            <w:vMerge w:val="restart"/>
            <w:tcBorders>
              <w:top w:val="single" w:sz="4" w:space="0" w:color="000000"/>
              <w:left w:val="single" w:sz="4" w:space="0" w:color="000000"/>
              <w:right w:val="single" w:sz="4" w:space="0" w:color="000000"/>
            </w:tcBorders>
            <w:shd w:val="clear" w:color="auto" w:fill="D2D2D2"/>
          </w:tcPr>
          <w:p>
            <w:pPr/>
          </w:p>
        </w:tc>
        <w:tc>
          <w:tcPr>
            <w:tcW w:w="1497" w:type="dxa"/>
            <w:vMerge w:val="restart"/>
            <w:tcBorders>
              <w:top w:val="single" w:sz="4" w:space="0" w:color="000000"/>
              <w:left w:val="single" w:sz="4" w:space="0" w:color="000000"/>
              <w:right w:val="single" w:sz="4" w:space="0" w:color="000000"/>
            </w:tcBorders>
            <w:shd w:val="clear" w:color="auto" w:fill="D2D2D2"/>
          </w:tcPr>
          <w:p>
            <w:pPr/>
          </w:p>
        </w:tc>
      </w:tr>
      <w:tr>
        <w:trPr>
          <w:trHeight w:val="206" w:hRule="exact"/>
        </w:trPr>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3"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361" w:type="dxa"/>
            <w:vMerge w:val="restart"/>
            <w:tcBorders>
              <w:top w:val="single" w:sz="4" w:space="0" w:color="000000"/>
              <w:left w:val="single" w:sz="4" w:space="0" w:color="000000"/>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1" w:type="dxa"/>
            <w:vMerge w:val="restart"/>
            <w:tcBorders>
              <w:top w:val="single" w:sz="4" w:space="0" w:color="000000"/>
              <w:left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1" w:type="dxa"/>
            <w:vMerge w:val="restart"/>
            <w:tcBorders>
              <w:top w:val="single" w:sz="4" w:space="0" w:color="000000"/>
              <w:left w:val="single" w:sz="4" w:space="0" w:color="000000"/>
              <w:right w:val="single" w:sz="4" w:space="0" w:color="000000"/>
            </w:tcBorders>
            <w:shd w:val="clear" w:color="auto" w:fill="D2D2D2"/>
          </w:tcPr>
          <w:p>
            <w:pPr/>
          </w:p>
        </w:tc>
        <w:tc>
          <w:tcPr>
            <w:tcW w:w="1316" w:type="dxa"/>
            <w:vMerge/>
            <w:tcBorders>
              <w:left w:val="single" w:sz="4" w:space="0" w:color="000000"/>
              <w:bottom w:val="nil" w:sz="6" w:space="0" w:color="auto"/>
              <w:right w:val="single" w:sz="4" w:space="0" w:color="000000"/>
            </w:tcBorders>
            <w:shd w:val="clear" w:color="auto" w:fill="D2D2D2"/>
          </w:tcPr>
          <w:p>
            <w:pPr/>
          </w:p>
        </w:tc>
        <w:tc>
          <w:tcPr>
            <w:tcW w:w="1497" w:type="dxa"/>
            <w:vMerge/>
            <w:tcBorders>
              <w:left w:val="single" w:sz="4" w:space="0" w:color="000000"/>
              <w:bottom w:val="nil" w:sz="6" w:space="0" w:color="auto"/>
              <w:right w:val="single" w:sz="4" w:space="0" w:color="000000"/>
            </w:tcBorders>
            <w:shd w:val="clear" w:color="auto" w:fill="D2D2D2"/>
          </w:tcPr>
          <w:p>
            <w:pPr/>
          </w:p>
        </w:tc>
      </w:tr>
      <w:tr>
        <w:trPr>
          <w:trHeight w:val="176"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1373"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1361" w:type="dxa"/>
            <w:vMerge/>
            <w:tcBorders>
              <w:left w:val="single" w:sz="4" w:space="0" w:color="000000"/>
              <w:bottom w:val="nil" w:sz="6" w:space="0" w:color="auto"/>
              <w:right w:val="single" w:sz="4" w:space="0" w:color="000000"/>
            </w:tcBorders>
            <w:shd w:val="clear" w:color="auto" w:fill="D2D2D2"/>
          </w:tcPr>
          <w:p>
            <w:pP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7"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27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3"/>
              <w:ind w:left="56" w:right="5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361" w:type="dxa"/>
            <w:vMerge/>
            <w:tcBorders>
              <w:left w:val="single" w:sz="4" w:space="0" w:color="000000"/>
              <w:bottom w:val="nil" w:sz="6" w:space="0" w:color="auto"/>
              <w:right w:val="single" w:sz="4" w:space="0" w:color="000000"/>
            </w:tcBorders>
            <w:shd w:val="clear" w:color="auto" w:fill="D2D2D2"/>
          </w:tcPr>
          <w:p>
            <w:pPr/>
          </w:p>
        </w:tc>
        <w:tc>
          <w:tcPr>
            <w:tcW w:w="13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11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4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1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7" w:hRule="exact"/>
        </w:trPr>
        <w:tc>
          <w:tcPr>
            <w:tcW w:w="1415" w:type="dxa"/>
            <w:vMerge w:val="restart"/>
            <w:tcBorders>
              <w:top w:val="nil" w:sz="6" w:space="0" w:color="auto"/>
              <w:left w:val="single" w:sz="4" w:space="0" w:color="000000"/>
              <w:right w:val="single" w:sz="4" w:space="0" w:color="000000"/>
            </w:tcBorders>
            <w:shd w:val="clear" w:color="auto" w:fill="D2D2D2"/>
          </w:tcPr>
          <w:p>
            <w:pPr/>
          </w:p>
        </w:tc>
        <w:tc>
          <w:tcPr>
            <w:tcW w:w="137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4"/>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1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12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6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65" w:type="dxa"/>
            <w:vMerge/>
            <w:tcBorders>
              <w:left w:val="single" w:sz="4" w:space="0" w:color="000000"/>
              <w:right w:val="single" w:sz="4" w:space="0" w:color="000000"/>
            </w:tcBorders>
            <w:shd w:val="clear" w:color="auto" w:fill="D2D2D2"/>
          </w:tcPr>
          <w:p>
            <w:pPr/>
          </w:p>
        </w:tc>
        <w:tc>
          <w:tcPr>
            <w:tcW w:w="13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2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16" w:type="dxa"/>
            <w:vMerge/>
            <w:tcBorders>
              <w:left w:val="single" w:sz="4" w:space="0" w:color="000000"/>
              <w:bottom w:val="nil" w:sz="6" w:space="0" w:color="auto"/>
              <w:right w:val="single" w:sz="4" w:space="0" w:color="000000"/>
            </w:tcBorders>
            <w:shd w:val="clear" w:color="auto" w:fill="D2D2D2"/>
          </w:tcPr>
          <w:p>
            <w:pPr/>
          </w:p>
        </w:tc>
        <w:tc>
          <w:tcPr>
            <w:tcW w:w="1497" w:type="dxa"/>
            <w:vMerge/>
            <w:tcBorders>
              <w:left w:val="single" w:sz="4" w:space="0" w:color="000000"/>
              <w:bottom w:val="nil" w:sz="6" w:space="0" w:color="auto"/>
              <w:right w:val="single" w:sz="4" w:space="0" w:color="000000"/>
            </w:tcBorders>
            <w:shd w:val="clear" w:color="auto" w:fill="D2D2D2"/>
          </w:tcPr>
          <w:p>
            <w:pPr/>
          </w:p>
        </w:tc>
      </w:tr>
      <w:tr>
        <w:trPr>
          <w:trHeight w:val="196" w:hRule="exact"/>
        </w:trPr>
        <w:tc>
          <w:tcPr>
            <w:tcW w:w="1415" w:type="dxa"/>
            <w:vMerge/>
            <w:tcBorders>
              <w:left w:val="single" w:sz="4" w:space="0" w:color="000000"/>
              <w:right w:val="single" w:sz="4" w:space="0" w:color="000000"/>
            </w:tcBorders>
            <w:shd w:val="clear" w:color="auto" w:fill="D2D2D2"/>
          </w:tcPr>
          <w:p>
            <w:pPr/>
          </w:p>
        </w:tc>
        <w:tc>
          <w:tcPr>
            <w:tcW w:w="1373"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1"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1271"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1361" w:type="dxa"/>
            <w:vMerge/>
            <w:tcBorders>
              <w:left w:val="single" w:sz="4" w:space="0" w:color="000000"/>
              <w:bottom w:val="nil" w:sz="6" w:space="0" w:color="auto"/>
              <w:right w:val="single" w:sz="4" w:space="0" w:color="000000"/>
            </w:tcBorders>
            <w:shd w:val="clear" w:color="auto" w:fill="D2D2D2"/>
          </w:tcPr>
          <w:p>
            <w:pPr/>
          </w:p>
        </w:tc>
        <w:tc>
          <w:tcPr>
            <w:tcW w:w="1316" w:type="dxa"/>
            <w:vMerge w:val="restart"/>
            <w:tcBorders>
              <w:top w:val="nil" w:sz="6" w:space="0" w:color="auto"/>
              <w:left w:val="single" w:sz="4" w:space="0" w:color="000000"/>
              <w:right w:val="single" w:sz="4" w:space="0" w:color="000000"/>
            </w:tcBorders>
            <w:shd w:val="clear" w:color="auto" w:fill="D2D2D2"/>
          </w:tcPr>
          <w:p>
            <w:pPr/>
          </w:p>
        </w:tc>
        <w:tc>
          <w:tcPr>
            <w:tcW w:w="1497" w:type="dxa"/>
            <w:vMerge w:val="restart"/>
            <w:tcBorders>
              <w:top w:val="nil" w:sz="6" w:space="0" w:color="auto"/>
              <w:left w:val="single" w:sz="4" w:space="0" w:color="000000"/>
              <w:right w:val="single" w:sz="4" w:space="0" w:color="000000"/>
            </w:tcBorders>
            <w:shd w:val="clear" w:color="auto" w:fill="D2D2D2"/>
          </w:tcPr>
          <w:p>
            <w:pPr/>
          </w:p>
        </w:tc>
      </w:tr>
      <w:tr>
        <w:trPr>
          <w:trHeight w:val="178" w:hRule="exact"/>
        </w:trPr>
        <w:tc>
          <w:tcPr>
            <w:tcW w:w="1415" w:type="dxa"/>
            <w:vMerge/>
            <w:tcBorders>
              <w:left w:val="single" w:sz="4" w:space="0" w:color="000000"/>
              <w:right w:val="single" w:sz="4" w:space="0" w:color="000000"/>
            </w:tcBorders>
            <w:shd w:val="clear" w:color="auto" w:fill="D2D2D2"/>
          </w:tcPr>
          <w:p>
            <w:pPr/>
          </w:p>
        </w:tc>
        <w:tc>
          <w:tcPr>
            <w:tcW w:w="1373"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1361" w:type="dxa"/>
            <w:vMerge w:val="restart"/>
            <w:tcBorders>
              <w:top w:val="nil" w:sz="6" w:space="0" w:color="auto"/>
              <w:left w:val="single" w:sz="4" w:space="0" w:color="000000"/>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1271" w:type="dxa"/>
            <w:vMerge w:val="restart"/>
            <w:tcBorders>
              <w:top w:val="nil" w:sz="6" w:space="0" w:color="auto"/>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1361" w:type="dxa"/>
            <w:vMerge w:val="restart"/>
            <w:tcBorders>
              <w:top w:val="nil" w:sz="6" w:space="0" w:color="auto"/>
              <w:left w:val="single" w:sz="4" w:space="0" w:color="000000"/>
              <w:right w:val="single" w:sz="4" w:space="0" w:color="000000"/>
            </w:tcBorders>
            <w:shd w:val="clear" w:color="auto" w:fill="D2D2D2"/>
          </w:tcPr>
          <w:p>
            <w:pPr/>
          </w:p>
        </w:tc>
        <w:tc>
          <w:tcPr>
            <w:tcW w:w="1316" w:type="dxa"/>
            <w:vMerge/>
            <w:tcBorders>
              <w:left w:val="single" w:sz="4" w:space="0" w:color="000000"/>
              <w:right w:val="single" w:sz="4" w:space="0" w:color="000000"/>
            </w:tcBorders>
            <w:shd w:val="clear" w:color="auto" w:fill="D2D2D2"/>
          </w:tcPr>
          <w:p>
            <w:pPr/>
          </w:p>
        </w:tc>
        <w:tc>
          <w:tcPr>
            <w:tcW w:w="1497" w:type="dxa"/>
            <w:vMerge/>
            <w:tcBorders>
              <w:left w:val="single" w:sz="4" w:space="0" w:color="000000"/>
              <w:right w:val="single" w:sz="4" w:space="0" w:color="000000"/>
            </w:tcBorders>
            <w:shd w:val="clear" w:color="auto" w:fill="D2D2D2"/>
          </w:tcPr>
          <w:p>
            <w:pPr/>
          </w:p>
        </w:tc>
      </w:tr>
      <w:tr>
        <w:trPr>
          <w:trHeight w:val="194"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137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1" w:type="dxa"/>
            <w:vMerge/>
            <w:tcBorders>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1" w:type="dxa"/>
            <w:vMerge/>
            <w:tcBorders>
              <w:left w:val="single" w:sz="4" w:space="0" w:color="000000"/>
              <w:bottom w:val="single" w:sz="4" w:space="0" w:color="000000"/>
              <w:right w:val="single" w:sz="4" w:space="0" w:color="000000"/>
            </w:tcBorders>
            <w:shd w:val="clear" w:color="auto" w:fill="D2D2D2"/>
          </w:tcPr>
          <w:p>
            <w:pPr/>
          </w:p>
        </w:tc>
        <w:tc>
          <w:tcPr>
            <w:tcW w:w="1316" w:type="dxa"/>
            <w:vMerge/>
            <w:tcBorders>
              <w:left w:val="single" w:sz="4" w:space="0" w:color="000000"/>
              <w:bottom w:val="single" w:sz="4" w:space="0" w:color="000000"/>
              <w:right w:val="single" w:sz="4" w:space="0" w:color="000000"/>
            </w:tcBorders>
            <w:shd w:val="clear" w:color="auto" w:fill="D2D2D2"/>
          </w:tcPr>
          <w:p>
            <w:pPr/>
          </w:p>
        </w:tc>
        <w:tc>
          <w:tcPr>
            <w:tcW w:w="149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13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175,795,305.00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275,919,230.51</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38,841,898.35</w:t>
            </w:r>
          </w:p>
        </w:tc>
        <w:tc>
          <w:tcPr>
            <w:tcW w:w="665"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218,193,819.13</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1,099,313.07</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709,849,566.06</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137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7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137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7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137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7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7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7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13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175,795,305.00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275,919,230.51</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38,841,898.35</w:t>
            </w:r>
          </w:p>
        </w:tc>
        <w:tc>
          <w:tcPr>
            <w:tcW w:w="665"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218,193,819.13</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1,099,313.07</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709,849,566.06</w:t>
            </w: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10"/>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号填列）</w:t>
            </w:r>
          </w:p>
        </w:tc>
        <w:tc>
          <w:tcPr>
            <w:tcW w:w="137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6,121,854.72</w:t>
            </w:r>
          </w:p>
        </w:tc>
        <w:tc>
          <w:tcPr>
            <w:tcW w:w="665"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34,914,201.84</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8,268,453.45</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49,304,510.01</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137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7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72,679,211.46</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-1,032,546.55</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71,646,664.91</w:t>
            </w:r>
          </w:p>
        </w:tc>
      </w:tr>
      <w:tr>
        <w:trPr>
          <w:trHeight w:val="40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pacing w:val="-8"/>
                <w:sz w:val="18"/>
                <w:szCs w:val="18"/>
              </w:rPr>
              <w:t>（二）所有者投入</w:t>
            </w:r>
          </w:p>
        </w:tc>
        <w:tc>
          <w:tcPr>
            <w:tcW w:w="137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7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9,301,000.00</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9,301,000.00</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79" w:top="1060" w:bottom="1160" w:left="1320" w:right="0"/>
        </w:sectPr>
      </w:pPr>
    </w:p>
    <w:p>
      <w:pPr>
        <w:spacing w:line="240" w:lineRule="auto" w:before="4"/>
        <w:rPr>
          <w:rFonts w:ascii="Times New Roman" w:hAnsi="Times New Roman" w:cs="Times New Roman" w:eastAsia="Times New Roman" w:hint="default"/>
          <w:sz w:val="3"/>
          <w:szCs w:val="3"/>
        </w:rPr>
      </w:pPr>
      <w:r>
        <w:rPr/>
        <w:pict>
          <v:group style="position:absolute;margin-left:70.5pt;margin-top:55.620007pt;width:701pt;height:.1pt;mso-position-horizontal-relative:page;mso-position-vertical-relative:page;z-index:-881992" coordorigin="1410,1112" coordsize="14020,2">
            <v:shape style="position:absolute;left:1410;top:1112;width:14020;height:2" coordorigin="1410,1112" coordsize="14020,0" path="m1410,1112l15430,1112e" filled="false" stroked="true" strokeweight=".72pt" strokecolor="#000000">
              <v:path arrowok="t"/>
            </v:shape>
            <w10:wrap type="none"/>
          </v:group>
        </w:pict>
      </w:r>
    </w:p>
    <w:tbl>
      <w:tblPr>
        <w:tblW w:w="0" w:type="auto"/>
        <w:jc w:val="left"/>
        <w:tblInd w:w="135" w:type="dxa"/>
        <w:tblLayout w:type="fixed"/>
        <w:tblCellMar>
          <w:top w:w="0" w:type="dxa"/>
          <w:left w:w="0" w:type="dxa"/>
          <w:bottom w:w="0" w:type="dxa"/>
          <w:right w:w="0" w:type="dxa"/>
        </w:tblCellMar>
        <w:tblLook w:val="01E0"/>
      </w:tblPr>
      <w:tblGrid>
        <w:gridCol w:w="1426"/>
        <w:gridCol w:w="1373"/>
        <w:gridCol w:w="530"/>
        <w:gridCol w:w="532"/>
        <w:gridCol w:w="530"/>
        <w:gridCol w:w="1361"/>
        <w:gridCol w:w="666"/>
        <w:gridCol w:w="665"/>
        <w:gridCol w:w="665"/>
        <w:gridCol w:w="1271"/>
        <w:gridCol w:w="665"/>
        <w:gridCol w:w="1361"/>
        <w:gridCol w:w="1316"/>
        <w:gridCol w:w="1497"/>
      </w:tblGrid>
      <w:tr>
        <w:trPr>
          <w:trHeight w:val="377" w:hRule="exact"/>
        </w:trPr>
        <w:tc>
          <w:tcPr>
            <w:tcW w:w="142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和减少资本</w:t>
            </w:r>
          </w:p>
        </w:tc>
        <w:tc>
          <w:tcPr>
            <w:tcW w:w="1373" w:type="dxa"/>
            <w:tcBorders>
              <w:top w:val="single" w:sz="15" w:space="0" w:color="000000"/>
              <w:left w:val="single" w:sz="13" w:space="0" w:color="D2D2D2"/>
              <w:bottom w:val="single" w:sz="4" w:space="0" w:color="000000"/>
              <w:right w:val="single" w:sz="4" w:space="0" w:color="000000"/>
            </w:tcBorders>
          </w:tcPr>
          <w:p>
            <w:pPr/>
          </w:p>
        </w:tc>
        <w:tc>
          <w:tcPr>
            <w:tcW w:w="530" w:type="dxa"/>
            <w:tcBorders>
              <w:top w:val="single" w:sz="15" w:space="0" w:color="000000"/>
              <w:left w:val="single" w:sz="4" w:space="0" w:color="000000"/>
              <w:bottom w:val="single" w:sz="4" w:space="0" w:color="000000"/>
              <w:right w:val="single" w:sz="4" w:space="0" w:color="000000"/>
            </w:tcBorders>
          </w:tcPr>
          <w:p>
            <w:pPr/>
          </w:p>
        </w:tc>
        <w:tc>
          <w:tcPr>
            <w:tcW w:w="532" w:type="dxa"/>
            <w:tcBorders>
              <w:top w:val="single" w:sz="15" w:space="0" w:color="000000"/>
              <w:left w:val="single" w:sz="4" w:space="0" w:color="000000"/>
              <w:bottom w:val="single" w:sz="4" w:space="0" w:color="000000"/>
              <w:right w:val="single" w:sz="4" w:space="0" w:color="000000"/>
            </w:tcBorders>
          </w:tcPr>
          <w:p>
            <w:pPr/>
          </w:p>
        </w:tc>
        <w:tc>
          <w:tcPr>
            <w:tcW w:w="530" w:type="dxa"/>
            <w:tcBorders>
              <w:top w:val="single" w:sz="15" w:space="0" w:color="000000"/>
              <w:left w:val="single" w:sz="4" w:space="0" w:color="000000"/>
              <w:bottom w:val="single" w:sz="4" w:space="0" w:color="000000"/>
              <w:right w:val="single" w:sz="4" w:space="0" w:color="000000"/>
            </w:tcBorders>
          </w:tcPr>
          <w:p>
            <w:pPr/>
          </w:p>
        </w:tc>
        <w:tc>
          <w:tcPr>
            <w:tcW w:w="1361" w:type="dxa"/>
            <w:tcBorders>
              <w:top w:val="single" w:sz="15" w:space="0" w:color="000000"/>
              <w:left w:val="single" w:sz="4" w:space="0" w:color="000000"/>
              <w:bottom w:val="single" w:sz="4" w:space="0" w:color="000000"/>
              <w:right w:val="single" w:sz="4" w:space="0" w:color="000000"/>
            </w:tcBorders>
          </w:tcPr>
          <w:p>
            <w:pPr/>
          </w:p>
        </w:tc>
        <w:tc>
          <w:tcPr>
            <w:tcW w:w="666" w:type="dxa"/>
            <w:tcBorders>
              <w:top w:val="single" w:sz="15" w:space="0" w:color="000000"/>
              <w:left w:val="single" w:sz="4" w:space="0" w:color="000000"/>
              <w:bottom w:val="single" w:sz="4" w:space="0" w:color="000000"/>
              <w:right w:val="single" w:sz="4" w:space="0" w:color="000000"/>
            </w:tcBorders>
          </w:tcPr>
          <w:p>
            <w:pPr/>
          </w:p>
        </w:tc>
        <w:tc>
          <w:tcPr>
            <w:tcW w:w="665" w:type="dxa"/>
            <w:tcBorders>
              <w:top w:val="single" w:sz="15" w:space="0" w:color="000000"/>
              <w:left w:val="single" w:sz="4" w:space="0" w:color="000000"/>
              <w:bottom w:val="single" w:sz="4" w:space="0" w:color="000000"/>
              <w:right w:val="single" w:sz="4" w:space="0" w:color="000000"/>
            </w:tcBorders>
          </w:tcPr>
          <w:p>
            <w:pPr/>
          </w:p>
        </w:tc>
        <w:tc>
          <w:tcPr>
            <w:tcW w:w="665" w:type="dxa"/>
            <w:tcBorders>
              <w:top w:val="single" w:sz="15" w:space="0" w:color="000000"/>
              <w:left w:val="single" w:sz="4" w:space="0" w:color="000000"/>
              <w:bottom w:val="single" w:sz="4" w:space="0" w:color="000000"/>
              <w:right w:val="single" w:sz="4" w:space="0" w:color="000000"/>
            </w:tcBorders>
          </w:tcPr>
          <w:p>
            <w:pPr/>
          </w:p>
        </w:tc>
        <w:tc>
          <w:tcPr>
            <w:tcW w:w="1271" w:type="dxa"/>
            <w:tcBorders>
              <w:top w:val="single" w:sz="15" w:space="0" w:color="000000"/>
              <w:left w:val="single" w:sz="4" w:space="0" w:color="000000"/>
              <w:bottom w:val="single" w:sz="4" w:space="0" w:color="000000"/>
              <w:right w:val="single" w:sz="4" w:space="0" w:color="000000"/>
            </w:tcBorders>
          </w:tcPr>
          <w:p>
            <w:pPr/>
          </w:p>
        </w:tc>
        <w:tc>
          <w:tcPr>
            <w:tcW w:w="665" w:type="dxa"/>
            <w:tcBorders>
              <w:top w:val="single" w:sz="15" w:space="0" w:color="000000"/>
              <w:left w:val="single" w:sz="4" w:space="0" w:color="000000"/>
              <w:bottom w:val="single" w:sz="4" w:space="0" w:color="000000"/>
              <w:right w:val="single" w:sz="4" w:space="0" w:color="000000"/>
            </w:tcBorders>
          </w:tcPr>
          <w:p>
            <w:pPr/>
          </w:p>
        </w:tc>
        <w:tc>
          <w:tcPr>
            <w:tcW w:w="1361" w:type="dxa"/>
            <w:tcBorders>
              <w:top w:val="single" w:sz="15" w:space="0" w:color="000000"/>
              <w:left w:val="single" w:sz="4" w:space="0" w:color="000000"/>
              <w:bottom w:val="single" w:sz="4" w:space="0" w:color="000000"/>
              <w:right w:val="single" w:sz="4" w:space="0" w:color="000000"/>
            </w:tcBorders>
          </w:tcPr>
          <w:p>
            <w:pPr/>
          </w:p>
        </w:tc>
        <w:tc>
          <w:tcPr>
            <w:tcW w:w="1316" w:type="dxa"/>
            <w:tcBorders>
              <w:top w:val="single" w:sz="15" w:space="0" w:color="000000"/>
              <w:left w:val="single" w:sz="4" w:space="0" w:color="000000"/>
              <w:bottom w:val="single" w:sz="4" w:space="0" w:color="000000"/>
              <w:right w:val="single" w:sz="4" w:space="0" w:color="000000"/>
            </w:tcBorders>
          </w:tcPr>
          <w:p>
            <w:pPr/>
          </w:p>
        </w:tc>
        <w:tc>
          <w:tcPr>
            <w:tcW w:w="1497" w:type="dxa"/>
            <w:tcBorders>
              <w:top w:val="single" w:sz="15" w:space="0" w:color="000000"/>
              <w:left w:val="single" w:sz="4" w:space="0" w:color="000000"/>
              <w:bottom w:val="single" w:sz="4" w:space="0" w:color="000000"/>
              <w:right w:val="single" w:sz="4" w:space="0" w:color="000000"/>
            </w:tcBorders>
          </w:tcPr>
          <w:p>
            <w:pP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137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7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39" w:right="0"/>
              <w:jc w:val="left"/>
              <w:rPr>
                <w:rFonts w:ascii="Times New Roman" w:hAnsi="Times New Roman" w:cs="Times New Roman" w:eastAsia="Times New Roman" w:hint="default"/>
                <w:sz w:val="18"/>
                <w:szCs w:val="18"/>
              </w:rPr>
            </w:pPr>
            <w:r>
              <w:rPr>
                <w:rFonts w:ascii="Times New Roman"/>
                <w:sz w:val="18"/>
              </w:rPr>
              <w:t>9,301,000.00</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9,301,000.00</w:t>
            </w: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137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7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137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7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7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7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37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6,121,854.72</w:t>
            </w:r>
          </w:p>
        </w:tc>
        <w:tc>
          <w:tcPr>
            <w:tcW w:w="665"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-37,765,009.62</w:t>
            </w:r>
          </w:p>
        </w:tc>
        <w:tc>
          <w:tcPr>
            <w:tcW w:w="1316"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-31,643,154.90</w:t>
            </w:r>
          </w:p>
        </w:tc>
      </w:tr>
      <w:tr>
        <w:trPr>
          <w:trHeight w:val="402"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37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6,121,854.72</w:t>
            </w:r>
          </w:p>
        </w:tc>
        <w:tc>
          <w:tcPr>
            <w:tcW w:w="665"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-6,121,854.72</w:t>
            </w:r>
          </w:p>
        </w:tc>
        <w:tc>
          <w:tcPr>
            <w:tcW w:w="1316"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137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7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137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7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-31,643,154.90</w:t>
            </w:r>
          </w:p>
        </w:tc>
        <w:tc>
          <w:tcPr>
            <w:tcW w:w="1316"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-31,643,154.90</w:t>
            </w:r>
          </w:p>
        </w:tc>
      </w:tr>
      <w:tr>
        <w:trPr>
          <w:trHeight w:val="402"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7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7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137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7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137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7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137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7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137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7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7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7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37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7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240" w:left="130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35" w:type="dxa"/>
        <w:tblLayout w:type="fixed"/>
        <w:tblCellMar>
          <w:top w:w="0" w:type="dxa"/>
          <w:left w:w="0" w:type="dxa"/>
          <w:bottom w:w="0" w:type="dxa"/>
          <w:right w:w="0" w:type="dxa"/>
        </w:tblCellMar>
        <w:tblLook w:val="01E0"/>
      </w:tblPr>
      <w:tblGrid>
        <w:gridCol w:w="1426"/>
        <w:gridCol w:w="1373"/>
        <w:gridCol w:w="530"/>
        <w:gridCol w:w="532"/>
        <w:gridCol w:w="530"/>
        <w:gridCol w:w="1361"/>
        <w:gridCol w:w="666"/>
        <w:gridCol w:w="665"/>
        <w:gridCol w:w="665"/>
        <w:gridCol w:w="1271"/>
        <w:gridCol w:w="665"/>
        <w:gridCol w:w="1361"/>
        <w:gridCol w:w="1316"/>
        <w:gridCol w:w="1497"/>
      </w:tblGrid>
      <w:tr>
        <w:trPr>
          <w:trHeight w:val="416" w:hRule="exact"/>
        </w:trPr>
        <w:tc>
          <w:tcPr>
            <w:tcW w:w="142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373" w:type="dxa"/>
            <w:tcBorders>
              <w:top w:val="single" w:sz="15" w:space="0" w:color="000000"/>
              <w:left w:val="single" w:sz="13" w:space="0" w:color="D2D2D2"/>
              <w:bottom w:val="single" w:sz="4" w:space="0" w:color="000000"/>
              <w:right w:val="single" w:sz="4" w:space="0" w:color="000000"/>
            </w:tcBorders>
          </w:tcPr>
          <w:p>
            <w:pPr/>
          </w:p>
        </w:tc>
        <w:tc>
          <w:tcPr>
            <w:tcW w:w="530" w:type="dxa"/>
            <w:tcBorders>
              <w:top w:val="single" w:sz="15" w:space="0" w:color="000000"/>
              <w:left w:val="single" w:sz="4" w:space="0" w:color="000000"/>
              <w:bottom w:val="single" w:sz="4" w:space="0" w:color="000000"/>
              <w:right w:val="single" w:sz="4" w:space="0" w:color="000000"/>
            </w:tcBorders>
          </w:tcPr>
          <w:p>
            <w:pPr/>
          </w:p>
        </w:tc>
        <w:tc>
          <w:tcPr>
            <w:tcW w:w="532" w:type="dxa"/>
            <w:tcBorders>
              <w:top w:val="single" w:sz="15" w:space="0" w:color="000000"/>
              <w:left w:val="single" w:sz="4" w:space="0" w:color="000000"/>
              <w:bottom w:val="single" w:sz="4" w:space="0" w:color="000000"/>
              <w:right w:val="single" w:sz="4" w:space="0" w:color="000000"/>
            </w:tcBorders>
          </w:tcPr>
          <w:p>
            <w:pPr/>
          </w:p>
        </w:tc>
        <w:tc>
          <w:tcPr>
            <w:tcW w:w="530" w:type="dxa"/>
            <w:tcBorders>
              <w:top w:val="single" w:sz="15" w:space="0" w:color="000000"/>
              <w:left w:val="single" w:sz="4" w:space="0" w:color="000000"/>
              <w:bottom w:val="single" w:sz="4" w:space="0" w:color="000000"/>
              <w:right w:val="single" w:sz="4" w:space="0" w:color="000000"/>
            </w:tcBorders>
          </w:tcPr>
          <w:p>
            <w:pPr/>
          </w:p>
        </w:tc>
        <w:tc>
          <w:tcPr>
            <w:tcW w:w="1361" w:type="dxa"/>
            <w:tcBorders>
              <w:top w:val="single" w:sz="15" w:space="0" w:color="000000"/>
              <w:left w:val="single" w:sz="4" w:space="0" w:color="000000"/>
              <w:bottom w:val="single" w:sz="4" w:space="0" w:color="000000"/>
              <w:right w:val="single" w:sz="4" w:space="0" w:color="000000"/>
            </w:tcBorders>
          </w:tcPr>
          <w:p>
            <w:pPr/>
          </w:p>
        </w:tc>
        <w:tc>
          <w:tcPr>
            <w:tcW w:w="666" w:type="dxa"/>
            <w:tcBorders>
              <w:top w:val="single" w:sz="15" w:space="0" w:color="000000"/>
              <w:left w:val="single" w:sz="4" w:space="0" w:color="000000"/>
              <w:bottom w:val="single" w:sz="4" w:space="0" w:color="000000"/>
              <w:right w:val="single" w:sz="4" w:space="0" w:color="000000"/>
            </w:tcBorders>
          </w:tcPr>
          <w:p>
            <w:pPr/>
          </w:p>
        </w:tc>
        <w:tc>
          <w:tcPr>
            <w:tcW w:w="665" w:type="dxa"/>
            <w:tcBorders>
              <w:top w:val="single" w:sz="15" w:space="0" w:color="000000"/>
              <w:left w:val="single" w:sz="4" w:space="0" w:color="000000"/>
              <w:bottom w:val="single" w:sz="4" w:space="0" w:color="000000"/>
              <w:right w:val="single" w:sz="4" w:space="0" w:color="000000"/>
            </w:tcBorders>
          </w:tcPr>
          <w:p>
            <w:pPr/>
          </w:p>
        </w:tc>
        <w:tc>
          <w:tcPr>
            <w:tcW w:w="665" w:type="dxa"/>
            <w:tcBorders>
              <w:top w:val="single" w:sz="15" w:space="0" w:color="000000"/>
              <w:left w:val="single" w:sz="4" w:space="0" w:color="000000"/>
              <w:bottom w:val="single" w:sz="4" w:space="0" w:color="000000"/>
              <w:right w:val="single" w:sz="4" w:space="0" w:color="000000"/>
            </w:tcBorders>
          </w:tcPr>
          <w:p>
            <w:pPr/>
          </w:p>
        </w:tc>
        <w:tc>
          <w:tcPr>
            <w:tcW w:w="1271" w:type="dxa"/>
            <w:tcBorders>
              <w:top w:val="single" w:sz="15" w:space="0" w:color="000000"/>
              <w:left w:val="single" w:sz="4" w:space="0" w:color="000000"/>
              <w:bottom w:val="single" w:sz="4" w:space="0" w:color="000000"/>
              <w:right w:val="single" w:sz="4" w:space="0" w:color="000000"/>
            </w:tcBorders>
          </w:tcPr>
          <w:p>
            <w:pPr/>
          </w:p>
        </w:tc>
        <w:tc>
          <w:tcPr>
            <w:tcW w:w="665" w:type="dxa"/>
            <w:tcBorders>
              <w:top w:val="single" w:sz="15" w:space="0" w:color="000000"/>
              <w:left w:val="single" w:sz="4" w:space="0" w:color="000000"/>
              <w:bottom w:val="single" w:sz="4" w:space="0" w:color="000000"/>
              <w:right w:val="single" w:sz="4" w:space="0" w:color="000000"/>
            </w:tcBorders>
          </w:tcPr>
          <w:p>
            <w:pPr/>
          </w:p>
        </w:tc>
        <w:tc>
          <w:tcPr>
            <w:tcW w:w="1361" w:type="dxa"/>
            <w:tcBorders>
              <w:top w:val="single" w:sz="15" w:space="0" w:color="000000"/>
              <w:left w:val="single" w:sz="4" w:space="0" w:color="000000"/>
              <w:bottom w:val="single" w:sz="4" w:space="0" w:color="000000"/>
              <w:right w:val="single" w:sz="4" w:space="0" w:color="000000"/>
            </w:tcBorders>
          </w:tcPr>
          <w:p>
            <w:pPr/>
          </w:p>
        </w:tc>
        <w:tc>
          <w:tcPr>
            <w:tcW w:w="1316" w:type="dxa"/>
            <w:tcBorders>
              <w:top w:val="single" w:sz="15" w:space="0" w:color="000000"/>
              <w:left w:val="single" w:sz="4" w:space="0" w:color="000000"/>
              <w:bottom w:val="single" w:sz="4" w:space="0" w:color="000000"/>
              <w:right w:val="single" w:sz="4" w:space="0" w:color="000000"/>
            </w:tcBorders>
          </w:tcPr>
          <w:p>
            <w:pPr/>
          </w:p>
        </w:tc>
        <w:tc>
          <w:tcPr>
            <w:tcW w:w="1497" w:type="dxa"/>
            <w:tcBorders>
              <w:top w:val="single" w:sz="15" w:space="0" w:color="000000"/>
              <w:left w:val="single" w:sz="4" w:space="0" w:color="000000"/>
              <w:bottom w:val="single" w:sz="4" w:space="0" w:color="000000"/>
              <w:right w:val="single" w:sz="4" w:space="0" w:color="000000"/>
            </w:tcBorders>
          </w:tcPr>
          <w:p>
            <w:pPr/>
          </w:p>
        </w:tc>
      </w:tr>
      <w:tr>
        <w:trPr>
          <w:trHeight w:val="402"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37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7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37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7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13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4" w:right="0"/>
              <w:jc w:val="left"/>
              <w:rPr>
                <w:rFonts w:ascii="Times New Roman" w:hAnsi="Times New Roman" w:cs="Times New Roman" w:eastAsia="Times New Roman" w:hint="default"/>
                <w:sz w:val="18"/>
                <w:szCs w:val="18"/>
              </w:rPr>
            </w:pPr>
            <w:r>
              <w:rPr>
                <w:rFonts w:ascii="Times New Roman"/>
                <w:sz w:val="18"/>
              </w:rPr>
              <w:t>175,795,305.00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 w:right="0"/>
              <w:jc w:val="left"/>
              <w:rPr>
                <w:rFonts w:ascii="Times New Roman" w:hAnsi="Times New Roman" w:cs="Times New Roman" w:eastAsia="Times New Roman" w:hint="default"/>
                <w:sz w:val="18"/>
                <w:szCs w:val="18"/>
              </w:rPr>
            </w:pPr>
            <w:r>
              <w:rPr>
                <w:rFonts w:ascii="Times New Roman"/>
                <w:sz w:val="18"/>
              </w:rPr>
              <w:t>275,919,230.51</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 w:right="0"/>
              <w:jc w:val="left"/>
              <w:rPr>
                <w:rFonts w:ascii="Times New Roman" w:hAnsi="Times New Roman" w:cs="Times New Roman" w:eastAsia="Times New Roman" w:hint="default"/>
                <w:sz w:val="18"/>
                <w:szCs w:val="18"/>
              </w:rPr>
            </w:pPr>
            <w:r>
              <w:rPr>
                <w:rFonts w:ascii="Times New Roman"/>
                <w:sz w:val="18"/>
              </w:rPr>
              <w:t>44,963,753.07</w:t>
            </w:r>
          </w:p>
        </w:tc>
        <w:tc>
          <w:tcPr>
            <w:tcW w:w="665"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 w:right="0"/>
              <w:jc w:val="left"/>
              <w:rPr>
                <w:rFonts w:ascii="Times New Roman" w:hAnsi="Times New Roman" w:cs="Times New Roman" w:eastAsia="Times New Roman" w:hint="default"/>
                <w:sz w:val="18"/>
                <w:szCs w:val="18"/>
              </w:rPr>
            </w:pPr>
            <w:r>
              <w:rPr>
                <w:rFonts w:ascii="Times New Roman"/>
                <w:sz w:val="18"/>
              </w:rPr>
              <w:t>253,108,020.97</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9" w:right="0"/>
              <w:jc w:val="left"/>
              <w:rPr>
                <w:rFonts w:ascii="Times New Roman" w:hAnsi="Times New Roman" w:cs="Times New Roman" w:eastAsia="Times New Roman" w:hint="default"/>
                <w:sz w:val="18"/>
                <w:szCs w:val="18"/>
              </w:rPr>
            </w:pPr>
            <w:r>
              <w:rPr>
                <w:rFonts w:ascii="Times New Roman"/>
                <w:sz w:val="18"/>
              </w:rPr>
              <w:t>9,367,766.52</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8" w:right="0"/>
              <w:jc w:val="left"/>
              <w:rPr>
                <w:rFonts w:ascii="Times New Roman" w:hAnsi="Times New Roman" w:cs="Times New Roman" w:eastAsia="Times New Roman" w:hint="default"/>
                <w:sz w:val="18"/>
                <w:szCs w:val="18"/>
              </w:rPr>
            </w:pPr>
            <w:r>
              <w:rPr>
                <w:rFonts w:ascii="Times New Roman"/>
                <w:sz w:val="18"/>
              </w:rPr>
              <w:t>759,154,076.07</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40" w:right="0"/>
        <w:jc w:val="left"/>
        <w:rPr>
          <w:b w:val="0"/>
          <w:bCs w:val="0"/>
        </w:rPr>
      </w:pPr>
      <w:bookmarkStart w:name="8、母公司所有者权益变动表" w:id="158"/>
      <w:bookmarkEnd w:id="158"/>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40" w:right="0"/>
        <w:jc w:val="left"/>
      </w:pPr>
      <w:r>
        <w:rPr/>
        <w:t>本期金额</w:t>
      </w:r>
    </w:p>
    <w:p>
      <w:pPr>
        <w:pStyle w:val="BodyText"/>
        <w:spacing w:line="240" w:lineRule="auto" w:before="117"/>
        <w:ind w:left="0" w:right="1535"/>
        <w:jc w:val="right"/>
      </w:pPr>
      <w:r>
        <w:rPr/>
        <w:t>单位：元</w:t>
      </w:r>
    </w:p>
    <w:p>
      <w:pPr>
        <w:spacing w:line="240" w:lineRule="auto" w:before="3"/>
        <w:rPr>
          <w:rFonts w:ascii="宋体" w:hAnsi="宋体" w:cs="宋体" w:eastAsia="宋体"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1551"/>
        <w:gridCol w:w="1499"/>
        <w:gridCol w:w="726"/>
        <w:gridCol w:w="726"/>
        <w:gridCol w:w="730"/>
        <w:gridCol w:w="1637"/>
        <w:gridCol w:w="873"/>
        <w:gridCol w:w="871"/>
        <w:gridCol w:w="872"/>
        <w:gridCol w:w="1390"/>
        <w:gridCol w:w="1488"/>
        <w:gridCol w:w="1641"/>
      </w:tblGrid>
      <w:tr>
        <w:trPr>
          <w:trHeight w:val="397" w:hRule="exact"/>
        </w:trPr>
        <w:tc>
          <w:tcPr>
            <w:tcW w:w="1551" w:type="dxa"/>
            <w:tcBorders>
              <w:top w:val="single" w:sz="4" w:space="0" w:color="000000"/>
              <w:left w:val="single" w:sz="4" w:space="0" w:color="000000"/>
              <w:bottom w:val="nil" w:sz="6" w:space="0" w:color="auto"/>
              <w:right w:val="single" w:sz="4" w:space="0" w:color="000000"/>
            </w:tcBorders>
            <w:shd w:val="clear" w:color="auto" w:fill="D2D2D2"/>
          </w:tcPr>
          <w:p>
            <w:pPr/>
          </w:p>
        </w:tc>
        <w:tc>
          <w:tcPr>
            <w:tcW w:w="1245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2" w:hRule="exact"/>
        </w:trPr>
        <w:tc>
          <w:tcPr>
            <w:tcW w:w="15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99" w:type="dxa"/>
            <w:tcBorders>
              <w:top w:val="single" w:sz="4" w:space="0" w:color="000000"/>
              <w:left w:val="single" w:sz="4" w:space="0" w:color="000000"/>
              <w:bottom w:val="nil" w:sz="6" w:space="0" w:color="auto"/>
              <w:right w:val="single" w:sz="4" w:space="0" w:color="000000"/>
            </w:tcBorders>
            <w:shd w:val="clear" w:color="auto" w:fill="D2D2D2"/>
          </w:tcPr>
          <w:p>
            <w:pPr/>
          </w:p>
        </w:tc>
        <w:tc>
          <w:tcPr>
            <w:tcW w:w="21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6"/>
              <w:ind w:left="54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637" w:type="dxa"/>
            <w:tcBorders>
              <w:top w:val="single" w:sz="4" w:space="0" w:color="000000"/>
              <w:left w:val="single" w:sz="4" w:space="0" w:color="000000"/>
              <w:bottom w:val="nil" w:sz="6" w:space="0" w:color="auto"/>
              <w:right w:val="single" w:sz="4" w:space="0" w:color="000000"/>
            </w:tcBorders>
            <w:shd w:val="clear" w:color="auto" w:fill="D2D2D2"/>
          </w:tcPr>
          <w:p>
            <w:pPr/>
          </w:p>
        </w:tc>
        <w:tc>
          <w:tcPr>
            <w:tcW w:w="873" w:type="dxa"/>
            <w:tcBorders>
              <w:top w:val="single" w:sz="4" w:space="0" w:color="000000"/>
              <w:left w:val="single" w:sz="4" w:space="0" w:color="000000"/>
              <w:bottom w:val="nil" w:sz="6" w:space="0" w:color="auto"/>
              <w:right w:val="single" w:sz="4" w:space="0" w:color="000000"/>
            </w:tcBorders>
            <w:shd w:val="clear" w:color="auto" w:fill="D2D2D2"/>
          </w:tcPr>
          <w:p>
            <w:pPr/>
          </w:p>
        </w:tc>
        <w:tc>
          <w:tcPr>
            <w:tcW w:w="87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11"/>
              <w:ind w:left="250" w:right="68"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872" w:type="dxa"/>
            <w:tcBorders>
              <w:top w:val="single" w:sz="4" w:space="0" w:color="000000"/>
              <w:left w:val="single" w:sz="4" w:space="0" w:color="000000"/>
              <w:bottom w:val="nil" w:sz="6" w:space="0" w:color="auto"/>
              <w:right w:val="single" w:sz="4" w:space="0" w:color="000000"/>
            </w:tcBorders>
            <w:shd w:val="clear" w:color="auto" w:fill="D2D2D2"/>
          </w:tcPr>
          <w:p>
            <w:pPr/>
          </w:p>
        </w:tc>
        <w:tc>
          <w:tcPr>
            <w:tcW w:w="1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488"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551" w:type="dxa"/>
            <w:vMerge/>
            <w:tcBorders>
              <w:left w:val="single" w:sz="4" w:space="0" w:color="000000"/>
              <w:bottom w:val="nil" w:sz="6" w:space="0" w:color="auto"/>
              <w:right w:val="single" w:sz="4" w:space="0" w:color="000000"/>
            </w:tcBorders>
            <w:shd w:val="clear" w:color="auto" w:fill="D2D2D2"/>
          </w:tcPr>
          <w:p>
            <w:pPr/>
          </w:p>
        </w:tc>
        <w:tc>
          <w:tcPr>
            <w:tcW w:w="14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left="11"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182" w:type="dxa"/>
            <w:gridSpan w:val="3"/>
            <w:vMerge/>
            <w:tcBorders>
              <w:left w:val="single" w:sz="4" w:space="0" w:color="000000"/>
              <w:bottom w:val="single" w:sz="4" w:space="0" w:color="000000"/>
              <w:right w:val="single" w:sz="4" w:space="0" w:color="000000"/>
            </w:tcBorders>
            <w:shd w:val="clear" w:color="auto" w:fill="D2D2D2"/>
          </w:tcPr>
          <w:p>
            <w:pPr/>
          </w:p>
        </w:tc>
        <w:tc>
          <w:tcPr>
            <w:tcW w:w="163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left="45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7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pacing w:val="-85"/>
                <w:sz w:val="18"/>
                <w:szCs w:val="18"/>
              </w:rPr>
              <w:t>：</w:t>
            </w:r>
            <w:r>
              <w:rPr>
                <w:rFonts w:ascii="宋体" w:hAnsi="宋体" w:cs="宋体" w:eastAsia="宋体" w:hint="default"/>
                <w:sz w:val="18"/>
                <w:szCs w:val="18"/>
              </w:rPr>
              <w:t>库存股</w:t>
            </w:r>
          </w:p>
        </w:tc>
        <w:tc>
          <w:tcPr>
            <w:tcW w:w="871" w:type="dxa"/>
            <w:vMerge/>
            <w:tcBorders>
              <w:left w:val="single" w:sz="4" w:space="0" w:color="000000"/>
              <w:right w:val="single" w:sz="4" w:space="0" w:color="000000"/>
            </w:tcBorders>
            <w:shd w:val="clear" w:color="auto" w:fill="D2D2D2"/>
          </w:tcPr>
          <w:p>
            <w:pPr/>
          </w:p>
        </w:tc>
        <w:tc>
          <w:tcPr>
            <w:tcW w:w="8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left="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3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left="32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left="289"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64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left="185"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02" w:hRule="exact"/>
        </w:trPr>
        <w:tc>
          <w:tcPr>
            <w:tcW w:w="1551" w:type="dxa"/>
            <w:vMerge w:val="restart"/>
            <w:tcBorders>
              <w:top w:val="nil" w:sz="6" w:space="0" w:color="auto"/>
              <w:left w:val="single" w:sz="4" w:space="0" w:color="000000"/>
              <w:right w:val="single" w:sz="4" w:space="0" w:color="000000"/>
            </w:tcBorders>
            <w:shd w:val="clear" w:color="auto" w:fill="D2D2D2"/>
          </w:tcPr>
          <w:p>
            <w:pPr/>
          </w:p>
        </w:tc>
        <w:tc>
          <w:tcPr>
            <w:tcW w:w="1499" w:type="dxa"/>
            <w:vMerge/>
            <w:tcBorders>
              <w:left w:val="single" w:sz="4" w:space="0" w:color="000000"/>
              <w:bottom w:val="nil" w:sz="6" w:space="0" w:color="auto"/>
              <w:right w:val="single" w:sz="4" w:space="0" w:color="000000"/>
            </w:tcBorders>
            <w:shd w:val="clear" w:color="auto" w:fill="D2D2D2"/>
          </w:tcPr>
          <w:p>
            <w:pPr/>
          </w:p>
        </w:tc>
        <w:tc>
          <w:tcPr>
            <w:tcW w:w="7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5"/>
              <w:ind w:left="88"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7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5"/>
              <w:ind w:left="88"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7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5"/>
              <w:ind w:left="1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37" w:type="dxa"/>
            <w:vMerge/>
            <w:tcBorders>
              <w:left w:val="single" w:sz="4" w:space="0" w:color="000000"/>
              <w:bottom w:val="nil" w:sz="6" w:space="0" w:color="auto"/>
              <w:right w:val="single" w:sz="4" w:space="0" w:color="000000"/>
            </w:tcBorders>
            <w:shd w:val="clear" w:color="auto" w:fill="D2D2D2"/>
          </w:tcPr>
          <w:p>
            <w:pPr/>
          </w:p>
        </w:tc>
        <w:tc>
          <w:tcPr>
            <w:tcW w:w="873" w:type="dxa"/>
            <w:vMerge/>
            <w:tcBorders>
              <w:left w:val="single" w:sz="4" w:space="0" w:color="000000"/>
              <w:bottom w:val="nil" w:sz="6" w:space="0" w:color="auto"/>
              <w:right w:val="single" w:sz="4" w:space="0" w:color="000000"/>
            </w:tcBorders>
            <w:shd w:val="clear" w:color="auto" w:fill="D2D2D2"/>
          </w:tcPr>
          <w:p>
            <w:pPr/>
          </w:p>
        </w:tc>
        <w:tc>
          <w:tcPr>
            <w:tcW w:w="871" w:type="dxa"/>
            <w:vMerge/>
            <w:tcBorders>
              <w:left w:val="single" w:sz="4" w:space="0" w:color="000000"/>
              <w:right w:val="single" w:sz="4" w:space="0" w:color="000000"/>
            </w:tcBorders>
            <w:shd w:val="clear" w:color="auto" w:fill="D2D2D2"/>
          </w:tcPr>
          <w:p>
            <w:pPr/>
          </w:p>
        </w:tc>
        <w:tc>
          <w:tcPr>
            <w:tcW w:w="872" w:type="dxa"/>
            <w:vMerge/>
            <w:tcBorders>
              <w:left w:val="single" w:sz="4" w:space="0" w:color="000000"/>
              <w:bottom w:val="nil" w:sz="6" w:space="0" w:color="auto"/>
              <w:right w:val="single" w:sz="4" w:space="0" w:color="000000"/>
            </w:tcBorders>
            <w:shd w:val="clear" w:color="auto" w:fill="D2D2D2"/>
          </w:tcPr>
          <w:p>
            <w:pPr/>
          </w:p>
        </w:tc>
        <w:tc>
          <w:tcPr>
            <w:tcW w:w="1390" w:type="dxa"/>
            <w:vMerge/>
            <w:tcBorders>
              <w:left w:val="single" w:sz="4" w:space="0" w:color="000000"/>
              <w:bottom w:val="nil" w:sz="6" w:space="0" w:color="auto"/>
              <w:right w:val="single" w:sz="4" w:space="0" w:color="000000"/>
            </w:tcBorders>
            <w:shd w:val="clear" w:color="auto" w:fill="D2D2D2"/>
          </w:tcPr>
          <w:p>
            <w:pPr/>
          </w:p>
        </w:tc>
        <w:tc>
          <w:tcPr>
            <w:tcW w:w="1488" w:type="dxa"/>
            <w:vMerge/>
            <w:tcBorders>
              <w:left w:val="single" w:sz="4" w:space="0" w:color="000000"/>
              <w:bottom w:val="nil" w:sz="6" w:space="0" w:color="auto"/>
              <w:right w:val="single" w:sz="4" w:space="0" w:color="000000"/>
            </w:tcBorders>
            <w:shd w:val="clear" w:color="auto" w:fill="D2D2D2"/>
          </w:tcPr>
          <w:p>
            <w:pPr/>
          </w:p>
        </w:tc>
        <w:tc>
          <w:tcPr>
            <w:tcW w:w="1641"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551" w:type="dxa"/>
            <w:vMerge/>
            <w:tcBorders>
              <w:left w:val="single" w:sz="4" w:space="0" w:color="000000"/>
              <w:bottom w:val="single" w:sz="4" w:space="0" w:color="000000"/>
              <w:right w:val="single" w:sz="4" w:space="0" w:color="000000"/>
            </w:tcBorders>
            <w:shd w:val="clear" w:color="auto" w:fill="D2D2D2"/>
          </w:tcPr>
          <w:p>
            <w:pPr/>
          </w:p>
        </w:tc>
        <w:tc>
          <w:tcPr>
            <w:tcW w:w="14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26" w:type="dxa"/>
            <w:vMerge/>
            <w:tcBorders>
              <w:left w:val="single" w:sz="4" w:space="0" w:color="000000"/>
              <w:bottom w:val="single" w:sz="4" w:space="0" w:color="000000"/>
              <w:right w:val="single" w:sz="4" w:space="0" w:color="000000"/>
            </w:tcBorders>
            <w:shd w:val="clear" w:color="auto" w:fill="D2D2D2"/>
          </w:tcPr>
          <w:p>
            <w:pPr/>
          </w:p>
        </w:tc>
        <w:tc>
          <w:tcPr>
            <w:tcW w:w="726" w:type="dxa"/>
            <w:vMerge/>
            <w:tcBorders>
              <w:left w:val="single" w:sz="4" w:space="0" w:color="000000"/>
              <w:bottom w:val="single" w:sz="4" w:space="0" w:color="000000"/>
              <w:right w:val="single" w:sz="4" w:space="0" w:color="000000"/>
            </w:tcBorders>
            <w:shd w:val="clear" w:color="auto" w:fill="D2D2D2"/>
          </w:tcPr>
          <w:p>
            <w:pPr/>
          </w:p>
        </w:tc>
        <w:tc>
          <w:tcPr>
            <w:tcW w:w="730" w:type="dxa"/>
            <w:vMerge/>
            <w:tcBorders>
              <w:left w:val="single" w:sz="4" w:space="0" w:color="000000"/>
              <w:bottom w:val="single" w:sz="4" w:space="0" w:color="000000"/>
              <w:right w:val="single" w:sz="4" w:space="0" w:color="000000"/>
            </w:tcBorders>
            <w:shd w:val="clear" w:color="auto" w:fill="D2D2D2"/>
          </w:tcPr>
          <w:p>
            <w:pPr/>
          </w:p>
        </w:tc>
        <w:tc>
          <w:tcPr>
            <w:tcW w:w="1637" w:type="dxa"/>
            <w:tcBorders>
              <w:top w:val="nil" w:sz="6" w:space="0" w:color="auto"/>
              <w:left w:val="single" w:sz="4" w:space="0" w:color="000000"/>
              <w:bottom w:val="single" w:sz="4" w:space="0" w:color="000000"/>
              <w:right w:val="single" w:sz="4" w:space="0" w:color="000000"/>
            </w:tcBorders>
            <w:shd w:val="clear" w:color="auto" w:fill="D2D2D2"/>
          </w:tcPr>
          <w:p>
            <w:pPr/>
          </w:p>
        </w:tc>
        <w:tc>
          <w:tcPr>
            <w:tcW w:w="873" w:type="dxa"/>
            <w:tcBorders>
              <w:top w:val="nil" w:sz="6" w:space="0" w:color="auto"/>
              <w:left w:val="single" w:sz="4" w:space="0" w:color="000000"/>
              <w:bottom w:val="single" w:sz="4" w:space="0" w:color="000000"/>
              <w:right w:val="single" w:sz="4" w:space="0" w:color="000000"/>
            </w:tcBorders>
            <w:shd w:val="clear" w:color="auto" w:fill="D2D2D2"/>
          </w:tcPr>
          <w:p>
            <w:pPr/>
          </w:p>
        </w:tc>
        <w:tc>
          <w:tcPr>
            <w:tcW w:w="871" w:type="dxa"/>
            <w:vMerge/>
            <w:tcBorders>
              <w:left w:val="single" w:sz="4" w:space="0" w:color="000000"/>
              <w:bottom w:val="single" w:sz="4" w:space="0" w:color="000000"/>
              <w:right w:val="single" w:sz="4" w:space="0" w:color="000000"/>
            </w:tcBorders>
            <w:shd w:val="clear" w:color="auto" w:fill="D2D2D2"/>
          </w:tcPr>
          <w:p>
            <w:pPr/>
          </w:p>
        </w:tc>
        <w:tc>
          <w:tcPr>
            <w:tcW w:w="872" w:type="dxa"/>
            <w:tcBorders>
              <w:top w:val="nil" w:sz="6" w:space="0" w:color="auto"/>
              <w:left w:val="single" w:sz="4" w:space="0" w:color="000000"/>
              <w:bottom w:val="single" w:sz="4" w:space="0" w:color="000000"/>
              <w:right w:val="single" w:sz="4" w:space="0" w:color="000000"/>
            </w:tcBorders>
            <w:shd w:val="clear" w:color="auto" w:fill="D2D2D2"/>
          </w:tcPr>
          <w:p>
            <w:pPr/>
          </w:p>
        </w:tc>
        <w:tc>
          <w:tcPr>
            <w:tcW w:w="1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1488" w:type="dxa"/>
            <w:tcBorders>
              <w:top w:val="nil" w:sz="6" w:space="0" w:color="auto"/>
              <w:left w:val="single" w:sz="4" w:space="0" w:color="000000"/>
              <w:bottom w:val="single" w:sz="4" w:space="0" w:color="000000"/>
              <w:right w:val="single" w:sz="4" w:space="0" w:color="000000"/>
            </w:tcBorders>
            <w:shd w:val="clear" w:color="auto" w:fill="D2D2D2"/>
          </w:tcPr>
          <w:p>
            <w:pPr/>
          </w:p>
        </w:tc>
        <w:tc>
          <w:tcPr>
            <w:tcW w:w="164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4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175,795,305.00</w:t>
            </w: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277,971,196.61</w:t>
            </w:r>
          </w:p>
        </w:tc>
        <w:tc>
          <w:tcPr>
            <w:tcW w:w="87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18" w:space="0" w:color="D2D2D2"/>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44,963,753.07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215,745,488.77</w:t>
            </w: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714,475,743.45</w:t>
            </w:r>
          </w:p>
        </w:tc>
      </w:tr>
      <w:tr>
        <w:trPr>
          <w:trHeight w:val="714" w:hRule="exact"/>
        </w:trPr>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61"/>
              <w:ind w:left="11" w:right="87" w:firstLine="360"/>
              <w:jc w:val="left"/>
              <w:rPr>
                <w:rFonts w:ascii="宋体" w:hAnsi="宋体" w:cs="宋体" w:eastAsia="宋体" w:hint="default"/>
                <w:sz w:val="18"/>
                <w:szCs w:val="18"/>
              </w:rPr>
            </w:pPr>
            <w:r>
              <w:rPr>
                <w:rFonts w:ascii="宋体" w:hAnsi="宋体" w:cs="宋体" w:eastAsia="宋体" w:hint="default"/>
                <w:sz w:val="18"/>
                <w:szCs w:val="18"/>
              </w:rPr>
              <w:t>加：会计政策 变更</w:t>
            </w:r>
          </w:p>
        </w:tc>
        <w:tc>
          <w:tcPr>
            <w:tcW w:w="1499" w:type="dxa"/>
            <w:tcBorders>
              <w:top w:val="single" w:sz="4" w:space="0" w:color="000000"/>
              <w:left w:val="single" w:sz="13" w:space="0" w:color="D2D2D2"/>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87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64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31" w:right="0"/>
              <w:jc w:val="left"/>
              <w:rPr>
                <w:rFonts w:ascii="宋体" w:hAnsi="宋体" w:cs="宋体" w:eastAsia="宋体" w:hint="default"/>
                <w:sz w:val="18"/>
                <w:szCs w:val="18"/>
              </w:rPr>
            </w:pPr>
            <w:r>
              <w:rPr>
                <w:rFonts w:ascii="宋体" w:hAnsi="宋体" w:cs="宋体" w:eastAsia="宋体" w:hint="default"/>
                <w:sz w:val="18"/>
                <w:szCs w:val="18"/>
              </w:rPr>
              <w:t>前期差错</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更正</w:t>
            </w:r>
          </w:p>
        </w:tc>
        <w:tc>
          <w:tcPr>
            <w:tcW w:w="1499" w:type="dxa"/>
            <w:tcBorders>
              <w:top w:val="single" w:sz="4" w:space="0" w:color="000000"/>
              <w:left w:val="single" w:sz="13" w:space="0" w:color="D2D2D2"/>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87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64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9" w:type="dxa"/>
            <w:tcBorders>
              <w:top w:val="single" w:sz="4" w:space="0" w:color="000000"/>
              <w:left w:val="single" w:sz="13" w:space="0" w:color="D2D2D2"/>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87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64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4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175,795,305.00</w:t>
            </w: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277,971,196.61</w:t>
            </w:r>
          </w:p>
        </w:tc>
        <w:tc>
          <w:tcPr>
            <w:tcW w:w="87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44,963,753.07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215,745,488.77</w:t>
            </w: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714,475,743.45</w:t>
            </w:r>
          </w:p>
        </w:tc>
      </w:tr>
      <w:tr>
        <w:trPr>
          <w:trHeight w:val="1026" w:hRule="exact"/>
        </w:trPr>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61"/>
              <w:ind w:left="11" w:right="87"/>
              <w:jc w:val="both"/>
              <w:rPr>
                <w:rFonts w:ascii="宋体" w:hAnsi="宋体" w:cs="宋体" w:eastAsia="宋体" w:hint="default"/>
                <w:sz w:val="18"/>
                <w:szCs w:val="18"/>
              </w:rPr>
            </w:pPr>
            <w:r>
              <w:rPr>
                <w:rFonts w:ascii="宋体" w:hAnsi="宋体" w:cs="宋体" w:eastAsia="宋体" w:hint="default"/>
                <w:sz w:val="18"/>
                <w:szCs w:val="18"/>
              </w:rPr>
              <w:t>三、本期增减变动 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14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40,801,475.00</w:t>
            </w: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1,059,798,884.26</w:t>
            </w:r>
          </w:p>
        </w:tc>
        <w:tc>
          <w:tcPr>
            <w:tcW w:w="87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6,597,461.55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39,557,280.25</w:t>
            </w: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1,146,755,101.06</w:t>
            </w:r>
          </w:p>
        </w:tc>
      </w:tr>
      <w:tr>
        <w:trPr>
          <w:trHeight w:val="714" w:hRule="exact"/>
        </w:trPr>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61"/>
              <w:ind w:left="11" w:right="87"/>
              <w:jc w:val="left"/>
              <w:rPr>
                <w:rFonts w:ascii="宋体" w:hAnsi="宋体" w:cs="宋体" w:eastAsia="宋体" w:hint="default"/>
                <w:sz w:val="18"/>
                <w:szCs w:val="18"/>
              </w:rPr>
            </w:pPr>
            <w:r>
              <w:rPr>
                <w:rFonts w:ascii="宋体" w:hAnsi="宋体" w:cs="宋体" w:eastAsia="宋体" w:hint="default"/>
                <w:sz w:val="18"/>
                <w:szCs w:val="18"/>
              </w:rPr>
              <w:t>（一）综合收益总 额</w:t>
            </w:r>
          </w:p>
        </w:tc>
        <w:tc>
          <w:tcPr>
            <w:tcW w:w="1499" w:type="dxa"/>
            <w:tcBorders>
              <w:top w:val="single" w:sz="4" w:space="0" w:color="000000"/>
              <w:left w:val="single" w:sz="13" w:space="0" w:color="D2D2D2"/>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87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65,974,615.50</w:t>
            </w: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65,974,615.50</w:t>
            </w:r>
          </w:p>
        </w:tc>
      </w:tr>
      <w:tr>
        <w:trPr>
          <w:trHeight w:val="714" w:hRule="exact"/>
        </w:trPr>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61"/>
              <w:ind w:left="11" w:right="87"/>
              <w:jc w:val="left"/>
              <w:rPr>
                <w:rFonts w:ascii="宋体" w:hAnsi="宋体" w:cs="宋体" w:eastAsia="宋体" w:hint="default"/>
                <w:sz w:val="18"/>
                <w:szCs w:val="18"/>
              </w:rPr>
            </w:pPr>
            <w:r>
              <w:rPr>
                <w:rFonts w:ascii="宋体" w:hAnsi="宋体" w:cs="宋体" w:eastAsia="宋体" w:hint="default"/>
                <w:sz w:val="18"/>
                <w:szCs w:val="18"/>
              </w:rPr>
              <w:t>（二）所有者投入 和减少资本</w:t>
            </w:r>
          </w:p>
        </w:tc>
        <w:tc>
          <w:tcPr>
            <w:tcW w:w="14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40,801,475.00</w:t>
            </w: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1,059,798,884.26</w:t>
            </w:r>
          </w:p>
        </w:tc>
        <w:tc>
          <w:tcPr>
            <w:tcW w:w="87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1,100,600,359.26</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79" w:top="1060" w:bottom="1240" w:left="130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1574"/>
        <w:gridCol w:w="1488"/>
        <w:gridCol w:w="726"/>
        <w:gridCol w:w="726"/>
        <w:gridCol w:w="730"/>
        <w:gridCol w:w="1637"/>
        <w:gridCol w:w="873"/>
        <w:gridCol w:w="871"/>
        <w:gridCol w:w="872"/>
        <w:gridCol w:w="1390"/>
        <w:gridCol w:w="1488"/>
        <w:gridCol w:w="1641"/>
      </w:tblGrid>
      <w:tr>
        <w:trPr>
          <w:trHeight w:val="729" w:hRule="exact"/>
        </w:trPr>
        <w:tc>
          <w:tcPr>
            <w:tcW w:w="157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．股东投入的普通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w:t>
            </w:r>
          </w:p>
        </w:tc>
        <w:tc>
          <w:tcPr>
            <w:tcW w:w="148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21" w:right="0"/>
              <w:jc w:val="left"/>
              <w:rPr>
                <w:rFonts w:ascii="Times New Roman" w:hAnsi="Times New Roman" w:cs="Times New Roman" w:eastAsia="Times New Roman" w:hint="default"/>
                <w:sz w:val="18"/>
                <w:szCs w:val="18"/>
              </w:rPr>
            </w:pPr>
            <w:r>
              <w:rPr>
                <w:rFonts w:ascii="Times New Roman"/>
                <w:sz w:val="18"/>
              </w:rPr>
              <w:t>40,801,475.00</w:t>
            </w:r>
          </w:p>
        </w:tc>
        <w:tc>
          <w:tcPr>
            <w:tcW w:w="726" w:type="dxa"/>
            <w:tcBorders>
              <w:top w:val="single" w:sz="15" w:space="0" w:color="000000"/>
              <w:left w:val="single" w:sz="4" w:space="0" w:color="000000"/>
              <w:bottom w:val="single" w:sz="4" w:space="0" w:color="000000"/>
              <w:right w:val="single" w:sz="4" w:space="0" w:color="000000"/>
            </w:tcBorders>
          </w:tcPr>
          <w:p>
            <w:pPr/>
          </w:p>
        </w:tc>
        <w:tc>
          <w:tcPr>
            <w:tcW w:w="726" w:type="dxa"/>
            <w:tcBorders>
              <w:top w:val="single" w:sz="15" w:space="0" w:color="000000"/>
              <w:left w:val="single" w:sz="4" w:space="0" w:color="000000"/>
              <w:bottom w:val="single" w:sz="4" w:space="0" w:color="000000"/>
              <w:right w:val="single" w:sz="4" w:space="0" w:color="000000"/>
            </w:tcBorders>
          </w:tcPr>
          <w:p>
            <w:pPr/>
          </w:p>
        </w:tc>
        <w:tc>
          <w:tcPr>
            <w:tcW w:w="730" w:type="dxa"/>
            <w:tcBorders>
              <w:top w:val="single" w:sz="15" w:space="0" w:color="000000"/>
              <w:left w:val="single" w:sz="4" w:space="0" w:color="000000"/>
              <w:bottom w:val="single" w:sz="4" w:space="0" w:color="000000"/>
              <w:right w:val="single" w:sz="4" w:space="0" w:color="000000"/>
            </w:tcBorders>
          </w:tcPr>
          <w:p>
            <w:pPr/>
          </w:p>
        </w:tc>
        <w:tc>
          <w:tcPr>
            <w:tcW w:w="163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1,059,279,144.26</w:t>
            </w:r>
          </w:p>
        </w:tc>
        <w:tc>
          <w:tcPr>
            <w:tcW w:w="873" w:type="dxa"/>
            <w:tcBorders>
              <w:top w:val="single" w:sz="15" w:space="0" w:color="000000"/>
              <w:left w:val="single" w:sz="4" w:space="0" w:color="000000"/>
              <w:bottom w:val="single" w:sz="4" w:space="0" w:color="000000"/>
              <w:right w:val="single" w:sz="4" w:space="0" w:color="000000"/>
            </w:tcBorders>
          </w:tcPr>
          <w:p>
            <w:pPr/>
          </w:p>
        </w:tc>
        <w:tc>
          <w:tcPr>
            <w:tcW w:w="871" w:type="dxa"/>
            <w:tcBorders>
              <w:top w:val="single" w:sz="15" w:space="0" w:color="000000"/>
              <w:left w:val="single" w:sz="4" w:space="0" w:color="000000"/>
              <w:bottom w:val="single" w:sz="4" w:space="0" w:color="000000"/>
              <w:right w:val="single" w:sz="4" w:space="0" w:color="000000"/>
            </w:tcBorders>
          </w:tcPr>
          <w:p>
            <w:pPr/>
          </w:p>
        </w:tc>
        <w:tc>
          <w:tcPr>
            <w:tcW w:w="872" w:type="dxa"/>
            <w:tcBorders>
              <w:top w:val="single" w:sz="15" w:space="0" w:color="000000"/>
              <w:left w:val="single" w:sz="4" w:space="0" w:color="000000"/>
              <w:bottom w:val="single" w:sz="4" w:space="0" w:color="000000"/>
              <w:right w:val="single" w:sz="4" w:space="0" w:color="000000"/>
            </w:tcBorders>
          </w:tcPr>
          <w:p>
            <w:pPr/>
          </w:p>
        </w:tc>
        <w:tc>
          <w:tcPr>
            <w:tcW w:w="1390" w:type="dxa"/>
            <w:tcBorders>
              <w:top w:val="single" w:sz="15" w:space="0" w:color="000000"/>
              <w:left w:val="single" w:sz="4" w:space="0" w:color="000000"/>
              <w:bottom w:val="single" w:sz="4" w:space="0" w:color="000000"/>
              <w:right w:val="single" w:sz="4" w:space="0" w:color="000000"/>
            </w:tcBorders>
          </w:tcPr>
          <w:p>
            <w:pPr/>
          </w:p>
        </w:tc>
        <w:tc>
          <w:tcPr>
            <w:tcW w:w="1488" w:type="dxa"/>
            <w:tcBorders>
              <w:top w:val="single" w:sz="15" w:space="0" w:color="000000"/>
              <w:left w:val="single" w:sz="4" w:space="0" w:color="000000"/>
              <w:bottom w:val="single" w:sz="4" w:space="0" w:color="000000"/>
              <w:right w:val="single" w:sz="4" w:space="0" w:color="000000"/>
            </w:tcBorders>
          </w:tcPr>
          <w:p>
            <w:pPr/>
          </w:p>
        </w:tc>
        <w:tc>
          <w:tcPr>
            <w:tcW w:w="164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1,100,080,619.26</w:t>
            </w:r>
          </w:p>
        </w:tc>
      </w:tr>
      <w:tr>
        <w:trPr>
          <w:trHeight w:val="714"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．其他权益工具持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有者投入资本</w:t>
            </w:r>
          </w:p>
        </w:tc>
        <w:tc>
          <w:tcPr>
            <w:tcW w:w="1488"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87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64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．股份支付计入所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有者权益的金额</w:t>
            </w:r>
          </w:p>
        </w:tc>
        <w:tc>
          <w:tcPr>
            <w:tcW w:w="1488"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87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64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88"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519,740.00</w:t>
            </w:r>
          </w:p>
        </w:tc>
        <w:tc>
          <w:tcPr>
            <w:tcW w:w="87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519,740.00</w:t>
            </w:r>
          </w:p>
        </w:tc>
      </w:tr>
      <w:tr>
        <w:trPr>
          <w:trHeight w:val="402"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488"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87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6,597,461.55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-26,417,335.25</w:t>
            </w: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-19,819,873.70</w:t>
            </w:r>
          </w:p>
        </w:tc>
      </w:tr>
      <w:tr>
        <w:trPr>
          <w:trHeight w:val="402"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88"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87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6,597,461.55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-6,597,461.55</w:t>
            </w:r>
          </w:p>
        </w:tc>
        <w:tc>
          <w:tcPr>
            <w:tcW w:w="164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．对所有者（或股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东）的分配</w:t>
            </w:r>
          </w:p>
        </w:tc>
        <w:tc>
          <w:tcPr>
            <w:tcW w:w="1488"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87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-19,819,873.70</w:t>
            </w: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-19,819,873.70</w:t>
            </w:r>
          </w:p>
        </w:tc>
      </w:tr>
      <w:tr>
        <w:trPr>
          <w:trHeight w:val="402"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88"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87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64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9"/>
              <w:jc w:val="left"/>
              <w:rPr>
                <w:rFonts w:ascii="宋体" w:hAnsi="宋体" w:cs="宋体" w:eastAsia="宋体" w:hint="default"/>
                <w:sz w:val="18"/>
                <w:szCs w:val="18"/>
              </w:rPr>
            </w:pPr>
            <w:r>
              <w:rPr>
                <w:rFonts w:ascii="宋体" w:hAnsi="宋体" w:cs="宋体" w:eastAsia="宋体" w:hint="default"/>
                <w:sz w:val="18"/>
                <w:szCs w:val="18"/>
              </w:rPr>
              <w:t>（四）所有者权益 内部结转</w:t>
            </w:r>
          </w:p>
        </w:tc>
        <w:tc>
          <w:tcPr>
            <w:tcW w:w="1488"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87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64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．资本公积转增资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本（或股本）</w:t>
            </w:r>
          </w:p>
        </w:tc>
        <w:tc>
          <w:tcPr>
            <w:tcW w:w="1488"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87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64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．盈余公积转增资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本（或股本）</w:t>
            </w:r>
          </w:p>
        </w:tc>
        <w:tc>
          <w:tcPr>
            <w:tcW w:w="1488"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87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64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．盈余公积弥补亏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损</w:t>
            </w:r>
          </w:p>
        </w:tc>
        <w:tc>
          <w:tcPr>
            <w:tcW w:w="1488"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87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64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88"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87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64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488"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87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64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488"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87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64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488"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87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64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488"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87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641"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160" w:left="130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1574"/>
        <w:gridCol w:w="1488"/>
        <w:gridCol w:w="726"/>
        <w:gridCol w:w="726"/>
        <w:gridCol w:w="730"/>
        <w:gridCol w:w="1637"/>
        <w:gridCol w:w="873"/>
        <w:gridCol w:w="871"/>
        <w:gridCol w:w="872"/>
        <w:gridCol w:w="1390"/>
        <w:gridCol w:w="1488"/>
        <w:gridCol w:w="1641"/>
      </w:tblGrid>
      <w:tr>
        <w:trPr>
          <w:trHeight w:val="416" w:hRule="exact"/>
        </w:trPr>
        <w:tc>
          <w:tcPr>
            <w:tcW w:w="157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8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1"/>
              <w:ind w:left="331" w:right="0"/>
              <w:jc w:val="left"/>
              <w:rPr>
                <w:rFonts w:ascii="Times New Roman" w:hAnsi="Times New Roman" w:cs="Times New Roman" w:eastAsia="Times New Roman" w:hint="default"/>
                <w:sz w:val="18"/>
                <w:szCs w:val="18"/>
              </w:rPr>
            </w:pPr>
            <w:r>
              <w:rPr>
                <w:rFonts w:ascii="Times New Roman"/>
                <w:sz w:val="18"/>
              </w:rPr>
              <w:t>216,596,780.00</w:t>
            </w:r>
          </w:p>
        </w:tc>
        <w:tc>
          <w:tcPr>
            <w:tcW w:w="726" w:type="dxa"/>
            <w:tcBorders>
              <w:top w:val="single" w:sz="15" w:space="0" w:color="000000"/>
              <w:left w:val="single" w:sz="4" w:space="0" w:color="000000"/>
              <w:bottom w:val="single" w:sz="4" w:space="0" w:color="000000"/>
              <w:right w:val="single" w:sz="4" w:space="0" w:color="000000"/>
            </w:tcBorders>
          </w:tcPr>
          <w:p>
            <w:pPr/>
          </w:p>
        </w:tc>
        <w:tc>
          <w:tcPr>
            <w:tcW w:w="726" w:type="dxa"/>
            <w:tcBorders>
              <w:top w:val="single" w:sz="15" w:space="0" w:color="000000"/>
              <w:left w:val="single" w:sz="4" w:space="0" w:color="000000"/>
              <w:bottom w:val="single" w:sz="4" w:space="0" w:color="000000"/>
              <w:right w:val="single" w:sz="4" w:space="0" w:color="000000"/>
            </w:tcBorders>
          </w:tcPr>
          <w:p>
            <w:pPr/>
          </w:p>
        </w:tc>
        <w:tc>
          <w:tcPr>
            <w:tcW w:w="730" w:type="dxa"/>
            <w:tcBorders>
              <w:top w:val="single" w:sz="15" w:space="0" w:color="000000"/>
              <w:left w:val="single" w:sz="4" w:space="0" w:color="000000"/>
              <w:bottom w:val="single" w:sz="4" w:space="0" w:color="000000"/>
              <w:right w:val="single" w:sz="4" w:space="0" w:color="000000"/>
            </w:tcBorders>
          </w:tcPr>
          <w:p>
            <w:pPr/>
          </w:p>
        </w:tc>
        <w:tc>
          <w:tcPr>
            <w:tcW w:w="163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1"/>
              <w:ind w:left="344" w:right="0"/>
              <w:jc w:val="left"/>
              <w:rPr>
                <w:rFonts w:ascii="Times New Roman" w:hAnsi="Times New Roman" w:cs="Times New Roman" w:eastAsia="Times New Roman" w:hint="default"/>
                <w:sz w:val="18"/>
                <w:szCs w:val="18"/>
              </w:rPr>
            </w:pPr>
            <w:r>
              <w:rPr>
                <w:rFonts w:ascii="Times New Roman"/>
                <w:sz w:val="18"/>
              </w:rPr>
              <w:t>1,337,770,080.87</w:t>
            </w:r>
          </w:p>
        </w:tc>
        <w:tc>
          <w:tcPr>
            <w:tcW w:w="873" w:type="dxa"/>
            <w:tcBorders>
              <w:top w:val="single" w:sz="15" w:space="0" w:color="000000"/>
              <w:left w:val="single" w:sz="4" w:space="0" w:color="000000"/>
              <w:bottom w:val="single" w:sz="4" w:space="0" w:color="000000"/>
              <w:right w:val="single" w:sz="4" w:space="0" w:color="000000"/>
            </w:tcBorders>
          </w:tcPr>
          <w:p>
            <w:pPr/>
          </w:p>
        </w:tc>
        <w:tc>
          <w:tcPr>
            <w:tcW w:w="871" w:type="dxa"/>
            <w:tcBorders>
              <w:top w:val="single" w:sz="15" w:space="0" w:color="000000"/>
              <w:left w:val="single" w:sz="4" w:space="0" w:color="000000"/>
              <w:bottom w:val="single" w:sz="4" w:space="0" w:color="000000"/>
              <w:right w:val="single" w:sz="4" w:space="0" w:color="000000"/>
            </w:tcBorders>
          </w:tcPr>
          <w:p>
            <w:pPr/>
          </w:p>
        </w:tc>
        <w:tc>
          <w:tcPr>
            <w:tcW w:w="872" w:type="dxa"/>
            <w:tcBorders>
              <w:top w:val="single" w:sz="15" w:space="0" w:color="000000"/>
              <w:left w:val="single" w:sz="4" w:space="0" w:color="000000"/>
              <w:bottom w:val="single" w:sz="4" w:space="0" w:color="000000"/>
              <w:right w:val="single" w:sz="4" w:space="0" w:color="000000"/>
            </w:tcBorders>
          </w:tcPr>
          <w:p>
            <w:pPr/>
          </w:p>
        </w:tc>
        <w:tc>
          <w:tcPr>
            <w:tcW w:w="139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1"/>
              <w:ind w:left="322" w:right="0"/>
              <w:jc w:val="left"/>
              <w:rPr>
                <w:rFonts w:ascii="Times New Roman" w:hAnsi="Times New Roman" w:cs="Times New Roman" w:eastAsia="Times New Roman" w:hint="default"/>
                <w:sz w:val="18"/>
                <w:szCs w:val="18"/>
              </w:rPr>
            </w:pPr>
            <w:r>
              <w:rPr>
                <w:rFonts w:ascii="Times New Roman"/>
                <w:sz w:val="18"/>
              </w:rPr>
              <w:t>51,561,214.62</w:t>
            </w:r>
          </w:p>
        </w:tc>
        <w:tc>
          <w:tcPr>
            <w:tcW w:w="148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1"/>
              <w:ind w:left="331" w:right="0"/>
              <w:jc w:val="left"/>
              <w:rPr>
                <w:rFonts w:ascii="Times New Roman" w:hAnsi="Times New Roman" w:cs="Times New Roman" w:eastAsia="Times New Roman" w:hint="default"/>
                <w:sz w:val="18"/>
                <w:szCs w:val="18"/>
              </w:rPr>
            </w:pPr>
            <w:r>
              <w:rPr>
                <w:rFonts w:ascii="Times New Roman"/>
                <w:sz w:val="18"/>
              </w:rPr>
              <w:t>255,302,769.02</w:t>
            </w:r>
          </w:p>
        </w:tc>
        <w:tc>
          <w:tcPr>
            <w:tcW w:w="164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1"/>
              <w:ind w:left="348" w:right="0"/>
              <w:jc w:val="left"/>
              <w:rPr>
                <w:rFonts w:ascii="Times New Roman" w:hAnsi="Times New Roman" w:cs="Times New Roman" w:eastAsia="Times New Roman" w:hint="default"/>
                <w:sz w:val="18"/>
                <w:szCs w:val="18"/>
              </w:rPr>
            </w:pPr>
            <w:r>
              <w:rPr>
                <w:rFonts w:ascii="Times New Roman"/>
                <w:sz w:val="18"/>
              </w:rPr>
              <w:t>1,861,230,844.51</w:t>
            </w:r>
          </w:p>
        </w:tc>
      </w:tr>
    </w:tbl>
    <w:p>
      <w:pPr>
        <w:pStyle w:val="BodyText"/>
        <w:spacing w:line="240" w:lineRule="auto" w:before="51"/>
        <w:ind w:left="140" w:right="0"/>
        <w:jc w:val="left"/>
      </w:pPr>
      <w:r>
        <w:rPr/>
        <w:t>上期金额</w:t>
      </w:r>
    </w:p>
    <w:p>
      <w:pPr>
        <w:pStyle w:val="BodyText"/>
        <w:spacing w:line="240" w:lineRule="auto" w:before="117"/>
        <w:ind w:left="0" w:right="1535"/>
        <w:jc w:val="right"/>
      </w:pPr>
      <w:r>
        <w:rPr/>
        <w:t>单位：元</w:t>
      </w:r>
    </w:p>
    <w:p>
      <w:pPr>
        <w:spacing w:line="240" w:lineRule="auto" w:before="0"/>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1570"/>
        <w:gridCol w:w="1516"/>
        <w:gridCol w:w="734"/>
        <w:gridCol w:w="734"/>
        <w:gridCol w:w="737"/>
        <w:gridCol w:w="1505"/>
        <w:gridCol w:w="884"/>
        <w:gridCol w:w="880"/>
        <w:gridCol w:w="883"/>
        <w:gridCol w:w="1404"/>
        <w:gridCol w:w="1505"/>
        <w:gridCol w:w="1652"/>
      </w:tblGrid>
      <w:tr>
        <w:trPr>
          <w:trHeight w:val="402" w:hRule="exact"/>
        </w:trPr>
        <w:tc>
          <w:tcPr>
            <w:tcW w:w="1570" w:type="dxa"/>
            <w:tcBorders>
              <w:top w:val="single" w:sz="4" w:space="0" w:color="000000"/>
              <w:left w:val="single" w:sz="4" w:space="0" w:color="000000"/>
              <w:bottom w:val="nil" w:sz="6" w:space="0" w:color="auto"/>
              <w:right w:val="single" w:sz="4" w:space="0" w:color="000000"/>
            </w:tcBorders>
            <w:shd w:val="clear" w:color="auto" w:fill="D2D2D2"/>
          </w:tcPr>
          <w:p>
            <w:pPr/>
          </w:p>
        </w:tc>
        <w:tc>
          <w:tcPr>
            <w:tcW w:w="124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06" w:hRule="exact"/>
        </w:trPr>
        <w:tc>
          <w:tcPr>
            <w:tcW w:w="157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16" w:type="dxa"/>
            <w:tcBorders>
              <w:top w:val="single" w:sz="4" w:space="0" w:color="000000"/>
              <w:left w:val="single" w:sz="4" w:space="0" w:color="000000"/>
              <w:bottom w:val="nil" w:sz="6" w:space="0" w:color="auto"/>
              <w:right w:val="single" w:sz="4" w:space="0" w:color="000000"/>
            </w:tcBorders>
            <w:shd w:val="clear" w:color="auto" w:fill="D2D2D2"/>
          </w:tcPr>
          <w:p>
            <w:pPr/>
          </w:p>
        </w:tc>
        <w:tc>
          <w:tcPr>
            <w:tcW w:w="220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5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505"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tcBorders>
              <w:top w:val="single" w:sz="4" w:space="0" w:color="000000"/>
              <w:left w:val="single" w:sz="4" w:space="0" w:color="000000"/>
              <w:bottom w:val="nil" w:sz="6" w:space="0" w:color="auto"/>
              <w:right w:val="single" w:sz="4" w:space="0" w:color="000000"/>
            </w:tcBorders>
            <w:shd w:val="clear" w:color="auto" w:fill="D2D2D2"/>
          </w:tcPr>
          <w:p>
            <w:pPr/>
          </w:p>
        </w:tc>
        <w:tc>
          <w:tcPr>
            <w:tcW w:w="8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254" w:right="73"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883" w:type="dxa"/>
            <w:tcBorders>
              <w:top w:val="single" w:sz="4" w:space="0" w:color="000000"/>
              <w:left w:val="single" w:sz="4" w:space="0" w:color="000000"/>
              <w:bottom w:val="nil" w:sz="6" w:space="0" w:color="auto"/>
              <w:right w:val="single" w:sz="4" w:space="0" w:color="000000"/>
            </w:tcBorders>
            <w:shd w:val="clear" w:color="auto" w:fill="D2D2D2"/>
          </w:tcPr>
          <w:p>
            <w:pPr/>
          </w:p>
        </w:tc>
        <w:tc>
          <w:tcPr>
            <w:tcW w:w="14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05" w:type="dxa"/>
            <w:tcBorders>
              <w:top w:val="single" w:sz="4" w:space="0" w:color="000000"/>
              <w:left w:val="single" w:sz="4" w:space="0" w:color="000000"/>
              <w:bottom w:val="nil" w:sz="6" w:space="0" w:color="auto"/>
              <w:right w:val="single" w:sz="4" w:space="0" w:color="000000"/>
            </w:tcBorders>
            <w:shd w:val="clear" w:color="auto" w:fill="D2D2D2"/>
          </w:tcPr>
          <w:p>
            <w:pPr/>
          </w:p>
        </w:tc>
        <w:tc>
          <w:tcPr>
            <w:tcW w:w="165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4" w:hRule="exact"/>
        </w:trPr>
        <w:tc>
          <w:tcPr>
            <w:tcW w:w="1570" w:type="dxa"/>
            <w:vMerge/>
            <w:tcBorders>
              <w:left w:val="single" w:sz="4" w:space="0" w:color="000000"/>
              <w:bottom w:val="nil" w:sz="6" w:space="0" w:color="auto"/>
              <w:right w:val="single" w:sz="4" w:space="0" w:color="000000"/>
            </w:tcBorders>
            <w:shd w:val="clear" w:color="auto" w:fill="D2D2D2"/>
          </w:tcPr>
          <w:p>
            <w:pPr/>
          </w:p>
        </w:tc>
        <w:tc>
          <w:tcPr>
            <w:tcW w:w="15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206" w:type="dxa"/>
            <w:gridSpan w:val="3"/>
            <w:vMerge/>
            <w:tcBorders>
              <w:left w:val="single" w:sz="4" w:space="0" w:color="000000"/>
              <w:bottom w:val="single" w:sz="4" w:space="0" w:color="000000"/>
              <w:right w:val="single" w:sz="4" w:space="0" w:color="000000"/>
            </w:tcBorders>
            <w:shd w:val="clear" w:color="auto" w:fill="D2D2D2"/>
          </w:tcPr>
          <w:p>
            <w:pPr/>
          </w:p>
        </w:tc>
        <w:tc>
          <w:tcPr>
            <w:tcW w:w="150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8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pacing w:val="-74"/>
                <w:sz w:val="18"/>
                <w:szCs w:val="18"/>
              </w:rPr>
              <w:t>：</w:t>
            </w:r>
            <w:r>
              <w:rPr>
                <w:rFonts w:ascii="宋体" w:hAnsi="宋体" w:cs="宋体" w:eastAsia="宋体" w:hint="default"/>
                <w:sz w:val="18"/>
                <w:szCs w:val="18"/>
              </w:rPr>
              <w:t>库存股</w:t>
            </w:r>
          </w:p>
        </w:tc>
        <w:tc>
          <w:tcPr>
            <w:tcW w:w="880" w:type="dxa"/>
            <w:vMerge/>
            <w:tcBorders>
              <w:left w:val="single" w:sz="4" w:space="0" w:color="000000"/>
              <w:right w:val="single" w:sz="4" w:space="0" w:color="000000"/>
            </w:tcBorders>
            <w:shd w:val="clear" w:color="auto" w:fill="D2D2D2"/>
          </w:tcPr>
          <w:p>
            <w:pPr/>
          </w:p>
        </w:tc>
        <w:tc>
          <w:tcPr>
            <w:tcW w:w="8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75"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40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50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9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6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89"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9" w:hRule="exact"/>
        </w:trPr>
        <w:tc>
          <w:tcPr>
            <w:tcW w:w="1570" w:type="dxa"/>
            <w:vMerge w:val="restart"/>
            <w:tcBorders>
              <w:top w:val="nil" w:sz="6" w:space="0" w:color="auto"/>
              <w:left w:val="single" w:sz="4" w:space="0" w:color="000000"/>
              <w:right w:val="single" w:sz="4" w:space="0" w:color="000000"/>
            </w:tcBorders>
            <w:shd w:val="clear" w:color="auto" w:fill="D2D2D2"/>
          </w:tcPr>
          <w:p>
            <w:pPr/>
          </w:p>
        </w:tc>
        <w:tc>
          <w:tcPr>
            <w:tcW w:w="1516" w:type="dxa"/>
            <w:vMerge/>
            <w:tcBorders>
              <w:left w:val="single" w:sz="4" w:space="0" w:color="000000"/>
              <w:bottom w:val="nil" w:sz="6" w:space="0" w:color="auto"/>
              <w:right w:val="single" w:sz="4" w:space="0" w:color="000000"/>
            </w:tcBorders>
            <w:shd w:val="clear" w:color="auto" w:fill="D2D2D2"/>
          </w:tcPr>
          <w:p>
            <w:pPr/>
          </w:p>
        </w:tc>
        <w:tc>
          <w:tcPr>
            <w:tcW w:w="7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92"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7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7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05" w:type="dxa"/>
            <w:vMerge/>
            <w:tcBorders>
              <w:left w:val="single" w:sz="4" w:space="0" w:color="000000"/>
              <w:bottom w:val="nil" w:sz="6" w:space="0" w:color="auto"/>
              <w:right w:val="single" w:sz="4" w:space="0" w:color="000000"/>
            </w:tcBorders>
            <w:shd w:val="clear" w:color="auto" w:fill="D2D2D2"/>
          </w:tcPr>
          <w:p>
            <w:pPr/>
          </w:p>
        </w:tc>
        <w:tc>
          <w:tcPr>
            <w:tcW w:w="884" w:type="dxa"/>
            <w:vMerge/>
            <w:tcBorders>
              <w:left w:val="single" w:sz="4" w:space="0" w:color="000000"/>
              <w:bottom w:val="nil" w:sz="6" w:space="0" w:color="auto"/>
              <w:right w:val="single" w:sz="4" w:space="0" w:color="000000"/>
            </w:tcBorders>
            <w:shd w:val="clear" w:color="auto" w:fill="D2D2D2"/>
          </w:tcPr>
          <w:p>
            <w:pPr/>
          </w:p>
        </w:tc>
        <w:tc>
          <w:tcPr>
            <w:tcW w:w="880" w:type="dxa"/>
            <w:vMerge/>
            <w:tcBorders>
              <w:left w:val="single" w:sz="4" w:space="0" w:color="000000"/>
              <w:right w:val="single" w:sz="4" w:space="0" w:color="000000"/>
            </w:tcBorders>
            <w:shd w:val="clear" w:color="auto" w:fill="D2D2D2"/>
          </w:tcPr>
          <w:p>
            <w:pPr/>
          </w:p>
        </w:tc>
        <w:tc>
          <w:tcPr>
            <w:tcW w:w="883" w:type="dxa"/>
            <w:vMerge/>
            <w:tcBorders>
              <w:left w:val="single" w:sz="4" w:space="0" w:color="000000"/>
              <w:bottom w:val="nil" w:sz="6" w:space="0" w:color="auto"/>
              <w:right w:val="single" w:sz="4" w:space="0" w:color="000000"/>
            </w:tcBorders>
            <w:shd w:val="clear" w:color="auto" w:fill="D2D2D2"/>
          </w:tcPr>
          <w:p>
            <w:pPr/>
          </w:p>
        </w:tc>
        <w:tc>
          <w:tcPr>
            <w:tcW w:w="1404" w:type="dxa"/>
            <w:vMerge/>
            <w:tcBorders>
              <w:left w:val="single" w:sz="4" w:space="0" w:color="000000"/>
              <w:bottom w:val="nil" w:sz="6" w:space="0" w:color="auto"/>
              <w:right w:val="single" w:sz="4" w:space="0" w:color="000000"/>
            </w:tcBorders>
            <w:shd w:val="clear" w:color="auto" w:fill="D2D2D2"/>
          </w:tcPr>
          <w:p>
            <w:pPr/>
          </w:p>
        </w:tc>
        <w:tc>
          <w:tcPr>
            <w:tcW w:w="1505" w:type="dxa"/>
            <w:vMerge/>
            <w:tcBorders>
              <w:left w:val="single" w:sz="4" w:space="0" w:color="000000"/>
              <w:bottom w:val="nil" w:sz="6" w:space="0" w:color="auto"/>
              <w:right w:val="single" w:sz="4" w:space="0" w:color="000000"/>
            </w:tcBorders>
            <w:shd w:val="clear" w:color="auto" w:fill="D2D2D2"/>
          </w:tcPr>
          <w:p>
            <w:pPr/>
          </w:p>
        </w:tc>
        <w:tc>
          <w:tcPr>
            <w:tcW w:w="1652"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570" w:type="dxa"/>
            <w:vMerge/>
            <w:tcBorders>
              <w:left w:val="single" w:sz="4" w:space="0" w:color="000000"/>
              <w:bottom w:val="single" w:sz="4" w:space="0" w:color="000000"/>
              <w:right w:val="single" w:sz="4" w:space="0" w:color="000000"/>
            </w:tcBorders>
            <w:shd w:val="clear" w:color="auto" w:fill="D2D2D2"/>
          </w:tcPr>
          <w:p>
            <w:pPr/>
          </w:p>
        </w:tc>
        <w:tc>
          <w:tcPr>
            <w:tcW w:w="1516" w:type="dxa"/>
            <w:tcBorders>
              <w:top w:val="nil" w:sz="6" w:space="0" w:color="auto"/>
              <w:left w:val="single" w:sz="4" w:space="0" w:color="000000"/>
              <w:bottom w:val="single" w:sz="4" w:space="0" w:color="000000"/>
              <w:right w:val="single" w:sz="4" w:space="0" w:color="000000"/>
            </w:tcBorders>
            <w:shd w:val="clear" w:color="auto" w:fill="D2D2D2"/>
          </w:tcPr>
          <w:p>
            <w:pPr/>
          </w:p>
        </w:tc>
        <w:tc>
          <w:tcPr>
            <w:tcW w:w="734" w:type="dxa"/>
            <w:vMerge/>
            <w:tcBorders>
              <w:left w:val="single" w:sz="4" w:space="0" w:color="000000"/>
              <w:bottom w:val="single" w:sz="4" w:space="0" w:color="000000"/>
              <w:right w:val="single" w:sz="4" w:space="0" w:color="000000"/>
            </w:tcBorders>
            <w:shd w:val="clear" w:color="auto" w:fill="D2D2D2"/>
          </w:tcPr>
          <w:p>
            <w:pPr/>
          </w:p>
        </w:tc>
        <w:tc>
          <w:tcPr>
            <w:tcW w:w="734" w:type="dxa"/>
            <w:vMerge/>
            <w:tcBorders>
              <w:left w:val="single" w:sz="4" w:space="0" w:color="000000"/>
              <w:bottom w:val="single" w:sz="4" w:space="0" w:color="000000"/>
              <w:right w:val="single" w:sz="4" w:space="0" w:color="000000"/>
            </w:tcBorders>
            <w:shd w:val="clear" w:color="auto" w:fill="D2D2D2"/>
          </w:tcPr>
          <w:p>
            <w:pPr/>
          </w:p>
        </w:tc>
        <w:tc>
          <w:tcPr>
            <w:tcW w:w="737" w:type="dxa"/>
            <w:vMerge/>
            <w:tcBorders>
              <w:left w:val="single" w:sz="4" w:space="0" w:color="000000"/>
              <w:bottom w:val="single" w:sz="4" w:space="0" w:color="000000"/>
              <w:right w:val="single" w:sz="4" w:space="0" w:color="000000"/>
            </w:tcBorders>
            <w:shd w:val="clear" w:color="auto" w:fill="D2D2D2"/>
          </w:tcPr>
          <w:p>
            <w:pPr/>
          </w:p>
        </w:tc>
        <w:tc>
          <w:tcPr>
            <w:tcW w:w="1505"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tcBorders>
              <w:top w:val="nil" w:sz="6" w:space="0" w:color="auto"/>
              <w:left w:val="single" w:sz="4" w:space="0" w:color="000000"/>
              <w:bottom w:val="single" w:sz="4" w:space="0" w:color="000000"/>
              <w:right w:val="single" w:sz="4" w:space="0" w:color="000000"/>
            </w:tcBorders>
            <w:shd w:val="clear" w:color="auto" w:fill="D2D2D2"/>
          </w:tcPr>
          <w:p>
            <w:pPr/>
          </w:p>
        </w:tc>
        <w:tc>
          <w:tcPr>
            <w:tcW w:w="880" w:type="dxa"/>
            <w:vMerge/>
            <w:tcBorders>
              <w:left w:val="single" w:sz="4" w:space="0" w:color="000000"/>
              <w:bottom w:val="single" w:sz="4" w:space="0" w:color="000000"/>
              <w:right w:val="single" w:sz="4" w:space="0" w:color="000000"/>
            </w:tcBorders>
            <w:shd w:val="clear" w:color="auto" w:fill="D2D2D2"/>
          </w:tcPr>
          <w:p>
            <w:pPr/>
          </w:p>
        </w:tc>
        <w:tc>
          <w:tcPr>
            <w:tcW w:w="8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4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05" w:type="dxa"/>
            <w:tcBorders>
              <w:top w:val="nil" w:sz="6" w:space="0" w:color="auto"/>
              <w:left w:val="single" w:sz="4" w:space="0" w:color="000000"/>
              <w:bottom w:val="single" w:sz="4" w:space="0" w:color="000000"/>
              <w:right w:val="single" w:sz="4" w:space="0" w:color="000000"/>
            </w:tcBorders>
            <w:shd w:val="clear" w:color="auto" w:fill="D2D2D2"/>
          </w:tcPr>
          <w:p>
            <w:pPr/>
          </w:p>
        </w:tc>
        <w:tc>
          <w:tcPr>
            <w:tcW w:w="165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5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175,795,305.00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277,971,196.61</w:t>
            </w:r>
          </w:p>
        </w:tc>
        <w:tc>
          <w:tcPr>
            <w:tcW w:w="884"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18" w:space="0" w:color="D2D2D2"/>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38,841,898.35</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192,291,951.16</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684,900,351.12</w:t>
            </w:r>
          </w:p>
        </w:tc>
      </w:tr>
      <w:tr>
        <w:trPr>
          <w:trHeight w:val="714"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w:t>
            </w:r>
            <w:r>
              <w:rPr>
                <w:rFonts w:ascii="宋体" w:hAnsi="宋体" w:cs="宋体" w:eastAsia="宋体" w:hint="default"/>
                <w:spacing w:val="-83"/>
                <w:sz w:val="18"/>
                <w:szCs w:val="18"/>
              </w:rPr>
              <w:t>：</w:t>
            </w:r>
            <w:r>
              <w:rPr>
                <w:rFonts w:ascii="宋体" w:hAnsi="宋体" w:cs="宋体" w:eastAsia="宋体" w:hint="default"/>
                <w:sz w:val="18"/>
                <w:szCs w:val="18"/>
              </w:rPr>
              <w:t>会计政策变</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更</w:t>
            </w:r>
          </w:p>
        </w:tc>
        <w:tc>
          <w:tcPr>
            <w:tcW w:w="1516" w:type="dxa"/>
            <w:tcBorders>
              <w:top w:val="single" w:sz="4" w:space="0" w:color="000000"/>
              <w:left w:val="single" w:sz="13" w:space="0" w:color="D2D2D2"/>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前期差错</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更正</w:t>
            </w:r>
          </w:p>
        </w:tc>
        <w:tc>
          <w:tcPr>
            <w:tcW w:w="1516" w:type="dxa"/>
            <w:tcBorders>
              <w:top w:val="single" w:sz="4" w:space="0" w:color="000000"/>
              <w:left w:val="single" w:sz="13" w:space="0" w:color="D2D2D2"/>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16" w:type="dxa"/>
            <w:tcBorders>
              <w:top w:val="single" w:sz="4" w:space="0" w:color="000000"/>
              <w:left w:val="single" w:sz="13" w:space="0" w:color="D2D2D2"/>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5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175,795,305.00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277,971,196.61</w:t>
            </w:r>
          </w:p>
        </w:tc>
        <w:tc>
          <w:tcPr>
            <w:tcW w:w="884"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38,841,898.35</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192,291,951.16</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684,900,351.12</w:t>
            </w:r>
          </w:p>
        </w:tc>
      </w:tr>
      <w:tr>
        <w:trPr>
          <w:trHeight w:val="1026"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9"/>
              <w:jc w:val="both"/>
              <w:rPr>
                <w:rFonts w:ascii="宋体" w:hAnsi="宋体" w:cs="宋体" w:eastAsia="宋体" w:hint="default"/>
                <w:sz w:val="18"/>
                <w:szCs w:val="18"/>
              </w:rPr>
            </w:pPr>
            <w:r>
              <w:rPr>
                <w:rFonts w:ascii="宋体" w:hAnsi="宋体" w:cs="宋体" w:eastAsia="宋体" w:hint="default"/>
                <w:spacing w:val="-10"/>
                <w:sz w:val="18"/>
                <w:szCs w:val="18"/>
              </w:rPr>
              <w:t>三、本期增减变动金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7"/>
                <w:sz w:val="18"/>
                <w:szCs w:val="18"/>
              </w:rPr>
              <w:t>额（减少以</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号填</w:t>
            </w:r>
            <w:r>
              <w:rPr>
                <w:rFonts w:ascii="宋体" w:hAnsi="宋体" w:cs="宋体" w:eastAsia="宋体" w:hint="default"/>
                <w:spacing w:val="-84"/>
                <w:sz w:val="18"/>
                <w:szCs w:val="18"/>
              </w:rPr>
              <w:t> </w:t>
            </w:r>
            <w:r>
              <w:rPr>
                <w:rFonts w:ascii="宋体" w:hAnsi="宋体" w:cs="宋体" w:eastAsia="宋体" w:hint="default"/>
                <w:sz w:val="18"/>
                <w:szCs w:val="18"/>
              </w:rPr>
              <w:t>列）</w:t>
            </w:r>
          </w:p>
        </w:tc>
        <w:tc>
          <w:tcPr>
            <w:tcW w:w="1516" w:type="dxa"/>
            <w:tcBorders>
              <w:top w:val="single" w:sz="4" w:space="0" w:color="000000"/>
              <w:left w:val="single" w:sz="13" w:space="0" w:color="D2D2D2"/>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6,121,854.72</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23,453,537.61</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29,575,392.33</w:t>
            </w:r>
          </w:p>
        </w:tc>
      </w:tr>
      <w:tr>
        <w:trPr>
          <w:trHeight w:val="402"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83"/>
                <w:sz w:val="18"/>
                <w:szCs w:val="18"/>
              </w:rPr>
              <w:t>）</w:t>
            </w:r>
            <w:r>
              <w:rPr>
                <w:rFonts w:ascii="宋体" w:hAnsi="宋体" w:cs="宋体" w:eastAsia="宋体" w:hint="default"/>
                <w:sz w:val="18"/>
                <w:szCs w:val="18"/>
              </w:rPr>
              <w:t>综合收益总额</w:t>
            </w:r>
          </w:p>
        </w:tc>
        <w:tc>
          <w:tcPr>
            <w:tcW w:w="1516" w:type="dxa"/>
            <w:tcBorders>
              <w:top w:val="single" w:sz="4" w:space="0" w:color="000000"/>
              <w:left w:val="single" w:sz="13" w:space="0" w:color="D2D2D2"/>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61,218,547.23</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61,218,547.23</w:t>
            </w:r>
          </w:p>
        </w:tc>
      </w:tr>
      <w:tr>
        <w:trPr>
          <w:trHeight w:val="714"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9"/>
              <w:jc w:val="left"/>
              <w:rPr>
                <w:rFonts w:ascii="宋体" w:hAnsi="宋体" w:cs="宋体" w:eastAsia="宋体" w:hint="default"/>
                <w:sz w:val="18"/>
                <w:szCs w:val="18"/>
              </w:rPr>
            </w:pPr>
            <w:r>
              <w:rPr>
                <w:rFonts w:ascii="宋体" w:hAnsi="宋体" w:cs="宋体" w:eastAsia="宋体" w:hint="default"/>
                <w:spacing w:val="-10"/>
                <w:sz w:val="18"/>
                <w:szCs w:val="18"/>
              </w:rPr>
              <w:t>（二）所有者投入和</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减少资本</w:t>
            </w:r>
          </w:p>
        </w:tc>
        <w:tc>
          <w:tcPr>
            <w:tcW w:w="1516" w:type="dxa"/>
            <w:tcBorders>
              <w:top w:val="single" w:sz="4" w:space="0" w:color="000000"/>
              <w:left w:val="single" w:sz="13" w:space="0" w:color="D2D2D2"/>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1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 股</w:t>
            </w:r>
          </w:p>
        </w:tc>
        <w:tc>
          <w:tcPr>
            <w:tcW w:w="1516" w:type="dxa"/>
            <w:tcBorders>
              <w:top w:val="single" w:sz="4" w:space="0" w:color="000000"/>
              <w:left w:val="single" w:sz="13" w:space="0" w:color="D2D2D2"/>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1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 有者投入资本</w:t>
            </w:r>
          </w:p>
        </w:tc>
        <w:tc>
          <w:tcPr>
            <w:tcW w:w="1516" w:type="dxa"/>
            <w:tcBorders>
              <w:top w:val="single" w:sz="4" w:space="0" w:color="000000"/>
              <w:left w:val="single" w:sz="13" w:space="0" w:color="D2D2D2"/>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1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 有者权益的金额</w:t>
            </w:r>
          </w:p>
        </w:tc>
        <w:tc>
          <w:tcPr>
            <w:tcW w:w="1516" w:type="dxa"/>
            <w:tcBorders>
              <w:top w:val="single" w:sz="4" w:space="0" w:color="000000"/>
              <w:left w:val="single" w:sz="13" w:space="0" w:color="D2D2D2"/>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160" w:left="130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1593"/>
        <w:gridCol w:w="1505"/>
        <w:gridCol w:w="734"/>
        <w:gridCol w:w="734"/>
        <w:gridCol w:w="737"/>
        <w:gridCol w:w="1505"/>
        <w:gridCol w:w="884"/>
        <w:gridCol w:w="880"/>
        <w:gridCol w:w="883"/>
        <w:gridCol w:w="1404"/>
        <w:gridCol w:w="1505"/>
        <w:gridCol w:w="1652"/>
      </w:tblGrid>
      <w:tr>
        <w:trPr>
          <w:trHeight w:val="416" w:hRule="exact"/>
        </w:trPr>
        <w:tc>
          <w:tcPr>
            <w:tcW w:w="159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505" w:type="dxa"/>
            <w:tcBorders>
              <w:top w:val="single" w:sz="15" w:space="0" w:color="000000"/>
              <w:left w:val="single" w:sz="4" w:space="0" w:color="000000"/>
              <w:bottom w:val="single" w:sz="4" w:space="0" w:color="000000"/>
              <w:right w:val="single" w:sz="4" w:space="0" w:color="000000"/>
            </w:tcBorders>
          </w:tcPr>
          <w:p>
            <w:pPr/>
          </w:p>
        </w:tc>
        <w:tc>
          <w:tcPr>
            <w:tcW w:w="734" w:type="dxa"/>
            <w:tcBorders>
              <w:top w:val="single" w:sz="15" w:space="0" w:color="000000"/>
              <w:left w:val="single" w:sz="4" w:space="0" w:color="000000"/>
              <w:bottom w:val="single" w:sz="4" w:space="0" w:color="000000"/>
              <w:right w:val="single" w:sz="4" w:space="0" w:color="000000"/>
            </w:tcBorders>
          </w:tcPr>
          <w:p>
            <w:pPr/>
          </w:p>
        </w:tc>
        <w:tc>
          <w:tcPr>
            <w:tcW w:w="734" w:type="dxa"/>
            <w:tcBorders>
              <w:top w:val="single" w:sz="15" w:space="0" w:color="000000"/>
              <w:left w:val="single" w:sz="4" w:space="0" w:color="000000"/>
              <w:bottom w:val="single" w:sz="4" w:space="0" w:color="000000"/>
              <w:right w:val="single" w:sz="4" w:space="0" w:color="000000"/>
            </w:tcBorders>
          </w:tcPr>
          <w:p>
            <w:pPr/>
          </w:p>
        </w:tc>
        <w:tc>
          <w:tcPr>
            <w:tcW w:w="737" w:type="dxa"/>
            <w:tcBorders>
              <w:top w:val="single" w:sz="15" w:space="0" w:color="000000"/>
              <w:left w:val="single" w:sz="4" w:space="0" w:color="000000"/>
              <w:bottom w:val="single" w:sz="4" w:space="0" w:color="000000"/>
              <w:right w:val="single" w:sz="4" w:space="0" w:color="000000"/>
            </w:tcBorders>
          </w:tcPr>
          <w:p>
            <w:pPr/>
          </w:p>
        </w:tc>
        <w:tc>
          <w:tcPr>
            <w:tcW w:w="1505" w:type="dxa"/>
            <w:tcBorders>
              <w:top w:val="single" w:sz="15" w:space="0" w:color="000000"/>
              <w:left w:val="single" w:sz="4" w:space="0" w:color="000000"/>
              <w:bottom w:val="single" w:sz="4" w:space="0" w:color="000000"/>
              <w:right w:val="single" w:sz="4" w:space="0" w:color="000000"/>
            </w:tcBorders>
          </w:tcPr>
          <w:p>
            <w:pPr/>
          </w:p>
        </w:tc>
        <w:tc>
          <w:tcPr>
            <w:tcW w:w="884" w:type="dxa"/>
            <w:tcBorders>
              <w:top w:val="single" w:sz="15" w:space="0" w:color="000000"/>
              <w:left w:val="single" w:sz="4" w:space="0" w:color="000000"/>
              <w:bottom w:val="single" w:sz="4" w:space="0" w:color="000000"/>
              <w:right w:val="single" w:sz="4" w:space="0" w:color="000000"/>
            </w:tcBorders>
          </w:tcPr>
          <w:p>
            <w:pPr/>
          </w:p>
        </w:tc>
        <w:tc>
          <w:tcPr>
            <w:tcW w:w="880" w:type="dxa"/>
            <w:tcBorders>
              <w:top w:val="single" w:sz="15" w:space="0" w:color="000000"/>
              <w:left w:val="single" w:sz="4" w:space="0" w:color="000000"/>
              <w:bottom w:val="single" w:sz="4" w:space="0" w:color="000000"/>
              <w:right w:val="single" w:sz="4" w:space="0" w:color="000000"/>
            </w:tcBorders>
          </w:tcPr>
          <w:p>
            <w:pPr/>
          </w:p>
        </w:tc>
        <w:tc>
          <w:tcPr>
            <w:tcW w:w="883" w:type="dxa"/>
            <w:tcBorders>
              <w:top w:val="single" w:sz="15" w:space="0" w:color="000000"/>
              <w:left w:val="single" w:sz="4" w:space="0" w:color="000000"/>
              <w:bottom w:val="single" w:sz="4" w:space="0" w:color="000000"/>
              <w:right w:val="single" w:sz="4" w:space="0" w:color="000000"/>
            </w:tcBorders>
          </w:tcPr>
          <w:p>
            <w:pPr/>
          </w:p>
        </w:tc>
        <w:tc>
          <w:tcPr>
            <w:tcW w:w="1404" w:type="dxa"/>
            <w:tcBorders>
              <w:top w:val="single" w:sz="15" w:space="0" w:color="000000"/>
              <w:left w:val="single" w:sz="4" w:space="0" w:color="000000"/>
              <w:bottom w:val="single" w:sz="4" w:space="0" w:color="000000"/>
              <w:right w:val="single" w:sz="4" w:space="0" w:color="000000"/>
            </w:tcBorders>
          </w:tcPr>
          <w:p>
            <w:pPr/>
          </w:p>
        </w:tc>
        <w:tc>
          <w:tcPr>
            <w:tcW w:w="1505" w:type="dxa"/>
            <w:tcBorders>
              <w:top w:val="single" w:sz="15" w:space="0" w:color="000000"/>
              <w:left w:val="single" w:sz="4" w:space="0" w:color="000000"/>
              <w:bottom w:val="single" w:sz="4" w:space="0" w:color="000000"/>
              <w:right w:val="single" w:sz="4" w:space="0" w:color="000000"/>
            </w:tcBorders>
          </w:tcPr>
          <w:p>
            <w:pPr/>
          </w:p>
        </w:tc>
        <w:tc>
          <w:tcPr>
            <w:tcW w:w="1652" w:type="dxa"/>
            <w:tcBorders>
              <w:top w:val="single" w:sz="15" w:space="0" w:color="000000"/>
              <w:left w:val="single" w:sz="4" w:space="0" w:color="000000"/>
              <w:bottom w:val="single" w:sz="4" w:space="0" w:color="000000"/>
              <w:right w:val="single" w:sz="4" w:space="0" w:color="000000"/>
            </w:tcBorders>
          </w:tcPr>
          <w:p>
            <w:pPr/>
          </w:p>
        </w:tc>
      </w:tr>
      <w:tr>
        <w:trPr>
          <w:trHeight w:val="402"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0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6,121,854.72</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-37,765,009.62</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-31,643,154.90</w:t>
            </w:r>
          </w:p>
        </w:tc>
      </w:tr>
      <w:tr>
        <w:trPr>
          <w:trHeight w:val="402"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50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6,121,854.72</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-6,121,854.72</w:t>
            </w:r>
          </w:p>
        </w:tc>
        <w:tc>
          <w:tcPr>
            <w:tcW w:w="165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 东）的分配</w:t>
            </w:r>
          </w:p>
        </w:tc>
        <w:tc>
          <w:tcPr>
            <w:tcW w:w="150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-31,643,154.90</w:t>
            </w:r>
          </w:p>
        </w:tc>
        <w:tc>
          <w:tcPr>
            <w:tcW w:w="16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50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10"/>
                <w:sz w:val="18"/>
                <w:szCs w:val="18"/>
              </w:rPr>
              <w:t>（四）所有者权益内</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部结转</w:t>
            </w:r>
          </w:p>
        </w:tc>
        <w:tc>
          <w:tcPr>
            <w:tcW w:w="150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 本（或股本）</w:t>
            </w:r>
          </w:p>
        </w:tc>
        <w:tc>
          <w:tcPr>
            <w:tcW w:w="150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 本（或股本）</w:t>
            </w:r>
          </w:p>
        </w:tc>
        <w:tc>
          <w:tcPr>
            <w:tcW w:w="150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 损</w:t>
            </w:r>
          </w:p>
        </w:tc>
        <w:tc>
          <w:tcPr>
            <w:tcW w:w="150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50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50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50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50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0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6" w:right="0"/>
              <w:jc w:val="left"/>
              <w:rPr>
                <w:rFonts w:ascii="Times New Roman" w:hAnsi="Times New Roman" w:cs="Times New Roman" w:eastAsia="Times New Roman" w:hint="default"/>
                <w:sz w:val="18"/>
                <w:szCs w:val="18"/>
              </w:rPr>
            </w:pPr>
            <w:r>
              <w:rPr>
                <w:rFonts w:ascii="Times New Roman"/>
                <w:sz w:val="18"/>
              </w:rPr>
              <w:t>175,795,305.00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6" w:right="0"/>
              <w:jc w:val="left"/>
              <w:rPr>
                <w:rFonts w:ascii="Times New Roman" w:hAnsi="Times New Roman" w:cs="Times New Roman" w:eastAsia="Times New Roman" w:hint="default"/>
                <w:sz w:val="18"/>
                <w:szCs w:val="18"/>
              </w:rPr>
            </w:pPr>
            <w:r>
              <w:rPr>
                <w:rFonts w:ascii="Times New Roman"/>
                <w:sz w:val="18"/>
              </w:rPr>
              <w:t>277,971,196.61</w:t>
            </w:r>
          </w:p>
        </w:tc>
        <w:tc>
          <w:tcPr>
            <w:tcW w:w="884"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44,963,753.07</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215,745,488.77</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714,475,743.45</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79" w:top="1060" w:bottom="1160" w:left="1300" w:right="0"/>
        </w:sectPr>
      </w:pPr>
    </w:p>
    <w:p>
      <w:pPr>
        <w:spacing w:line="240" w:lineRule="auto" w:before="11"/>
        <w:rPr>
          <w:rFonts w:ascii="Times New Roman" w:hAnsi="Times New Roman" w:cs="Times New Roman" w:eastAsia="Times New Roman" w:hint="default"/>
          <w:sz w:val="26"/>
          <w:szCs w:val="26"/>
        </w:rPr>
      </w:pPr>
      <w:r>
        <w:rPr/>
        <w:pict>
          <v:shape style="position:absolute;margin-left:527.820007pt;margin-top:803.419983pt;width:67.5pt;height:38.5pt;mso-position-horizontal-relative:page;mso-position-vertical-relative:page;z-index:2104" type="#_x0000_t75" stroked="false">
            <v:imagedata r:id="rId27" o:title=""/>
          </v:shape>
        </w:pict>
      </w:r>
    </w:p>
    <w:p>
      <w:pPr>
        <w:pStyle w:val="Heading2"/>
        <w:spacing w:line="240" w:lineRule="auto" w:before="26"/>
        <w:ind w:right="0"/>
        <w:jc w:val="left"/>
        <w:rPr>
          <w:b w:val="0"/>
          <w:bCs w:val="0"/>
        </w:rPr>
      </w:pPr>
      <w:bookmarkStart w:name="三、公司基本情况" w:id="159"/>
      <w:bookmarkEnd w:id="159"/>
      <w:r>
        <w:rPr>
          <w:b w:val="0"/>
          <w:bCs w:val="0"/>
        </w:rPr>
      </w:r>
      <w:r>
        <w:rPr/>
        <w:t>三、公司基本情况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153" w:right="0"/>
        <w:jc w:val="left"/>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34"/>
        </w:rPr>
        <w:t> </w:t>
      </w:r>
      <w:r>
        <w:rPr/>
        <w:t>公司概况</w:t>
      </w:r>
      <w:r>
        <w:rPr>
          <w:b w:val="0"/>
          <w:bCs w:val="0"/>
        </w:rPr>
      </w:r>
    </w:p>
    <w:p>
      <w:pPr>
        <w:pStyle w:val="BodyText"/>
        <w:spacing w:line="302" w:lineRule="auto" w:before="46"/>
        <w:ind w:left="607" w:right="1033"/>
        <w:jc w:val="left"/>
      </w:pPr>
      <w:r>
        <w:rPr>
          <w:spacing w:val="-2"/>
        </w:rPr>
        <w:t>北京久其软件股份有限公司（以下简称公司）成立于</w:t>
      </w:r>
      <w:r>
        <w:rPr>
          <w:rFonts w:ascii="Times New Roman" w:hAnsi="Times New Roman" w:cs="Times New Roman" w:eastAsia="Times New Roman" w:hint="default"/>
          <w:spacing w:val="-2"/>
        </w:rPr>
        <w:t>1999</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16</w:t>
      </w:r>
      <w:r>
        <w:rPr>
          <w:spacing w:val="-2"/>
        </w:rPr>
        <w:t>日，原名为北京久其北方软件技术有限公司，是经北</w:t>
      </w:r>
      <w:r>
        <w:rPr>
          <w:spacing w:val="-68"/>
        </w:rPr>
        <w:t> </w:t>
      </w:r>
      <w:r>
        <w:rPr>
          <w:spacing w:val="-68"/>
        </w:rPr>
      </w:r>
      <w:r>
        <w:rPr>
          <w:spacing w:val="-2"/>
        </w:rPr>
        <w:t>京市工商行政管理局批准，由自然人董泰湘出资</w:t>
      </w:r>
      <w:r>
        <w:rPr>
          <w:rFonts w:ascii="Times New Roman" w:hAnsi="Times New Roman" w:cs="Times New Roman" w:eastAsia="Times New Roman" w:hint="default"/>
          <w:spacing w:val="-2"/>
        </w:rPr>
        <w:t>25</w:t>
      </w:r>
      <w:r>
        <w:rPr>
          <w:spacing w:val="-2"/>
        </w:rPr>
        <w:t>万元，自然人赵福君出资</w:t>
      </w:r>
      <w:r>
        <w:rPr>
          <w:rFonts w:ascii="Times New Roman" w:hAnsi="Times New Roman" w:cs="Times New Roman" w:eastAsia="Times New Roman" w:hint="default"/>
          <w:spacing w:val="-2"/>
        </w:rPr>
        <w:t>20</w:t>
      </w:r>
      <w:r>
        <w:rPr>
          <w:spacing w:val="-2"/>
        </w:rPr>
        <w:t>万元，自然人欧阳曜出资</w:t>
      </w:r>
      <w:r>
        <w:rPr>
          <w:rFonts w:ascii="Times New Roman" w:hAnsi="Times New Roman" w:cs="Times New Roman" w:eastAsia="Times New Roman" w:hint="default"/>
          <w:spacing w:val="-2"/>
        </w:rPr>
        <w:t>5</w:t>
      </w:r>
      <w:r>
        <w:rPr>
          <w:spacing w:val="-2"/>
        </w:rPr>
        <w:t>万元设立的有</w:t>
      </w:r>
      <w:r>
        <w:rPr>
          <w:spacing w:val="-69"/>
        </w:rPr>
        <w:t> </w:t>
      </w:r>
      <w:r>
        <w:rPr/>
        <w:t>限责任公司。上述出资业经北京中之光会计师事务所审验，并出具（</w:t>
      </w:r>
      <w:r>
        <w:rPr>
          <w:rFonts w:ascii="Times New Roman" w:hAnsi="Times New Roman" w:cs="Times New Roman" w:eastAsia="Times New Roman" w:hint="default"/>
        </w:rPr>
        <w:t>99</w:t>
      </w:r>
      <w:r>
        <w:rPr/>
        <w:t>）京之验字第</w:t>
      </w:r>
      <w:r>
        <w:rPr>
          <w:rFonts w:ascii="Times New Roman" w:hAnsi="Times New Roman" w:cs="Times New Roman" w:eastAsia="Times New Roman" w:hint="default"/>
        </w:rPr>
        <w:t>606</w:t>
      </w:r>
      <w:r>
        <w:rPr/>
        <w:t>号验资报告予以验证。 </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10</w:t>
      </w:r>
      <w:r>
        <w:rPr>
          <w:spacing w:val="-2"/>
        </w:rPr>
        <w:t>日，公司增加注册资本</w:t>
      </w:r>
      <w:r>
        <w:rPr>
          <w:rFonts w:ascii="Times New Roman" w:hAnsi="Times New Roman" w:cs="Times New Roman" w:eastAsia="Times New Roman" w:hint="default"/>
          <w:spacing w:val="-2"/>
        </w:rPr>
        <w:t>450</w:t>
      </w:r>
      <w:r>
        <w:rPr>
          <w:spacing w:val="-2"/>
        </w:rPr>
        <w:t>万元，分别由原股东董泰湘以货币形式追加投资</w:t>
      </w:r>
      <w:r>
        <w:rPr>
          <w:rFonts w:ascii="Times New Roman" w:hAnsi="Times New Roman" w:cs="Times New Roman" w:eastAsia="Times New Roman" w:hint="default"/>
          <w:spacing w:val="-2"/>
        </w:rPr>
        <w:t>225</w:t>
      </w:r>
      <w:r>
        <w:rPr>
          <w:spacing w:val="-2"/>
        </w:rPr>
        <w:t>万元，原股东赵福君以货币</w:t>
      </w:r>
      <w:r>
        <w:rPr>
          <w:spacing w:val="-61"/>
        </w:rPr>
        <w:t> </w:t>
      </w:r>
      <w:r>
        <w:rPr>
          <w:spacing w:val="-61"/>
        </w:rPr>
      </w:r>
      <w:r>
        <w:rPr>
          <w:spacing w:val="-2"/>
        </w:rPr>
        <w:t>形式追加投资</w:t>
      </w:r>
      <w:r>
        <w:rPr>
          <w:rFonts w:ascii="Times New Roman" w:hAnsi="Times New Roman" w:cs="Times New Roman" w:eastAsia="Times New Roman" w:hint="default"/>
          <w:spacing w:val="-2"/>
        </w:rPr>
        <w:t>160</w:t>
      </w:r>
      <w:r>
        <w:rPr>
          <w:spacing w:val="-2"/>
        </w:rPr>
        <w:t>万元，原股东欧阳曜以货币形式追加投资</w:t>
      </w:r>
      <w:r>
        <w:rPr>
          <w:rFonts w:ascii="Times New Roman" w:hAnsi="Times New Roman" w:cs="Times New Roman" w:eastAsia="Times New Roman" w:hint="default"/>
          <w:spacing w:val="-2"/>
        </w:rPr>
        <w:t>45</w:t>
      </w:r>
      <w:r>
        <w:rPr>
          <w:spacing w:val="-2"/>
        </w:rPr>
        <w:t>万元，新股东李坤奇以货币形式投资</w:t>
      </w:r>
      <w:r>
        <w:rPr>
          <w:rFonts w:ascii="Times New Roman" w:hAnsi="Times New Roman" w:cs="Times New Roman" w:eastAsia="Times New Roman" w:hint="default"/>
          <w:spacing w:val="-2"/>
        </w:rPr>
        <w:t>10</w:t>
      </w:r>
      <w:r>
        <w:rPr>
          <w:spacing w:val="-2"/>
        </w:rPr>
        <w:t>万元，新股东施瑞</w:t>
      </w:r>
      <w:r>
        <w:rPr>
          <w:spacing w:val="-67"/>
        </w:rPr>
        <w:t> </w:t>
      </w:r>
      <w:r>
        <w:rPr>
          <w:spacing w:val="-67"/>
        </w:rPr>
      </w:r>
      <w:r>
        <w:rPr>
          <w:spacing w:val="-4"/>
        </w:rPr>
        <w:t>丰以货币形式投资</w:t>
      </w:r>
      <w:r>
        <w:rPr>
          <w:rFonts w:ascii="Times New Roman" w:hAnsi="Times New Roman" w:cs="Times New Roman" w:eastAsia="Times New Roman" w:hint="default"/>
          <w:spacing w:val="-4"/>
        </w:rPr>
        <w:t>10</w:t>
      </w:r>
      <w:r>
        <w:rPr>
          <w:spacing w:val="-4"/>
        </w:rPr>
        <w:t>万元，公司的注册资本由</w:t>
      </w:r>
      <w:r>
        <w:rPr>
          <w:rFonts w:ascii="Times New Roman" w:hAnsi="Times New Roman" w:cs="Times New Roman" w:eastAsia="Times New Roman" w:hint="default"/>
          <w:spacing w:val="-4"/>
        </w:rPr>
        <w:t>50</w:t>
      </w:r>
      <w:r>
        <w:rPr>
          <w:spacing w:val="-4"/>
        </w:rPr>
        <w:t>万元变更为</w:t>
      </w:r>
      <w:r>
        <w:rPr>
          <w:rFonts w:ascii="Times New Roman" w:hAnsi="Times New Roman" w:cs="Times New Roman" w:eastAsia="Times New Roman" w:hint="default"/>
          <w:spacing w:val="-4"/>
        </w:rPr>
        <w:t>500</w:t>
      </w:r>
      <w:r>
        <w:rPr>
          <w:spacing w:val="-4"/>
        </w:rPr>
        <w:t>万元。上述出资业经中科华会计师事务所有限公司审验，</w:t>
      </w:r>
      <w:r>
        <w:rPr>
          <w:spacing w:val="-42"/>
        </w:rPr>
        <w:t> </w:t>
      </w:r>
      <w:r>
        <w:rPr>
          <w:spacing w:val="-42"/>
        </w:rPr>
      </w:r>
      <w:r>
        <w:rPr/>
        <w:t>并出具中科华验字（</w:t>
      </w:r>
      <w:r>
        <w:rPr>
          <w:rFonts w:ascii="Times New Roman" w:hAnsi="Times New Roman" w:cs="Times New Roman" w:eastAsia="Times New Roman" w:hint="default"/>
        </w:rPr>
        <w:t>2001</w:t>
      </w:r>
      <w:r>
        <w:rPr/>
        <w:t>）第</w:t>
      </w:r>
      <w:r>
        <w:rPr>
          <w:rFonts w:ascii="Times New Roman" w:hAnsi="Times New Roman" w:cs="Times New Roman" w:eastAsia="Times New Roman" w:hint="default"/>
        </w:rPr>
        <w:t>1420</w:t>
      </w:r>
      <w:r>
        <w:rPr/>
        <w:t>号验资报告予以验证。 </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23</w:t>
      </w:r>
      <w:r>
        <w:rPr>
          <w:spacing w:val="-2"/>
        </w:rPr>
        <w:t>日，公司再次增加注册资金，新增的</w:t>
      </w:r>
      <w:r>
        <w:rPr>
          <w:rFonts w:ascii="Times New Roman" w:hAnsi="Times New Roman" w:cs="Times New Roman" w:eastAsia="Times New Roman" w:hint="default"/>
          <w:spacing w:val="-2"/>
        </w:rPr>
        <w:t>260</w:t>
      </w:r>
      <w:r>
        <w:rPr>
          <w:spacing w:val="-2"/>
        </w:rPr>
        <w:t>万元，全部由新股东北京久其科技投资有限公司以无形资产（非</w:t>
      </w:r>
      <w:r>
        <w:rPr>
          <w:spacing w:val="-64"/>
        </w:rPr>
        <w:t> </w:t>
      </w:r>
      <w:r>
        <w:rPr>
          <w:spacing w:val="-64"/>
        </w:rPr>
      </w:r>
      <w:r>
        <w:rPr/>
        <w:t>专利技术）</w:t>
      </w:r>
      <w:r>
        <w:rPr>
          <w:rFonts w:ascii="Times New Roman" w:hAnsi="Times New Roman" w:cs="Times New Roman" w:eastAsia="Times New Roman" w:hint="default"/>
        </w:rPr>
        <w:t>——“</w:t>
      </w:r>
      <w:r>
        <w:rPr/>
        <w:t>久其报表数据管理系统</w:t>
      </w:r>
      <w:r>
        <w:rPr>
          <w:rFonts w:ascii="Times New Roman" w:hAnsi="Times New Roman" w:cs="Times New Roman" w:eastAsia="Times New Roman" w:hint="default"/>
        </w:rPr>
        <w:t>V2.0”</w:t>
      </w:r>
      <w:r>
        <w:rPr/>
        <w:t>软件技术的形式追加投入。公司的注册资本由原来的</w:t>
      </w:r>
      <w:r>
        <w:rPr>
          <w:rFonts w:ascii="Times New Roman" w:hAnsi="Times New Roman" w:cs="Times New Roman" w:eastAsia="Times New Roman" w:hint="default"/>
        </w:rPr>
        <w:t>500</w:t>
      </w:r>
      <w:r>
        <w:rPr/>
        <w:t>万元变更为</w:t>
      </w:r>
      <w:r>
        <w:rPr>
          <w:rFonts w:ascii="Times New Roman" w:hAnsi="Times New Roman" w:cs="Times New Roman" w:eastAsia="Times New Roman" w:hint="default"/>
        </w:rPr>
        <w:t>760</w:t>
      </w:r>
      <w:r>
        <w:rPr>
          <w:rFonts w:ascii="Times New Roman" w:hAnsi="Times New Roman" w:cs="Times New Roman" w:eastAsia="Times New Roman" w:hint="default"/>
          <w:spacing w:val="-25"/>
        </w:rPr>
        <w:t> </w:t>
      </w:r>
      <w:r>
        <w:rPr>
          <w:rFonts w:ascii="Times New Roman" w:hAnsi="Times New Roman" w:cs="Times New Roman" w:eastAsia="Times New Roman" w:hint="default"/>
          <w:spacing w:val="-25"/>
        </w:rPr>
      </w:r>
      <w:r>
        <w:rPr/>
        <w:t>万元。上述增资业经中鸿信建元会计师事务所有限公司审验，并出具中鸿信建元验字（</w:t>
      </w:r>
      <w:r>
        <w:rPr>
          <w:rFonts w:ascii="Times New Roman" w:hAnsi="Times New Roman" w:cs="Times New Roman" w:eastAsia="Times New Roman" w:hint="default"/>
        </w:rPr>
        <w:t>2001</w:t>
      </w:r>
      <w:r>
        <w:rPr/>
        <w:t>）第</w:t>
      </w:r>
      <w:r>
        <w:rPr>
          <w:rFonts w:ascii="Times New Roman" w:hAnsi="Times New Roman" w:cs="Times New Roman" w:eastAsia="Times New Roman" w:hint="default"/>
        </w:rPr>
        <w:t>56</w:t>
      </w:r>
      <w:r>
        <w:rPr/>
        <w:t>号验资报告予以验</w:t>
      </w:r>
      <w:r>
        <w:rPr>
          <w:spacing w:val="-86"/>
        </w:rPr>
        <w:t> </w:t>
      </w:r>
      <w:r>
        <w:rPr>
          <w:spacing w:val="-86"/>
        </w:rPr>
      </w:r>
      <w:r>
        <w:rPr/>
        <w:t>证。 </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18</w:t>
      </w:r>
      <w:r>
        <w:rPr/>
        <w:t>日，经京政体改股函</w:t>
      </w:r>
      <w:r>
        <w:rPr>
          <w:rFonts w:ascii="Times New Roman" w:hAnsi="Times New Roman" w:cs="Times New Roman" w:eastAsia="Times New Roman" w:hint="default"/>
        </w:rPr>
        <w:t>[2001]65</w:t>
      </w:r>
      <w:r>
        <w:rPr/>
        <w:t>号文批准，公司整体改制为北京久其软件股份有限公司，并以截至</w:t>
      </w:r>
      <w:r>
        <w:rPr>
          <w:rFonts w:ascii="Times New Roman" w:hAnsi="Times New Roman" w:cs="Times New Roman" w:eastAsia="Times New Roman" w:hint="default"/>
        </w:rPr>
        <w:t>2001</w:t>
      </w:r>
      <w:r>
        <w:rPr/>
        <w:t>年</w:t>
      </w:r>
    </w:p>
    <w:p>
      <w:pPr>
        <w:pStyle w:val="BodyText"/>
        <w:spacing w:line="300" w:lineRule="auto" w:before="11"/>
        <w:ind w:left="607" w:right="1129"/>
        <w:jc w:val="left"/>
      </w:pP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日止经中鸿信建元会计师事务所有限公司审计的净资产</w:t>
      </w:r>
      <w:r>
        <w:rPr>
          <w:rFonts w:ascii="Times New Roman" w:hAnsi="Times New Roman" w:cs="Times New Roman" w:eastAsia="Times New Roman" w:hint="default"/>
        </w:rPr>
        <w:t>45,740,037.00</w:t>
      </w:r>
      <w:r>
        <w:rPr/>
        <w:t>元为基准，按</w:t>
      </w:r>
      <w:r>
        <w:rPr>
          <w:rFonts w:ascii="Times New Roman" w:hAnsi="Times New Roman" w:cs="Times New Roman" w:eastAsia="Times New Roman" w:hint="default"/>
        </w:rPr>
        <w:t>1</w:t>
      </w:r>
      <w:r>
        <w:rPr/>
        <w:t>：</w:t>
      </w:r>
      <w:r>
        <w:rPr>
          <w:rFonts w:ascii="Times New Roman" w:hAnsi="Times New Roman" w:cs="Times New Roman" w:eastAsia="Times New Roman" w:hint="default"/>
        </w:rPr>
        <w:t>1</w:t>
      </w:r>
      <w:r>
        <w:rPr/>
        <w:t>的比例折股，改制后公</w:t>
      </w:r>
      <w:r>
        <w:rPr>
          <w:spacing w:val="-50"/>
        </w:rPr>
        <w:t> </w:t>
      </w:r>
      <w:r>
        <w:rPr>
          <w:spacing w:val="-50"/>
        </w:rPr>
      </w:r>
      <w:r>
        <w:rPr/>
        <w:t>司注册资本</w:t>
      </w:r>
      <w:r>
        <w:rPr>
          <w:rFonts w:ascii="Times New Roman" w:hAnsi="Times New Roman" w:cs="Times New Roman" w:eastAsia="Times New Roman" w:hint="default"/>
        </w:rPr>
        <w:t>45,740,037.00</w:t>
      </w:r>
      <w:r>
        <w:rPr/>
        <w:t>元，其中北京久其科技投资有限公司出资人民币</w:t>
      </w:r>
      <w:r>
        <w:rPr>
          <w:rFonts w:ascii="Times New Roman" w:hAnsi="Times New Roman" w:cs="Times New Roman" w:eastAsia="Times New Roman" w:hint="default"/>
        </w:rPr>
        <w:t>15,643,093.00</w:t>
      </w:r>
      <w:r>
        <w:rPr/>
        <w:t>元，占注册资本的</w:t>
      </w:r>
      <w:r>
        <w:rPr>
          <w:rFonts w:ascii="Times New Roman" w:hAnsi="Times New Roman" w:cs="Times New Roman" w:eastAsia="Times New Roman" w:hint="default"/>
        </w:rPr>
        <w:t>34.20%</w:t>
      </w:r>
      <w:r>
        <w:rPr/>
        <w:t>；董</w:t>
      </w:r>
      <w:r>
        <w:rPr>
          <w:spacing w:val="-23"/>
        </w:rPr>
        <w:t> </w:t>
      </w:r>
      <w:r>
        <w:rPr/>
        <w:t>泰湘出资人民币</w:t>
      </w:r>
      <w:r>
        <w:rPr>
          <w:rFonts w:ascii="Times New Roman" w:hAnsi="Times New Roman" w:cs="Times New Roman" w:eastAsia="Times New Roman" w:hint="default"/>
        </w:rPr>
        <w:t>15,048,472.00</w:t>
      </w:r>
      <w:r>
        <w:rPr/>
        <w:t>元，占注册资本的</w:t>
      </w:r>
      <w:r>
        <w:rPr>
          <w:rFonts w:ascii="Times New Roman" w:hAnsi="Times New Roman" w:cs="Times New Roman" w:eastAsia="Times New Roman" w:hint="default"/>
        </w:rPr>
        <w:t>32.90%</w:t>
      </w:r>
      <w:r>
        <w:rPr/>
        <w:t>；赵福君出资人民币</w:t>
      </w:r>
      <w:r>
        <w:rPr>
          <w:rFonts w:ascii="Times New Roman" w:hAnsi="Times New Roman" w:cs="Times New Roman" w:eastAsia="Times New Roman" w:hint="default"/>
        </w:rPr>
        <w:t>10,840,390.00</w:t>
      </w:r>
      <w:r>
        <w:rPr/>
        <w:t>元，占注册资本的</w:t>
      </w:r>
      <w:r>
        <w:rPr>
          <w:rFonts w:ascii="Times New Roman" w:hAnsi="Times New Roman" w:cs="Times New Roman" w:eastAsia="Times New Roman" w:hint="default"/>
        </w:rPr>
        <w:t>23.70%</w:t>
      </w:r>
      <w:r>
        <w:rPr/>
        <w:t>；</w:t>
      </w:r>
      <w:r>
        <w:rPr>
          <w:spacing w:val="-37"/>
        </w:rPr>
        <w:t> </w:t>
      </w:r>
      <w:r>
        <w:rPr/>
        <w:t>欧阳曜出资人民币</w:t>
      </w:r>
      <w:r>
        <w:rPr>
          <w:rFonts w:ascii="Times New Roman" w:hAnsi="Times New Roman" w:cs="Times New Roman" w:eastAsia="Times New Roman" w:hint="default"/>
        </w:rPr>
        <w:t>3,018,842.00</w:t>
      </w:r>
      <w:r>
        <w:rPr/>
        <w:t>元，占注册资本的</w:t>
      </w:r>
      <w:r>
        <w:rPr>
          <w:rFonts w:ascii="Times New Roman" w:hAnsi="Times New Roman" w:cs="Times New Roman" w:eastAsia="Times New Roman" w:hint="default"/>
        </w:rPr>
        <w:t>6.60%</w:t>
      </w:r>
      <w:r>
        <w:rPr/>
        <w:t>；李坤奇出资人民币</w:t>
      </w:r>
      <w:r>
        <w:rPr>
          <w:rFonts w:ascii="Times New Roman" w:hAnsi="Times New Roman" w:cs="Times New Roman" w:eastAsia="Times New Roman" w:hint="default"/>
        </w:rPr>
        <w:t>594,620.00</w:t>
      </w:r>
      <w:r>
        <w:rPr/>
        <w:t>元，占注册资本的</w:t>
      </w:r>
      <w:r>
        <w:rPr>
          <w:rFonts w:ascii="Times New Roman" w:hAnsi="Times New Roman" w:cs="Times New Roman" w:eastAsia="Times New Roman" w:hint="default"/>
        </w:rPr>
        <w:t>1.30%</w:t>
      </w:r>
      <w:r>
        <w:rPr/>
        <w:t>；施瑞</w:t>
      </w:r>
      <w:r>
        <w:rPr>
          <w:spacing w:val="-80"/>
        </w:rPr>
        <w:t> </w:t>
      </w:r>
      <w:r>
        <w:rPr>
          <w:spacing w:val="-1"/>
        </w:rPr>
        <w:t>丰出资人民币</w:t>
      </w:r>
      <w:r>
        <w:rPr>
          <w:rFonts w:ascii="Times New Roman" w:hAnsi="Times New Roman" w:cs="Times New Roman" w:eastAsia="Times New Roman" w:hint="default"/>
          <w:spacing w:val="-1"/>
        </w:rPr>
        <w:t>594,620.00</w:t>
      </w:r>
      <w:r>
        <w:rPr>
          <w:spacing w:val="-1"/>
        </w:rPr>
        <w:t>元，占注册资本的</w:t>
      </w:r>
      <w:r>
        <w:rPr>
          <w:rFonts w:ascii="Times New Roman" w:hAnsi="Times New Roman" w:cs="Times New Roman" w:eastAsia="Times New Roman" w:hint="default"/>
          <w:spacing w:val="-1"/>
        </w:rPr>
        <w:t>1.30%</w:t>
      </w:r>
      <w:r>
        <w:rPr>
          <w:spacing w:val="-1"/>
        </w:rPr>
        <w:t>。上述行为业经中鸿信建元会计师事务所有限责任公司审验，并出具</w:t>
      </w:r>
      <w:r>
        <w:rPr>
          <w:spacing w:val="-45"/>
        </w:rPr>
        <w:t> </w:t>
      </w:r>
      <w:r>
        <w:rPr>
          <w:spacing w:val="-45"/>
        </w:rPr>
      </w:r>
      <w:r>
        <w:rPr/>
        <w:t>中鸿信建元验字</w:t>
      </w:r>
      <w:r>
        <w:rPr>
          <w:rFonts w:ascii="Times New Roman" w:hAnsi="Times New Roman" w:cs="Times New Roman" w:eastAsia="Times New Roman" w:hint="default"/>
        </w:rPr>
        <w:t>[2001]</w:t>
      </w:r>
      <w:r>
        <w:rPr/>
        <w:t>第</w:t>
      </w:r>
      <w:r>
        <w:rPr>
          <w:rFonts w:ascii="Times New Roman" w:hAnsi="Times New Roman" w:cs="Times New Roman" w:eastAsia="Times New Roman" w:hint="default"/>
        </w:rPr>
        <w:t>61</w:t>
      </w:r>
      <w:r>
        <w:rPr/>
        <w:t>号验资报告予以验证。 根据本公司</w:t>
      </w:r>
      <w:r>
        <w:rPr>
          <w:rFonts w:ascii="Times New Roman" w:hAnsi="Times New Roman" w:cs="Times New Roman" w:eastAsia="Times New Roman" w:hint="default"/>
        </w:rPr>
        <w:t>2007</w:t>
      </w:r>
      <w:r>
        <w:rPr/>
        <w:t>年度和</w:t>
      </w:r>
      <w:r>
        <w:rPr>
          <w:rFonts w:ascii="Times New Roman" w:hAnsi="Times New Roman" w:cs="Times New Roman" w:eastAsia="Times New Roman" w:hint="default"/>
        </w:rPr>
        <w:t>2008</w:t>
      </w:r>
      <w:r>
        <w:rPr/>
        <w:t>年度股东大会决议和中国证券监督管理委员会证监许可</w:t>
      </w:r>
      <w:r>
        <w:rPr>
          <w:rFonts w:ascii="Times New Roman" w:hAnsi="Times New Roman" w:cs="Times New Roman" w:eastAsia="Times New Roman" w:hint="default"/>
        </w:rPr>
        <w:t>[2009]671</w:t>
      </w:r>
      <w:r>
        <w:rPr/>
        <w:t>号</w:t>
      </w:r>
      <w:r>
        <w:rPr>
          <w:rFonts w:ascii="Times New Roman" w:hAnsi="Times New Roman" w:cs="Times New Roman" w:eastAsia="Times New Roman" w:hint="default"/>
        </w:rPr>
        <w:t>“</w:t>
      </w:r>
      <w:r>
        <w:rPr/>
        <w:t>关于核准北京久其软</w:t>
      </w:r>
      <w:r>
        <w:rPr>
          <w:spacing w:val="-26"/>
        </w:rPr>
        <w:t> </w:t>
      </w:r>
      <w:r>
        <w:rPr>
          <w:spacing w:val="-26"/>
        </w:rPr>
      </w:r>
      <w:r>
        <w:rPr/>
        <w:t>件股份有限公司首次公开发行股票的批复</w:t>
      </w:r>
      <w:r>
        <w:rPr>
          <w:rFonts w:ascii="Times New Roman" w:hAnsi="Times New Roman" w:cs="Times New Roman" w:eastAsia="Times New Roman" w:hint="default"/>
        </w:rPr>
        <w:t>”</w:t>
      </w:r>
      <w:r>
        <w:rPr/>
        <w:t>规定，本公司于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4</w:t>
      </w:r>
      <w:r>
        <w:rPr/>
        <w:t>日前向不特定对象公开募集股份（</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1,530</w:t>
      </w:r>
      <w:r>
        <w:rPr>
          <w:rFonts w:ascii="Times New Roman" w:hAnsi="Times New Roman" w:cs="Times New Roman" w:eastAsia="Times New Roman" w:hint="default"/>
          <w:spacing w:val="7"/>
        </w:rPr>
        <w:t> </w:t>
      </w:r>
      <w:r>
        <w:rPr>
          <w:rFonts w:ascii="Times New Roman" w:hAnsi="Times New Roman" w:cs="Times New Roman" w:eastAsia="Times New Roman" w:hint="default"/>
          <w:spacing w:val="7"/>
        </w:rPr>
      </w:r>
      <w:r>
        <w:rPr/>
        <w:t>万股，增加注册资本</w:t>
      </w:r>
      <w:r>
        <w:rPr>
          <w:rFonts w:ascii="Times New Roman" w:hAnsi="Times New Roman" w:cs="Times New Roman" w:eastAsia="Times New Roman" w:hint="default"/>
        </w:rPr>
        <w:t>1,530</w:t>
      </w:r>
      <w:r>
        <w:rPr/>
        <w:t>万元，变更后的注册资本为人民币</w:t>
      </w:r>
      <w:r>
        <w:rPr>
          <w:rFonts w:ascii="Times New Roman" w:hAnsi="Times New Roman" w:cs="Times New Roman" w:eastAsia="Times New Roman" w:hint="default"/>
        </w:rPr>
        <w:t>6,104.0037</w:t>
      </w:r>
      <w:r>
        <w:rPr/>
        <w:t>万元，上述募集资金到位情况业经大信会计师</w:t>
      </w:r>
      <w:r>
        <w:rPr>
          <w:spacing w:val="-50"/>
        </w:rPr>
        <w:t> </w:t>
      </w:r>
      <w:r>
        <w:rPr>
          <w:spacing w:val="-50"/>
        </w:rPr>
      </w:r>
      <w:r>
        <w:rPr/>
        <w:t>事务有限公司予以验证，并出具大信验字</w:t>
      </w:r>
      <w:r>
        <w:rPr>
          <w:rFonts w:ascii="Times New Roman" w:hAnsi="Times New Roman" w:cs="Times New Roman" w:eastAsia="Times New Roman" w:hint="default"/>
        </w:rPr>
        <w:t>[2009]</w:t>
      </w:r>
      <w:r>
        <w:rPr/>
        <w:t>第</w:t>
      </w:r>
      <w:r>
        <w:rPr>
          <w:rFonts w:ascii="Times New Roman" w:hAnsi="Times New Roman" w:cs="Times New Roman" w:eastAsia="Times New Roman" w:hint="default"/>
        </w:rPr>
        <w:t>1-0021</w:t>
      </w:r>
      <w:r>
        <w:rPr/>
        <w:t>号《验资报告》。 </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5</w:t>
      </w:r>
      <w:r>
        <w:rPr/>
        <w:t>月，根据</w:t>
      </w:r>
      <w:r>
        <w:rPr>
          <w:rFonts w:ascii="Times New Roman" w:hAnsi="Times New Roman" w:cs="Times New Roman" w:eastAsia="Times New Roman" w:hint="default"/>
        </w:rPr>
        <w:t>2009</w:t>
      </w:r>
      <w:r>
        <w:rPr/>
        <w:t>年度股东大会通过的有关决议，公司以</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日总股本为基数，每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5</w:t>
      </w:r>
      <w:r>
        <w:rPr/>
        <w:t>元</w:t>
      </w:r>
    </w:p>
    <w:p>
      <w:pPr>
        <w:pStyle w:val="BodyText"/>
        <w:spacing w:line="302" w:lineRule="auto" w:before="13"/>
        <w:ind w:left="607" w:right="1130"/>
        <w:jc w:val="left"/>
      </w:pPr>
      <w:r>
        <w:rPr/>
        <w:t>（含税），共计派送现金</w:t>
      </w:r>
      <w:r>
        <w:rPr>
          <w:rFonts w:ascii="Times New Roman" w:hAnsi="Times New Roman" w:cs="Times New Roman" w:eastAsia="Times New Roman" w:hint="default"/>
        </w:rPr>
        <w:t>30,520,018.50</w:t>
      </w:r>
      <w:r>
        <w:rPr/>
        <w:t>元；并以资本公积向全体股东每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8</w:t>
      </w:r>
      <w:r>
        <w:rPr/>
        <w:t>股，共计转增</w:t>
      </w:r>
      <w:r>
        <w:rPr>
          <w:rFonts w:ascii="Times New Roman" w:hAnsi="Times New Roman" w:cs="Times New Roman" w:eastAsia="Times New Roman" w:hint="default"/>
        </w:rPr>
        <w:t>48,832,029.00</w:t>
      </w:r>
      <w:r>
        <w:rPr/>
        <w:t>股，转增 </w:t>
      </w:r>
      <w:r>
        <w:rPr>
          <w:spacing w:val="-2"/>
        </w:rPr>
        <w:t>后公司注册资本变更为</w:t>
      </w:r>
      <w:r>
        <w:rPr>
          <w:rFonts w:ascii="Times New Roman" w:hAnsi="Times New Roman" w:cs="Times New Roman" w:eastAsia="Times New Roman" w:hint="default"/>
          <w:spacing w:val="-2"/>
        </w:rPr>
        <w:t>10,987.2066</w:t>
      </w:r>
      <w:r>
        <w:rPr>
          <w:spacing w:val="-2"/>
        </w:rPr>
        <w:t>万元，上述变更业经大信会计师事务有限公司出具大信验资</w:t>
      </w:r>
      <w:r>
        <w:rPr>
          <w:rFonts w:ascii="Times New Roman" w:hAnsi="Times New Roman" w:cs="Times New Roman" w:eastAsia="Times New Roman" w:hint="default"/>
          <w:spacing w:val="-2"/>
        </w:rPr>
        <w:t>[2010]</w:t>
      </w:r>
      <w:r>
        <w:rPr>
          <w:spacing w:val="-2"/>
        </w:rPr>
        <w:t>第</w:t>
      </w:r>
      <w:r>
        <w:rPr>
          <w:rFonts w:ascii="Times New Roman" w:hAnsi="Times New Roman" w:cs="Times New Roman" w:eastAsia="Times New Roman" w:hint="default"/>
          <w:spacing w:val="-2"/>
        </w:rPr>
        <w:t>1-0030</w:t>
      </w:r>
      <w:r>
        <w:rPr>
          <w:spacing w:val="-2"/>
        </w:rPr>
        <w:t>号验资报</w:t>
      </w:r>
      <w:r>
        <w:rPr>
          <w:spacing w:val="-52"/>
        </w:rPr>
        <w:t> </w:t>
      </w:r>
      <w:r>
        <w:rPr/>
        <w:t>告予以验证。 </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月，根据</w:t>
      </w:r>
      <w:r>
        <w:rPr>
          <w:rFonts w:ascii="Times New Roman" w:hAnsi="Times New Roman" w:cs="Times New Roman" w:eastAsia="Times New Roman" w:hint="default"/>
        </w:rPr>
        <w:t>2011</w:t>
      </w:r>
      <w:r>
        <w:rPr/>
        <w:t>年度股东大会通过的有关决议，公司以</w:t>
      </w:r>
      <w:r>
        <w:rPr>
          <w:rFonts w:ascii="Times New Roman" w:hAnsi="Times New Roman" w:cs="Times New Roman" w:eastAsia="Times New Roman" w:hint="default"/>
        </w:rPr>
        <w:t>2011</w:t>
      </w:r>
      <w:r>
        <w:rPr/>
        <w:t>年末总股本</w:t>
      </w:r>
      <w:r>
        <w:rPr>
          <w:rFonts w:ascii="Times New Roman" w:hAnsi="Times New Roman" w:cs="Times New Roman" w:eastAsia="Times New Roman" w:hint="default"/>
        </w:rPr>
        <w:t>109,872,066.00</w:t>
      </w:r>
      <w:r>
        <w:rPr/>
        <w:t>股为基数，每</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股派发现 </w:t>
      </w:r>
      <w:r>
        <w:rPr>
          <w:spacing w:val="-4"/>
        </w:rPr>
        <w:t>金股利</w:t>
      </w:r>
      <w:r>
        <w:rPr>
          <w:rFonts w:ascii="Times New Roman" w:hAnsi="Times New Roman" w:cs="Times New Roman" w:eastAsia="Times New Roman" w:hint="default"/>
          <w:spacing w:val="-4"/>
        </w:rPr>
        <w:t>2</w:t>
      </w:r>
      <w:r>
        <w:rPr>
          <w:spacing w:val="-4"/>
        </w:rPr>
        <w:t>元</w:t>
      </w:r>
      <w:r>
        <w:rPr>
          <w:rFonts w:ascii="Times New Roman" w:hAnsi="Times New Roman" w:cs="Times New Roman" w:eastAsia="Times New Roman" w:hint="default"/>
          <w:spacing w:val="-4"/>
        </w:rPr>
        <w:t>(</w:t>
      </w:r>
      <w:r>
        <w:rPr>
          <w:spacing w:val="-4"/>
        </w:rPr>
        <w:t>含税</w:t>
      </w:r>
      <w:r>
        <w:rPr>
          <w:rFonts w:ascii="Times New Roman" w:hAnsi="Times New Roman" w:cs="Times New Roman" w:eastAsia="Times New Roman" w:hint="default"/>
          <w:spacing w:val="-4"/>
        </w:rPr>
        <w:t>)</w:t>
      </w:r>
      <w:r>
        <w:rPr>
          <w:spacing w:val="-4"/>
        </w:rPr>
        <w:t>，共计派发现金股利</w:t>
      </w:r>
      <w:r>
        <w:rPr>
          <w:rFonts w:ascii="Times New Roman" w:hAnsi="Times New Roman" w:cs="Times New Roman" w:eastAsia="Times New Roman" w:hint="default"/>
          <w:spacing w:val="-4"/>
        </w:rPr>
        <w:t>21,974,413.20</w:t>
      </w:r>
      <w:r>
        <w:rPr>
          <w:spacing w:val="-4"/>
        </w:rPr>
        <w:t>元；并以资本公积向全体股东每</w:t>
      </w:r>
      <w:r>
        <w:rPr>
          <w:rFonts w:ascii="Times New Roman" w:hAnsi="Times New Roman" w:cs="Times New Roman" w:eastAsia="Times New Roman" w:hint="default"/>
          <w:spacing w:val="-4"/>
        </w:rPr>
        <w:t>10</w:t>
      </w:r>
      <w:r>
        <w:rPr>
          <w:spacing w:val="-4"/>
        </w:rPr>
        <w:t>股转增</w:t>
      </w:r>
      <w:r>
        <w:rPr>
          <w:rFonts w:ascii="Times New Roman" w:hAnsi="Times New Roman" w:cs="Times New Roman" w:eastAsia="Times New Roman" w:hint="default"/>
          <w:spacing w:val="-4"/>
        </w:rPr>
        <w:t>6</w:t>
      </w:r>
      <w:r>
        <w:rPr>
          <w:spacing w:val="-4"/>
        </w:rPr>
        <w:t>股，共计转增</w:t>
      </w:r>
      <w:r>
        <w:rPr>
          <w:rFonts w:ascii="Times New Roman" w:hAnsi="Times New Roman" w:cs="Times New Roman" w:eastAsia="Times New Roman" w:hint="default"/>
          <w:spacing w:val="-4"/>
        </w:rPr>
        <w:t>65,923,239.00</w:t>
      </w:r>
      <w:r>
        <w:rPr>
          <w:rFonts w:ascii="Times New Roman" w:hAnsi="Times New Roman" w:cs="Times New Roman" w:eastAsia="Times New Roman" w:hint="default"/>
          <w:spacing w:val="22"/>
        </w:rPr>
        <w:t> </w:t>
      </w:r>
      <w:r>
        <w:rPr>
          <w:rFonts w:ascii="Times New Roman" w:hAnsi="Times New Roman" w:cs="Times New Roman" w:eastAsia="Times New Roman" w:hint="default"/>
          <w:spacing w:val="22"/>
        </w:rPr>
      </w:r>
      <w:r>
        <w:rPr/>
        <w:t>股，经转增后，公司的注册资本由原来的</w:t>
      </w:r>
      <w:r>
        <w:rPr>
          <w:rFonts w:ascii="Times New Roman" w:hAnsi="Times New Roman" w:cs="Times New Roman" w:eastAsia="Times New Roman" w:hint="default"/>
        </w:rPr>
        <w:t>10,987.2066</w:t>
      </w:r>
      <w:r>
        <w:rPr/>
        <w:t>万元变更为</w:t>
      </w:r>
      <w:r>
        <w:rPr>
          <w:rFonts w:ascii="Times New Roman" w:hAnsi="Times New Roman" w:cs="Times New Roman" w:eastAsia="Times New Roman" w:hint="default"/>
        </w:rPr>
        <w:t>17,579.5305</w:t>
      </w:r>
      <w:r>
        <w:rPr/>
        <w:t>万元，上述变更业经大信会计师事务有限</w:t>
      </w:r>
      <w:r>
        <w:rPr>
          <w:spacing w:val="1"/>
        </w:rPr>
        <w:t> </w:t>
      </w:r>
      <w:r>
        <w:rPr/>
        <w:t>公司出具大信验字</w:t>
      </w:r>
      <w:r>
        <w:rPr>
          <w:rFonts w:ascii="Times New Roman" w:hAnsi="Times New Roman" w:cs="Times New Roman" w:eastAsia="Times New Roman" w:hint="default"/>
        </w:rPr>
        <w:t>[2012]</w:t>
      </w:r>
      <w:r>
        <w:rPr/>
        <w:t>第</w:t>
      </w:r>
      <w:r>
        <w:rPr>
          <w:rFonts w:ascii="Times New Roman" w:hAnsi="Times New Roman" w:cs="Times New Roman" w:eastAsia="Times New Roman" w:hint="default"/>
        </w:rPr>
        <w:t>1-0056</w:t>
      </w:r>
      <w:r>
        <w:rPr/>
        <w:t>号验资报告予以验证。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月，根据</w:t>
      </w:r>
      <w:r>
        <w:rPr>
          <w:rFonts w:ascii="Times New Roman" w:hAnsi="Times New Roman" w:cs="Times New Roman" w:eastAsia="Times New Roman" w:hint="default"/>
        </w:rPr>
        <w:t>2014</w:t>
      </w:r>
      <w:r>
        <w:rPr/>
        <w:t>年度第二次临时股东大会有关决议、中国证券监督管理委员会证监许可〔</w:t>
      </w:r>
      <w:r>
        <w:rPr>
          <w:rFonts w:ascii="Times New Roman" w:hAnsi="Times New Roman" w:cs="Times New Roman" w:eastAsia="Times New Roman" w:hint="default"/>
        </w:rPr>
        <w:t>2014</w:t>
      </w:r>
      <w:r>
        <w:rPr/>
        <w:t>〕</w:t>
      </w:r>
      <w:r>
        <w:rPr>
          <w:rFonts w:ascii="Times New Roman" w:hAnsi="Times New Roman" w:cs="Times New Roman" w:eastAsia="Times New Roman" w:hint="default"/>
        </w:rPr>
        <w:t>1400</w:t>
      </w:r>
      <w:r>
        <w:rPr>
          <w:rFonts w:ascii="Times New Roman" w:hAnsi="Times New Roman" w:cs="Times New Roman" w:eastAsia="Times New Roman" w:hint="default"/>
          <w:spacing w:val="2"/>
        </w:rPr>
        <w:t> </w:t>
      </w:r>
      <w:r>
        <w:rPr/>
        <w:t>号《关于 核准北京久其软件股份有限公司向王新等发行股份购买资产并募集配套资金的批复》核准，公司增加注册资本人民币</w:t>
      </w:r>
      <w:r>
        <w:rPr>
          <w:spacing w:val="-87"/>
        </w:rPr>
        <w:t> </w:t>
      </w:r>
      <w:r>
        <w:rPr>
          <w:spacing w:val="-87"/>
        </w:rPr>
      </w:r>
      <w:r>
        <w:rPr>
          <w:rFonts w:ascii="Times New Roman" w:hAnsi="Times New Roman" w:cs="Times New Roman" w:eastAsia="Times New Roman" w:hint="default"/>
          <w:spacing w:val="-2"/>
        </w:rPr>
        <w:t>22,403,432</w:t>
      </w:r>
      <w:r>
        <w:rPr>
          <w:spacing w:val="-2"/>
        </w:rPr>
        <w:t>元，变更后注册资本为人民币</w:t>
      </w:r>
      <w:r>
        <w:rPr>
          <w:rFonts w:ascii="Times New Roman" w:hAnsi="Times New Roman" w:cs="Times New Roman" w:eastAsia="Times New Roman" w:hint="default"/>
          <w:spacing w:val="-2"/>
        </w:rPr>
        <w:t>198,198,737</w:t>
      </w:r>
      <w:r>
        <w:rPr>
          <w:spacing w:val="-2"/>
        </w:rPr>
        <w:t>元。上述变更业经立信会计师事务所（特殊普通合伙）出具信会师</w:t>
      </w:r>
      <w:r>
        <w:rPr>
          <w:spacing w:val="-54"/>
        </w:rPr>
        <w:t> </w:t>
      </w:r>
      <w:r>
        <w:rPr>
          <w:spacing w:val="-54"/>
        </w:rPr>
      </w:r>
      <w:r>
        <w:rPr/>
        <w:t>报字</w:t>
      </w:r>
      <w:r>
        <w:rPr>
          <w:rFonts w:ascii="Times New Roman" w:hAnsi="Times New Roman" w:cs="Times New Roman" w:eastAsia="Times New Roman" w:hint="default"/>
        </w:rPr>
        <w:t>[2015]</w:t>
      </w:r>
      <w:r>
        <w:rPr/>
        <w:t>第</w:t>
      </w:r>
      <w:r>
        <w:rPr>
          <w:rFonts w:ascii="Times New Roman" w:hAnsi="Times New Roman" w:cs="Times New Roman" w:eastAsia="Times New Roman" w:hint="default"/>
        </w:rPr>
        <w:t>710009</w:t>
      </w:r>
      <w:r>
        <w:rPr/>
        <w:t>号验资报告予以验证。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月，经</w:t>
      </w:r>
      <w:r>
        <w:rPr>
          <w:rFonts w:ascii="Times New Roman" w:hAnsi="Times New Roman" w:cs="Times New Roman" w:eastAsia="Times New Roman" w:hint="default"/>
        </w:rPr>
        <w:t>2014</w:t>
      </w:r>
      <w:r>
        <w:rPr/>
        <w:t>年度股东大会决议通过《关于定向回购王新、李勇</w:t>
      </w:r>
      <w:r>
        <w:rPr>
          <w:rFonts w:ascii="Times New Roman" w:hAnsi="Times New Roman" w:cs="Times New Roman" w:eastAsia="Times New Roman" w:hint="default"/>
        </w:rPr>
        <w:t>2014</w:t>
      </w:r>
      <w:r>
        <w:rPr/>
        <w:t>年度应补偿股份的议案》，公司于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rFonts w:ascii="Times New Roman" w:hAnsi="Times New Roman" w:cs="Times New Roman" w:eastAsia="Times New Roman" w:hint="default"/>
          <w:spacing w:val="-42"/>
        </w:rPr>
        <w:t> </w:t>
      </w:r>
      <w:r>
        <w:rPr>
          <w:spacing w:val="-2"/>
        </w:rPr>
        <w:t>月</w:t>
      </w:r>
      <w:r>
        <w:rPr>
          <w:rFonts w:ascii="Times New Roman" w:hAnsi="Times New Roman" w:cs="Times New Roman" w:eastAsia="Times New Roman" w:hint="default"/>
          <w:spacing w:val="-2"/>
        </w:rPr>
        <w:t>9</w:t>
      </w:r>
      <w:r>
        <w:rPr>
          <w:spacing w:val="-2"/>
        </w:rPr>
        <w:t>日完成了对业绩补偿股份的定向回购和注销事宜，致使公司总股本减至</w:t>
      </w:r>
      <w:r>
        <w:rPr>
          <w:rFonts w:ascii="Times New Roman" w:hAnsi="Times New Roman" w:cs="Times New Roman" w:eastAsia="Times New Roman" w:hint="default"/>
          <w:spacing w:val="-2"/>
        </w:rPr>
        <w:t>197,810,840</w:t>
      </w:r>
      <w:r>
        <w:rPr>
          <w:spacing w:val="-2"/>
        </w:rPr>
        <w:t>股。上述变更业经立信会计师事</w:t>
      </w:r>
      <w:r>
        <w:rPr>
          <w:spacing w:val="-63"/>
        </w:rPr>
        <w:t> </w:t>
      </w:r>
      <w:r>
        <w:rPr>
          <w:spacing w:val="-63"/>
        </w:rPr>
      </w:r>
      <w:r>
        <w:rPr/>
        <w:t>务所（特殊普通合伙）出具信会师报字</w:t>
      </w:r>
      <w:r>
        <w:rPr>
          <w:rFonts w:ascii="Times New Roman" w:hAnsi="Times New Roman" w:cs="Times New Roman" w:eastAsia="Times New Roman" w:hint="default"/>
        </w:rPr>
        <w:t>[2015]</w:t>
      </w:r>
      <w:r>
        <w:rPr/>
        <w:t>第</w:t>
      </w:r>
      <w:r>
        <w:rPr>
          <w:rFonts w:ascii="Times New Roman" w:hAnsi="Times New Roman" w:cs="Times New Roman" w:eastAsia="Times New Roman" w:hint="default"/>
        </w:rPr>
        <w:t>711263</w:t>
      </w:r>
      <w:r>
        <w:rPr/>
        <w:t>号验资报告予以验证。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月，根据</w:t>
      </w:r>
      <w:r>
        <w:rPr>
          <w:rFonts w:ascii="Times New Roman" w:hAnsi="Times New Roman" w:cs="Times New Roman" w:eastAsia="Times New Roman" w:hint="default"/>
        </w:rPr>
        <w:t>2015</w:t>
      </w:r>
      <w:r>
        <w:rPr/>
        <w:t>年第二次临时股东大会有关决议、中国证监会证监许可</w:t>
      </w:r>
      <w:r>
        <w:rPr>
          <w:rFonts w:ascii="Times New Roman" w:hAnsi="Times New Roman" w:cs="Times New Roman" w:eastAsia="Times New Roman" w:hint="default"/>
        </w:rPr>
        <w:t>[2015]2490</w:t>
      </w:r>
      <w:r>
        <w:rPr/>
        <w:t>号《关于核准北京久其软件</w:t>
      </w:r>
      <w:r>
        <w:rPr>
          <w:spacing w:val="-35"/>
        </w:rPr>
        <w:t> </w:t>
      </w:r>
      <w:r>
        <w:rPr>
          <w:spacing w:val="-35"/>
        </w:rPr>
      </w:r>
      <w:r>
        <w:rPr>
          <w:spacing w:val="-2"/>
        </w:rPr>
        <w:t>股份有限公司向栗军等发行股份购买资产并募集配套资金的批复》核准，公司增加注册资本人民币</w:t>
      </w:r>
      <w:r>
        <w:rPr>
          <w:rFonts w:ascii="Times New Roman" w:hAnsi="Times New Roman" w:cs="Times New Roman" w:eastAsia="Times New Roman" w:hint="default"/>
          <w:spacing w:val="-2"/>
        </w:rPr>
        <w:t>18,785,940</w:t>
      </w:r>
      <w:r>
        <w:rPr>
          <w:spacing w:val="-2"/>
        </w:rPr>
        <w:t>元，变更</w:t>
      </w:r>
      <w:r>
        <w:rPr>
          <w:spacing w:val="-64"/>
        </w:rPr>
        <w:t> </w:t>
      </w:r>
      <w:r>
        <w:rPr>
          <w:spacing w:val="-64"/>
        </w:rPr>
      </w:r>
      <w:r>
        <w:rPr>
          <w:spacing w:val="3"/>
        </w:rPr>
        <w:t>后的注册资本为人民币</w:t>
      </w:r>
      <w:r>
        <w:rPr>
          <w:rFonts w:ascii="Times New Roman" w:hAnsi="Times New Roman" w:cs="Times New Roman" w:eastAsia="Times New Roman" w:hint="default"/>
          <w:spacing w:val="3"/>
        </w:rPr>
        <w:t>216,596,780</w:t>
      </w:r>
      <w:r>
        <w:rPr>
          <w:spacing w:val="3"/>
        </w:rPr>
        <w:t>元。上述变更业经立信会计师事务所（特殊普通合伙）出具信会师报字</w:t>
      </w:r>
      <w:r>
        <w:rPr>
          <w:rFonts w:ascii="Times New Roman" w:hAnsi="Times New Roman" w:cs="Times New Roman" w:eastAsia="Times New Roman" w:hint="default"/>
          <w:spacing w:val="3"/>
        </w:rPr>
        <w:t>[2015]</w:t>
      </w:r>
      <w:r>
        <w:rPr>
          <w:spacing w:val="3"/>
        </w:rPr>
        <w:t>第</w:t>
      </w:r>
      <w:r>
        <w:rPr>
          <w:spacing w:val="-58"/>
        </w:rPr>
        <w:t> </w:t>
      </w:r>
      <w:r>
        <w:rPr>
          <w:rFonts w:ascii="Times New Roman" w:hAnsi="Times New Roman" w:cs="Times New Roman" w:eastAsia="Times New Roman" w:hint="default"/>
        </w:rPr>
        <w:t>711575</w:t>
      </w:r>
      <w:r>
        <w:rPr/>
        <w:t>号验资报告予以验证。</w:t>
      </w:r>
    </w:p>
    <w:p>
      <w:pPr>
        <w:spacing w:after="0" w:line="302" w:lineRule="auto"/>
        <w:jc w:val="left"/>
        <w:sectPr>
          <w:headerReference w:type="default" r:id="rId29"/>
          <w:footerReference w:type="default" r:id="rId30"/>
          <w:pgSz w:w="11910" w:h="16840"/>
          <w:pgMar w:header="877" w:footer="979" w:top="1060" w:bottom="1160" w:left="980" w:right="0"/>
        </w:sectPr>
      </w:pPr>
    </w:p>
    <w:p>
      <w:pPr>
        <w:spacing w:line="240" w:lineRule="auto" w:before="12"/>
        <w:rPr>
          <w:rFonts w:ascii="宋体" w:hAnsi="宋体" w:cs="宋体" w:eastAsia="宋体" w:hint="default"/>
          <w:sz w:val="21"/>
          <w:szCs w:val="21"/>
        </w:rPr>
      </w:pPr>
    </w:p>
    <w:p>
      <w:pPr>
        <w:pStyle w:val="BodyText"/>
        <w:spacing w:line="240" w:lineRule="auto" w:before="44"/>
        <w:ind w:left="607" w:right="0"/>
        <w:jc w:val="left"/>
      </w:pPr>
      <w:r>
        <w:rPr/>
        <w:t>截至</w:t>
      </w:r>
      <w:r>
        <w:rPr>
          <w:rFonts w:ascii="宋体" w:hAnsi="宋体" w:cs="宋体" w:eastAsia="宋体" w:hint="default"/>
        </w:rPr>
        <w:t>2015</w:t>
      </w:r>
      <w:r>
        <w:rPr/>
        <w:t>年</w:t>
      </w:r>
      <w:r>
        <w:rPr>
          <w:rFonts w:ascii="宋体" w:hAnsi="宋体" w:cs="宋体" w:eastAsia="宋体" w:hint="default"/>
        </w:rPr>
        <w:t>12 </w:t>
      </w:r>
      <w:r>
        <w:rPr/>
        <w:t>月</w:t>
      </w:r>
      <w:r>
        <w:rPr>
          <w:rFonts w:ascii="宋体" w:hAnsi="宋体" w:cs="宋体" w:eastAsia="宋体" w:hint="default"/>
        </w:rPr>
        <w:t>31 </w:t>
      </w:r>
      <w:r>
        <w:rPr/>
        <w:t>日，本公司的股本结构如下：</w:t>
      </w:r>
    </w:p>
    <w:p>
      <w:pPr>
        <w:spacing w:line="240" w:lineRule="auto" w:before="0"/>
        <w:rPr>
          <w:rFonts w:ascii="宋体" w:hAnsi="宋体" w:cs="宋体" w:eastAsia="宋体" w:hint="default"/>
          <w:sz w:val="5"/>
          <w:szCs w:val="5"/>
        </w:rPr>
      </w:pPr>
    </w:p>
    <w:tbl>
      <w:tblPr>
        <w:tblW w:w="0" w:type="auto"/>
        <w:jc w:val="left"/>
        <w:tblInd w:w="139" w:type="dxa"/>
        <w:tblLayout w:type="fixed"/>
        <w:tblCellMar>
          <w:top w:w="0" w:type="dxa"/>
          <w:left w:w="0" w:type="dxa"/>
          <w:bottom w:w="0" w:type="dxa"/>
          <w:right w:w="0" w:type="dxa"/>
        </w:tblCellMar>
        <w:tblLook w:val="01E0"/>
      </w:tblPr>
      <w:tblGrid>
        <w:gridCol w:w="4500"/>
        <w:gridCol w:w="2455"/>
        <w:gridCol w:w="2704"/>
      </w:tblGrid>
      <w:tr>
        <w:trPr>
          <w:trHeight w:val="342" w:hRule="exact"/>
        </w:trPr>
        <w:tc>
          <w:tcPr>
            <w:tcW w:w="45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45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681" w:right="0"/>
              <w:jc w:val="left"/>
              <w:rPr>
                <w:rFonts w:ascii="宋体" w:hAnsi="宋体" w:cs="宋体" w:eastAsia="宋体" w:hint="default"/>
                <w:sz w:val="18"/>
                <w:szCs w:val="18"/>
              </w:rPr>
            </w:pPr>
            <w:r>
              <w:rPr>
                <w:rFonts w:ascii="宋体" w:hAnsi="宋体" w:cs="宋体" w:eastAsia="宋体" w:hint="default"/>
                <w:sz w:val="18"/>
                <w:szCs w:val="18"/>
              </w:rPr>
              <w:t>持股数（股）</w:t>
            </w:r>
          </w:p>
        </w:tc>
        <w:tc>
          <w:tcPr>
            <w:tcW w:w="27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73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2"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北京久其科技投资有限公司</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52,348,699</w:t>
            </w:r>
          </w:p>
        </w:tc>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24.17</w:t>
            </w:r>
          </w:p>
        </w:tc>
      </w:tr>
      <w:tr>
        <w:trPr>
          <w:trHeight w:val="342"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董泰湘</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33,110,798</w:t>
            </w:r>
          </w:p>
        </w:tc>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15.29</w:t>
            </w:r>
          </w:p>
        </w:tc>
      </w:tr>
      <w:tr>
        <w:trPr>
          <w:trHeight w:val="342"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赵福君</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23,917,123</w:t>
            </w:r>
          </w:p>
        </w:tc>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11.04</w:t>
            </w:r>
          </w:p>
        </w:tc>
      </w:tr>
      <w:tr>
        <w:trPr>
          <w:trHeight w:val="422"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王新</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9,172,890</w:t>
            </w:r>
          </w:p>
        </w:tc>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4.24</w:t>
            </w:r>
          </w:p>
        </w:tc>
      </w:tr>
      <w:tr>
        <w:trPr>
          <w:trHeight w:val="421"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栗军</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z w:val="18"/>
              </w:rPr>
              <w:t>7,033,030</w:t>
            </w:r>
          </w:p>
        </w:tc>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3.25</w:t>
            </w:r>
          </w:p>
        </w:tc>
      </w:tr>
      <w:tr>
        <w:trPr>
          <w:trHeight w:val="422"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李勇</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6,919,899</w:t>
            </w:r>
          </w:p>
        </w:tc>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3.19</w:t>
            </w:r>
          </w:p>
        </w:tc>
      </w:tr>
      <w:tr>
        <w:trPr>
          <w:trHeight w:val="422"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欧阳曜</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5,471,785</w:t>
            </w:r>
          </w:p>
        </w:tc>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2.53</w:t>
            </w:r>
          </w:p>
        </w:tc>
      </w:tr>
      <w:tr>
        <w:trPr>
          <w:trHeight w:val="421"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其他社会公众股</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pacing w:val="-1"/>
                <w:sz w:val="18"/>
              </w:rPr>
              <w:t>78,622,556.00</w:t>
            </w:r>
          </w:p>
        </w:tc>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z w:val="18"/>
              </w:rPr>
              <w:t>36.30</w:t>
            </w:r>
          </w:p>
        </w:tc>
      </w:tr>
      <w:tr>
        <w:trPr>
          <w:trHeight w:val="343"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216,596,780</w:t>
            </w:r>
          </w:p>
        </w:tc>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300" w:lineRule="auto" w:before="10"/>
        <w:ind w:left="607" w:right="1179"/>
        <w:jc w:val="left"/>
        <w:rPr>
          <w:rFonts w:ascii="Times New Roman" w:hAnsi="Times New Roman" w:cs="Times New Roman" w:eastAsia="Times New Roman" w:hint="default"/>
        </w:rPr>
      </w:pPr>
      <w:r>
        <w:rPr/>
        <w:t>公司</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10</w:t>
      </w:r>
      <w:r>
        <w:rPr/>
        <w:t>日被北京市软件企业认定和软件产品登记机关认定为软件企业（证书编号：京</w:t>
      </w:r>
      <w:r>
        <w:rPr>
          <w:rFonts w:ascii="Times New Roman" w:hAnsi="Times New Roman" w:cs="Times New Roman" w:eastAsia="Times New Roman" w:hint="default"/>
        </w:rPr>
        <w:t>R</w:t>
      </w:r>
      <w:r>
        <w:rPr>
          <w:rFonts w:ascii="Times New Roman" w:hAnsi="Times New Roman" w:cs="Times New Roman" w:eastAsia="Times New Roman" w:hint="default"/>
        </w:rPr>
        <w:t>—</w:t>
      </w:r>
      <w:r>
        <w:rPr>
          <w:rFonts w:ascii="Times New Roman" w:hAnsi="Times New Roman" w:cs="Times New Roman" w:eastAsia="Times New Roman" w:hint="default"/>
        </w:rPr>
        <w:t>1999</w:t>
      </w:r>
      <w:r>
        <w:rPr>
          <w:rFonts w:ascii="Times New Roman" w:hAnsi="Times New Roman" w:cs="Times New Roman" w:eastAsia="Times New Roman" w:hint="default"/>
        </w:rPr>
        <w:t>—</w:t>
      </w:r>
      <w:r>
        <w:rPr>
          <w:rFonts w:ascii="Times New Roman" w:hAnsi="Times New Roman" w:cs="Times New Roman" w:eastAsia="Times New Roman" w:hint="default"/>
        </w:rPr>
        <w:t>0054</w:t>
      </w:r>
      <w:r>
        <w:rPr/>
        <w:t>）。 公司统一社会信用代码：</w:t>
      </w:r>
      <w:r>
        <w:rPr>
          <w:rFonts w:ascii="Times New Roman" w:hAnsi="Times New Roman" w:cs="Times New Roman" w:eastAsia="Times New Roman" w:hint="default"/>
        </w:rPr>
        <w:t>911100007177242684</w:t>
      </w:r>
    </w:p>
    <w:p>
      <w:pPr>
        <w:pStyle w:val="BodyText"/>
        <w:spacing w:line="300" w:lineRule="auto" w:before="13"/>
        <w:ind w:left="607" w:right="6249"/>
        <w:jc w:val="left"/>
      </w:pPr>
      <w:r>
        <w:rPr/>
        <w:t>公司注册地址：北京市海淀区大慧寺路</w:t>
      </w:r>
      <w:r>
        <w:rPr>
          <w:rFonts w:ascii="Times New Roman" w:hAnsi="Times New Roman" w:cs="Times New Roman" w:eastAsia="Times New Roman" w:hint="default"/>
        </w:rPr>
        <w:t>5</w:t>
      </w:r>
      <w:r>
        <w:rPr/>
        <w:t>号</w:t>
      </w:r>
      <w:r>
        <w:rPr>
          <w:rFonts w:ascii="Times New Roman" w:hAnsi="Times New Roman" w:cs="Times New Roman" w:eastAsia="Times New Roman" w:hint="default"/>
        </w:rPr>
        <w:t>3</w:t>
      </w:r>
      <w:r>
        <w:rPr/>
        <w:t>号楼</w:t>
      </w:r>
      <w:r>
        <w:rPr>
          <w:rFonts w:ascii="Times New Roman" w:hAnsi="Times New Roman" w:cs="Times New Roman" w:eastAsia="Times New Roman" w:hint="default"/>
        </w:rPr>
        <w:t>3</w:t>
      </w:r>
      <w:r>
        <w:rPr/>
        <w:t>层 公司注册资本：</w:t>
      </w:r>
      <w:r>
        <w:rPr>
          <w:rFonts w:ascii="Times New Roman" w:hAnsi="Times New Roman" w:cs="Times New Roman" w:eastAsia="Times New Roman" w:hint="default"/>
        </w:rPr>
        <w:t>21,659.678</w:t>
      </w:r>
      <w:r>
        <w:rPr/>
        <w:t>万元</w:t>
      </w:r>
      <w:r>
        <w:rPr>
          <w:spacing w:val="-2"/>
        </w:rPr>
        <w:t> </w:t>
      </w:r>
      <w:r>
        <w:rPr/>
        <w:t>公法定代表人：赵福君</w:t>
      </w:r>
    </w:p>
    <w:p>
      <w:pPr>
        <w:pStyle w:val="BodyText"/>
        <w:spacing w:line="316" w:lineRule="auto" w:before="31"/>
        <w:ind w:left="604" w:right="1033" w:firstLine="3"/>
        <w:jc w:val="left"/>
      </w:pPr>
      <w:r>
        <w:rPr/>
        <w:t>公司行业性质：公司隶属于软件信息服务业，主要从事电子政务领域、集团管控领域、大数据领域和移动互联领域的 软件研发和管理咨询服务，利用大数据技术和资源为客户创造价值。 公司经营范围：互联网信息服务业务；电子计算机软件、硬件及外部设备的技术开发、技术咨询、技术转让、技术服</w:t>
      </w:r>
      <w:r>
        <w:rPr>
          <w:spacing w:val="-87"/>
        </w:rPr>
        <w:t> </w:t>
      </w:r>
      <w:r>
        <w:rPr>
          <w:spacing w:val="-87"/>
        </w:rPr>
      </w:r>
      <w:r>
        <w:rPr>
          <w:spacing w:val="-2"/>
        </w:rPr>
        <w:t>务、技术培训；经济贸易咨询、企业管理咨询；计算机系统服务；销售（含网上销售）电子计算机软硬件及外部设备、</w:t>
      </w:r>
      <w:r>
        <w:rPr>
          <w:spacing w:val="-77"/>
        </w:rPr>
        <w:t> </w:t>
      </w:r>
      <w:r>
        <w:rPr>
          <w:spacing w:val="-77"/>
        </w:rPr>
      </w:r>
      <w:r>
        <w:rPr/>
        <w:t>打印纸及计算机耗材；计算机及外部设备租赁；技术进出口、货物进出口、代理进出口。 公司主营业务和主要产品：公司致力于提供</w:t>
      </w:r>
      <w:r>
        <w:rPr>
          <w:rFonts w:ascii="Times New Roman" w:hAnsi="Times New Roman" w:cs="Times New Roman" w:eastAsia="Times New Roman" w:hint="default"/>
        </w:rPr>
        <w:t>B2B2C</w:t>
      </w:r>
      <w:r>
        <w:rPr/>
        <w:t>的大数据应用及信息化服务，主要从事电子政务、</w:t>
      </w:r>
      <w:r>
        <w:rPr>
          <w:spacing w:val="-39"/>
        </w:rPr>
        <w:t> </w:t>
      </w:r>
      <w:r>
        <w:rPr>
          <w:spacing w:val="-4"/>
        </w:rPr>
        <w:t>集团管控、大数</w:t>
      </w:r>
      <w:r>
        <w:rPr/>
        <w:t> 据、移动互联领域软件的研究与开发。主营业务和产品包括，为政府部门和企业集团提供电子政务和集团管控相关的</w:t>
      </w:r>
      <w:r>
        <w:rPr>
          <w:spacing w:val="-87"/>
        </w:rPr>
        <w:t> </w:t>
      </w:r>
      <w:r>
        <w:rPr>
          <w:spacing w:val="-87"/>
        </w:rPr>
      </w:r>
      <w:r>
        <w:rPr/>
        <w:t>管理咨询服务及软件产品和解决方案，为法院系统提供数字法庭、庭审核查、互联网法庭及直播等产品与解决方案，</w:t>
      </w:r>
      <w:r>
        <w:rPr>
          <w:spacing w:val="-87"/>
        </w:rPr>
        <w:t> </w:t>
      </w:r>
      <w:r>
        <w:rPr>
          <w:spacing w:val="-87"/>
        </w:rPr>
      </w:r>
      <w:r>
        <w:rPr/>
        <w:t>为全球品牌及互联网企业广告主提供精准高效的移动营销解决方案。 本财务报表业经公司董事会于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30</w:t>
      </w:r>
      <w:r>
        <w:rPr/>
        <w:t>日批准报出。</w:t>
      </w:r>
    </w:p>
    <w:p>
      <w:pPr>
        <w:spacing w:line="240" w:lineRule="auto" w:before="11"/>
        <w:rPr>
          <w:rFonts w:ascii="宋体" w:hAnsi="宋体" w:cs="宋体" w:eastAsia="宋体" w:hint="default"/>
          <w:sz w:val="21"/>
          <w:szCs w:val="21"/>
        </w:rPr>
      </w:pPr>
    </w:p>
    <w:p>
      <w:pPr>
        <w:pStyle w:val="Heading3"/>
        <w:tabs>
          <w:tab w:pos="774" w:val="left" w:leader="none"/>
        </w:tabs>
        <w:spacing w:line="240" w:lineRule="auto"/>
        <w:ind w:right="0"/>
        <w:jc w:val="left"/>
        <w:rPr>
          <w:b w:val="0"/>
          <w:bCs w:val="0"/>
        </w:rPr>
      </w:pPr>
      <w:r>
        <w:rPr>
          <w:rFonts w:ascii="Times New Roman" w:hAnsi="Times New Roman" w:cs="Times New Roman" w:eastAsia="Times New Roman" w:hint="default"/>
          <w:w w:val="95"/>
        </w:rPr>
        <w:t>(</w:t>
      </w:r>
      <w:r>
        <w:rPr>
          <w:w w:val="95"/>
        </w:rPr>
        <w:t>二</w:t>
      </w:r>
      <w:r>
        <w:rPr>
          <w:rFonts w:ascii="Times New Roman" w:hAnsi="Times New Roman" w:cs="Times New Roman" w:eastAsia="Times New Roman" w:hint="default"/>
          <w:w w:val="95"/>
        </w:rPr>
        <w:t>)</w:t>
        <w:tab/>
      </w:r>
      <w:r>
        <w:rPr/>
        <w:t>合并财务报表范围</w:t>
      </w:r>
      <w:r>
        <w:rPr>
          <w:b w:val="0"/>
          <w:bCs w:val="0"/>
        </w:rPr>
      </w:r>
    </w:p>
    <w:p>
      <w:pPr>
        <w:pStyle w:val="BodyText"/>
        <w:spacing w:line="240" w:lineRule="auto" w:before="46"/>
        <w:ind w:left="872" w:right="0"/>
        <w:jc w:val="left"/>
      </w:pP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日，本公司合并财务报表范围内子公司如下：</w:t>
      </w:r>
    </w:p>
    <w:p>
      <w:pPr>
        <w:spacing w:line="240" w:lineRule="auto" w:before="13"/>
        <w:rPr>
          <w:rFonts w:ascii="宋体" w:hAnsi="宋体" w:cs="宋体" w:eastAsia="宋体" w:hint="default"/>
          <w:sz w:val="3"/>
          <w:szCs w:val="3"/>
        </w:rPr>
      </w:pPr>
    </w:p>
    <w:tbl>
      <w:tblPr>
        <w:tblW w:w="0" w:type="auto"/>
        <w:jc w:val="left"/>
        <w:tblInd w:w="770" w:type="dxa"/>
        <w:tblLayout w:type="fixed"/>
        <w:tblCellMar>
          <w:top w:w="0" w:type="dxa"/>
          <w:left w:w="0" w:type="dxa"/>
          <w:bottom w:w="0" w:type="dxa"/>
          <w:right w:w="0" w:type="dxa"/>
        </w:tblCellMar>
        <w:tblLook w:val="01E0"/>
      </w:tblPr>
      <w:tblGrid>
        <w:gridCol w:w="7771"/>
      </w:tblGrid>
      <w:tr>
        <w:trPr>
          <w:trHeight w:val="361"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子公司名称</w:t>
            </w:r>
          </w:p>
        </w:tc>
      </w:tr>
      <w:tr>
        <w:trPr>
          <w:trHeight w:val="353"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西安久其软件有限公司</w:t>
            </w:r>
          </w:p>
        </w:tc>
      </w:tr>
      <w:tr>
        <w:trPr>
          <w:trHeight w:val="352"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上海久其软件有限公司</w:t>
            </w:r>
          </w:p>
        </w:tc>
      </w:tr>
      <w:tr>
        <w:trPr>
          <w:trHeight w:val="352"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成都久其软件有限公司</w:t>
            </w:r>
          </w:p>
        </w:tc>
      </w:tr>
      <w:tr>
        <w:trPr>
          <w:trHeight w:val="353"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广东久其软件有限公司</w:t>
            </w:r>
          </w:p>
        </w:tc>
      </w:tr>
      <w:tr>
        <w:trPr>
          <w:trHeight w:val="352"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北京久其政务软件股份有限公司</w:t>
            </w:r>
          </w:p>
        </w:tc>
      </w:tr>
      <w:tr>
        <w:trPr>
          <w:trHeight w:val="352"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新疆久其科技有限公司</w:t>
            </w:r>
          </w:p>
        </w:tc>
      </w:tr>
      <w:tr>
        <w:trPr>
          <w:trHeight w:val="353"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重庆久其软件有限公司</w:t>
            </w:r>
          </w:p>
        </w:tc>
      </w:tr>
      <w:tr>
        <w:trPr>
          <w:trHeight w:val="352"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海南久其云计算科技有限公司</w:t>
            </w:r>
          </w:p>
        </w:tc>
      </w:tr>
      <w:tr>
        <w:trPr>
          <w:trHeight w:val="352"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北京久其智通数据科技有限公司</w:t>
            </w:r>
          </w:p>
        </w:tc>
      </w:tr>
      <w:tr>
        <w:trPr>
          <w:trHeight w:val="353"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北京久其龙信数据科技有限公司</w:t>
            </w:r>
          </w:p>
        </w:tc>
      </w:tr>
    </w:tbl>
    <w:p>
      <w:pPr>
        <w:spacing w:after="0" w:line="240" w:lineRule="auto"/>
        <w:jc w:val="left"/>
        <w:rPr>
          <w:rFonts w:ascii="宋体" w:hAnsi="宋体" w:cs="宋体" w:eastAsia="宋体" w:hint="default"/>
          <w:sz w:val="18"/>
          <w:szCs w:val="18"/>
        </w:rPr>
        <w:sectPr>
          <w:footerReference w:type="default" r:id="rId31"/>
          <w:pgSz w:w="11910" w:h="16840"/>
          <w:pgMar w:footer="979" w:header="877" w:top="1100" w:bottom="1160" w:left="980" w:right="0"/>
          <w:pgNumType w:start="92"/>
        </w:sectPr>
      </w:pPr>
    </w:p>
    <w:p>
      <w:pPr>
        <w:spacing w:line="240" w:lineRule="auto" w:before="12"/>
        <w:rPr>
          <w:rFonts w:ascii="宋体" w:hAnsi="宋体" w:cs="宋体" w:eastAsia="宋体" w:hint="default"/>
          <w:sz w:val="2"/>
          <w:szCs w:val="2"/>
        </w:rPr>
      </w:pPr>
      <w:r>
        <w:rPr/>
        <w:pict>
          <v:group style="position:absolute;margin-left:55.200001pt;margin-top:55.619984pt;width:485pt;height:.1pt;mso-position-horizontal-relative:page;mso-position-vertical-relative:page;z-index:-881944" coordorigin="1104,1112" coordsize="9700,2">
            <v:shape style="position:absolute;left:1104;top:1112;width:9700;height:2" coordorigin="1104,1112" coordsize="9700,0" path="m1104,1112l10804,1112e" filled="false" stroked="true" strokeweight=".72pt" strokecolor="#000000">
              <v:path arrowok="t"/>
            </v:shape>
            <w10:wrap type="none"/>
          </v:group>
        </w:pict>
      </w:r>
    </w:p>
    <w:tbl>
      <w:tblPr>
        <w:tblW w:w="0" w:type="auto"/>
        <w:jc w:val="left"/>
        <w:tblInd w:w="770" w:type="dxa"/>
        <w:tblLayout w:type="fixed"/>
        <w:tblCellMar>
          <w:top w:w="0" w:type="dxa"/>
          <w:left w:w="0" w:type="dxa"/>
          <w:bottom w:w="0" w:type="dxa"/>
          <w:right w:w="0" w:type="dxa"/>
        </w:tblCellMar>
        <w:tblLook w:val="01E0"/>
      </w:tblPr>
      <w:tblGrid>
        <w:gridCol w:w="7771"/>
      </w:tblGrid>
      <w:tr>
        <w:trPr>
          <w:trHeight w:val="689" w:hRule="exact"/>
        </w:trPr>
        <w:tc>
          <w:tcPr>
            <w:tcW w:w="7771" w:type="dxa"/>
            <w:tcBorders>
              <w:top w:val="single" w:sz="6" w:space="0" w:color="000000"/>
              <w:left w:val="nil" w:sz="6" w:space="0" w:color="auto"/>
              <w:bottom w:val="single" w:sz="12" w:space="0" w:color="000000"/>
              <w:right w:val="nil" w:sz="6" w:space="0" w:color="auto"/>
            </w:tcBorders>
          </w:tcPr>
          <w:p>
            <w:pPr>
              <w:pStyle w:val="TableParagraph"/>
              <w:spacing w:line="240" w:lineRule="auto" w:before="21"/>
              <w:ind w:left="10" w:right="0"/>
              <w:jc w:val="left"/>
              <w:rPr>
                <w:rFonts w:ascii="宋体" w:hAnsi="宋体" w:cs="宋体" w:eastAsia="宋体" w:hint="default"/>
                <w:sz w:val="18"/>
                <w:szCs w:val="18"/>
              </w:rPr>
            </w:pPr>
            <w:r>
              <w:rPr>
                <w:rFonts w:ascii="宋体" w:hAnsi="宋体" w:cs="宋体" w:eastAsia="宋体" w:hint="default"/>
                <w:sz w:val="18"/>
                <w:szCs w:val="18"/>
              </w:rPr>
              <w:t>北京久其互联网金融信息服务有限公司</w:t>
            </w:r>
          </w:p>
        </w:tc>
      </w:tr>
      <w:tr>
        <w:trPr>
          <w:trHeight w:val="352"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北京蜂语网络科技有限公司</w:t>
            </w:r>
          </w:p>
        </w:tc>
      </w:tr>
      <w:tr>
        <w:trPr>
          <w:trHeight w:val="362"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40" w:lineRule="auto" w:before="21"/>
              <w:ind w:left="10" w:right="0"/>
              <w:jc w:val="left"/>
              <w:rPr>
                <w:rFonts w:ascii="宋体" w:hAnsi="宋体" w:cs="宋体" w:eastAsia="宋体" w:hint="default"/>
                <w:sz w:val="18"/>
                <w:szCs w:val="18"/>
              </w:rPr>
            </w:pPr>
            <w:r>
              <w:rPr>
                <w:rFonts w:ascii="宋体" w:hAnsi="宋体" w:cs="宋体" w:eastAsia="宋体" w:hint="default"/>
                <w:sz w:val="18"/>
                <w:szCs w:val="18"/>
              </w:rPr>
              <w:t>北京亿起联科技有限公司</w:t>
            </w:r>
          </w:p>
        </w:tc>
      </w:tr>
      <w:tr>
        <w:trPr>
          <w:trHeight w:val="352"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北京华夏电通科技有限公司</w:t>
            </w:r>
          </w:p>
        </w:tc>
      </w:tr>
      <w:tr>
        <w:trPr>
          <w:trHeight w:val="353"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北京中民颐养科技服务有限公司</w:t>
            </w:r>
          </w:p>
        </w:tc>
      </w:tr>
    </w:tbl>
    <w:p>
      <w:pPr>
        <w:pStyle w:val="BodyText"/>
        <w:spacing w:line="240" w:lineRule="auto" w:before="10"/>
        <w:ind w:left="694" w:right="0"/>
        <w:jc w:val="left"/>
      </w:pPr>
      <w:r>
        <w:rPr/>
        <w:t>本期合并财务报表范围及其变化情况详见本附注</w:t>
      </w:r>
      <w:r>
        <w:rPr>
          <w:rFonts w:ascii="Times New Roman" w:hAnsi="Times New Roman" w:cs="Times New Roman" w:eastAsia="Times New Roman" w:hint="default"/>
        </w:rPr>
        <w:t>“</w:t>
      </w:r>
      <w:r>
        <w:rPr/>
        <w:t>八、合并范围的变更</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九、在其他主体中的权益</w:t>
      </w:r>
      <w:r>
        <w:rPr>
          <w:rFonts w:ascii="Times New Roman" w:hAnsi="Times New Roman" w:cs="Times New Roman" w:eastAsia="Times New Roman" w:hint="default"/>
        </w:rPr>
        <w:t>”</w:t>
      </w:r>
      <w:r>
        <w:rPr/>
        <w:t>。</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四、财务报表的编制基础" w:id="160"/>
      <w:bookmarkEnd w:id="160"/>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编制基础" w:id="161"/>
      <w:bookmarkEnd w:id="161"/>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0"/>
        <w:jc w:val="both"/>
      </w:pPr>
      <w:r>
        <w:rPr>
          <w:spacing w:val="-2"/>
        </w:rPr>
        <w:t>公司以持续经营为基础，根据实际发生的交易和事项，按照财政部颁布的《企业会计准则——基本准则》和各项具体会计准</w:t>
      </w:r>
      <w:r>
        <w:rPr>
          <w:spacing w:val="-66"/>
        </w:rPr>
        <w:t> </w:t>
      </w:r>
      <w:r>
        <w:rPr>
          <w:spacing w:val="-66"/>
        </w:rPr>
      </w:r>
      <w:r>
        <w:rPr>
          <w:spacing w:val="-2"/>
        </w:rPr>
        <w:t>则、企业会计准则应用指南、企业会计准则解释及其他相关规定（以下合称“企业会计准则”），以及中国证券监督管理委</w:t>
      </w:r>
      <w:r>
        <w:rPr>
          <w:spacing w:val="-66"/>
        </w:rPr>
        <w:t> </w:t>
      </w:r>
      <w:r>
        <w:rPr>
          <w:spacing w:val="-66"/>
        </w:rPr>
      </w:r>
      <w:r>
        <w:rPr/>
        <w:t>员会《公开发行证券的公司信息披露编报规则第</w:t>
      </w:r>
      <w:r>
        <w:rPr>
          <w:rFonts w:ascii="宋体" w:hAnsi="宋体" w:cs="宋体" w:eastAsia="宋体" w:hint="default"/>
        </w:rPr>
        <w:t>15 </w:t>
      </w:r>
      <w:r>
        <w:rPr/>
        <w:t>号——财务报告的一般规定》的披露规定编制财务报表。</w:t>
      </w:r>
    </w:p>
    <w:p>
      <w:pPr>
        <w:spacing w:line="240" w:lineRule="auto" w:before="7"/>
        <w:rPr>
          <w:rFonts w:ascii="宋体" w:hAnsi="宋体" w:cs="宋体" w:eastAsia="宋体" w:hint="default"/>
          <w:sz w:val="22"/>
          <w:szCs w:val="22"/>
        </w:rPr>
      </w:pPr>
    </w:p>
    <w:p>
      <w:pPr>
        <w:pStyle w:val="Heading3"/>
        <w:spacing w:line="240" w:lineRule="auto"/>
        <w:ind w:left="153" w:right="0"/>
        <w:jc w:val="left"/>
        <w:rPr>
          <w:b w:val="0"/>
          <w:bCs w:val="0"/>
        </w:rPr>
      </w:pPr>
      <w:bookmarkStart w:name="2、持续经营" w:id="162"/>
      <w:bookmarkEnd w:id="162"/>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公司自本报告期末至少</w:t>
      </w:r>
      <w:r>
        <w:rPr>
          <w:rFonts w:ascii="Times New Roman" w:hAnsi="Times New Roman" w:cs="Times New Roman" w:eastAsia="Times New Roman" w:hint="default"/>
        </w:rPr>
        <w:t>12</w:t>
      </w:r>
      <w:r>
        <w:rPr/>
        <w:t>个月内具备持续经营能力，无影响持续经营能力的重大事项。</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五、重要会计政策及会计估计" w:id="163"/>
      <w:bookmarkEnd w:id="163"/>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3913"/>
        <w:jc w:val="left"/>
      </w:pPr>
      <w:r>
        <w:rPr/>
        <w:t>具体会计政策和会计估计提示： 以下披露内容已涵盖了本公司根据实际生产经营特点制定的具体会计政策和会计估计。</w:t>
      </w:r>
    </w:p>
    <w:p>
      <w:pPr>
        <w:spacing w:line="240" w:lineRule="auto" w:before="2"/>
        <w:rPr>
          <w:rFonts w:ascii="宋体" w:hAnsi="宋体" w:cs="宋体" w:eastAsia="宋体" w:hint="default"/>
          <w:sz w:val="20"/>
          <w:szCs w:val="20"/>
        </w:rPr>
      </w:pPr>
    </w:p>
    <w:p>
      <w:pPr>
        <w:pStyle w:val="Heading3"/>
        <w:spacing w:line="240" w:lineRule="auto"/>
        <w:ind w:left="153" w:right="0"/>
        <w:jc w:val="left"/>
        <w:rPr>
          <w:b w:val="0"/>
          <w:bCs w:val="0"/>
        </w:rPr>
      </w:pPr>
      <w:bookmarkStart w:name="1、遵循企业会计准则的声明" w:id="164"/>
      <w:bookmarkEnd w:id="164"/>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1118"/>
        <w:jc w:val="left"/>
      </w:pPr>
      <w:r>
        <w:rPr>
          <w:spacing w:val="-2"/>
        </w:rPr>
        <w:t>公司所编制的财务报表符合企业会计准则的要求，真实、完整地反映了报告期公司的财务状况、经营成果、现金流量等有关</w:t>
      </w:r>
      <w:r>
        <w:rPr>
          <w:spacing w:val="-66"/>
        </w:rPr>
        <w:t> </w:t>
      </w:r>
      <w:r>
        <w:rPr>
          <w:spacing w:val="-66"/>
        </w:rPr>
      </w:r>
      <w:r>
        <w:rPr/>
        <w:t>信息。</w:t>
      </w:r>
    </w:p>
    <w:p>
      <w:pPr>
        <w:spacing w:line="240" w:lineRule="auto" w:before="7"/>
        <w:rPr>
          <w:rFonts w:ascii="宋体" w:hAnsi="宋体" w:cs="宋体" w:eastAsia="宋体" w:hint="default"/>
          <w:sz w:val="22"/>
          <w:szCs w:val="22"/>
        </w:rPr>
      </w:pPr>
    </w:p>
    <w:p>
      <w:pPr>
        <w:spacing w:line="547" w:lineRule="auto" w:before="0"/>
        <w:ind w:left="153" w:right="7153" w:firstLine="0"/>
        <w:jc w:val="left"/>
        <w:rPr>
          <w:rFonts w:ascii="宋体" w:hAnsi="宋体" w:cs="宋体" w:eastAsia="宋体" w:hint="default"/>
          <w:sz w:val="21"/>
          <w:szCs w:val="21"/>
        </w:rPr>
      </w:pPr>
      <w:bookmarkStart w:name="2、会计期间" w:id="165"/>
      <w:bookmarkEnd w:id="165"/>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b/>
          <w:bCs/>
          <w:w w:val="99"/>
          <w:sz w:val="21"/>
          <w:szCs w:val="21"/>
        </w:rPr>
        <w:t> </w:t>
      </w:r>
      <w:r>
        <w:rPr>
          <w:rFonts w:ascii="宋体" w:hAnsi="宋体" w:cs="宋体" w:eastAsia="宋体" w:hint="default"/>
          <w:sz w:val="18"/>
          <w:szCs w:val="18"/>
        </w:rPr>
        <w:t>自公历</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日至</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日止为一个会计年度。 </w:t>
      </w:r>
      <w:bookmarkStart w:name="3、营业周期" w:id="166"/>
      <w:bookmarkEnd w:id="166"/>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sz w:val="21"/>
          <w:szCs w:val="21"/>
        </w:rPr>
      </w:r>
    </w:p>
    <w:p>
      <w:pPr>
        <w:spacing w:line="523" w:lineRule="auto" w:before="23"/>
        <w:ind w:left="154" w:right="8052" w:firstLine="0"/>
        <w:jc w:val="left"/>
        <w:rPr>
          <w:rFonts w:ascii="宋体" w:hAnsi="宋体" w:cs="宋体" w:eastAsia="宋体" w:hint="default"/>
          <w:sz w:val="18"/>
          <w:szCs w:val="18"/>
        </w:rPr>
      </w:pPr>
      <w:r>
        <w:rPr>
          <w:rFonts w:ascii="宋体" w:hAnsi="宋体" w:cs="宋体" w:eastAsia="宋体" w:hint="default"/>
          <w:sz w:val="18"/>
          <w:szCs w:val="18"/>
        </w:rPr>
        <w:t>本公司营业周期为</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w:t>
      </w:r>
      <w:r>
        <w:rPr>
          <w:rFonts w:ascii="宋体" w:hAnsi="宋体" w:cs="宋体" w:eastAsia="宋体" w:hint="default"/>
          <w:sz w:val="21"/>
          <w:szCs w:val="21"/>
        </w:rPr>
        <w:t>。</w:t>
      </w:r>
      <w:r>
        <w:rPr>
          <w:rFonts w:ascii="宋体" w:hAnsi="宋体" w:cs="宋体" w:eastAsia="宋体" w:hint="default"/>
          <w:sz w:val="21"/>
          <w:szCs w:val="21"/>
        </w:rPr>
        <w:t> </w:t>
      </w:r>
      <w:bookmarkStart w:name="4、记账本位币" w:id="167"/>
      <w:bookmarkEnd w:id="167"/>
      <w:r>
        <w:rPr>
          <w:rFonts w:ascii="宋体" w:hAnsi="宋体" w:cs="宋体" w:eastAsia="宋体" w:hint="default"/>
          <w:sz w:val="21"/>
          <w:szCs w:val="21"/>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b/>
          <w:bCs/>
          <w:w w:val="99"/>
          <w:sz w:val="21"/>
          <w:szCs w:val="21"/>
        </w:rPr>
        <w:t> </w:t>
      </w:r>
      <w:r>
        <w:rPr>
          <w:rFonts w:ascii="宋体" w:hAnsi="宋体" w:cs="宋体" w:eastAsia="宋体" w:hint="default"/>
          <w:sz w:val="18"/>
          <w:szCs w:val="18"/>
        </w:rPr>
        <w:t>本公司采用人民币为记账本位币。</w:t>
      </w:r>
    </w:p>
    <w:p>
      <w:pPr>
        <w:pStyle w:val="Heading3"/>
        <w:spacing w:line="240" w:lineRule="auto" w:before="140"/>
        <w:ind w:right="0"/>
        <w:jc w:val="left"/>
        <w:rPr>
          <w:b w:val="0"/>
          <w:bCs w:val="0"/>
        </w:rPr>
      </w:pPr>
      <w:bookmarkStart w:name="5、同一控制下和非同一控制下企业合并的会计处理方法" w:id="168"/>
      <w:bookmarkEnd w:id="168"/>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同一控制下企业合并：本公司在企业合并中取得的资产和负债，按照合并日在被合并方资产、负债（包括最终控制方收购被</w:t>
      </w:r>
    </w:p>
    <w:p>
      <w:pPr>
        <w:spacing w:after="0" w:line="240" w:lineRule="auto"/>
        <w:jc w:val="left"/>
        <w:sectPr>
          <w:pgSz w:w="11910" w:h="16840"/>
          <w:pgMar w:header="877" w:footer="979" w:top="10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1"/>
          <w:szCs w:val="21"/>
        </w:rPr>
      </w:pPr>
    </w:p>
    <w:p>
      <w:pPr>
        <w:pStyle w:val="BodyText"/>
        <w:spacing w:line="316" w:lineRule="auto" w:before="44"/>
        <w:ind w:right="1033"/>
        <w:jc w:val="left"/>
      </w:pPr>
      <w:r>
        <w:rPr>
          <w:spacing w:val="-2"/>
        </w:rPr>
        <w:t>合并方而形成的商誉）在最终控制方合并财务报表中的账面价值计量。在合并中取得的净资产账面价值与支付的合并对价账</w:t>
      </w:r>
      <w:r>
        <w:rPr>
          <w:spacing w:val="-64"/>
        </w:rPr>
        <w:t> </w:t>
      </w:r>
      <w:r>
        <w:rPr>
          <w:spacing w:val="-64"/>
        </w:rPr>
      </w:r>
      <w:r>
        <w:rPr/>
        <w:t>面价值（或发行股份面值总额）的差额，调整资本公积中的股本溢价，资本公积中的股本溢价不足冲减的，调整留存收益。 </w:t>
      </w:r>
      <w:r>
        <w:rPr>
          <w:spacing w:val="-2"/>
        </w:rPr>
        <w:t>非同一控制下企业合并：本公司在购买日对作为企业合并对价付出的资产、发生或承担的负债按照公允价值计量，公允价值</w:t>
      </w:r>
      <w:r>
        <w:rPr>
          <w:spacing w:val="-66"/>
        </w:rPr>
        <w:t> </w:t>
      </w:r>
      <w:r>
        <w:rPr>
          <w:spacing w:val="-66"/>
        </w:rPr>
      </w:r>
      <w:r>
        <w:rPr>
          <w:spacing w:val="-2"/>
        </w:rPr>
        <w:t>与其账面价值的差额，计入当期损益。本公司对合并成本大于合并中取得的被购买方可辨认净资产公允价值份额的差额，确</w:t>
      </w:r>
      <w:r>
        <w:rPr>
          <w:spacing w:val="-66"/>
        </w:rPr>
        <w:t> </w:t>
      </w:r>
      <w:r>
        <w:rPr>
          <w:spacing w:val="-66"/>
        </w:rPr>
      </w:r>
      <w:r>
        <w:rPr/>
        <w:t>认为商誉；合并成本小于合并中取得的被购买方可辨认净资产公允价值份额的差额，经复核后，计入当期损益。 </w:t>
      </w:r>
      <w:r>
        <w:rPr>
          <w:spacing w:val="-2"/>
        </w:rPr>
        <w:t>为企业合并发生的审计、法律服务、评估咨询等中介费用以及其他直接相关费用，于发生时计入当期损益；为企业合并而发</w:t>
      </w:r>
      <w:r>
        <w:rPr>
          <w:spacing w:val="-65"/>
        </w:rPr>
        <w:t> </w:t>
      </w:r>
      <w:r>
        <w:rPr>
          <w:spacing w:val="-65"/>
        </w:rPr>
      </w:r>
      <w:r>
        <w:rPr/>
        <w:t>行权益性证券的交易费用，冲减权益。</w:t>
      </w:r>
    </w:p>
    <w:p>
      <w:pPr>
        <w:spacing w:line="240" w:lineRule="auto" w:before="7"/>
        <w:rPr>
          <w:rFonts w:ascii="宋体" w:hAnsi="宋体" w:cs="宋体" w:eastAsia="宋体" w:hint="default"/>
          <w:sz w:val="22"/>
          <w:szCs w:val="22"/>
        </w:rPr>
      </w:pPr>
    </w:p>
    <w:p>
      <w:pPr>
        <w:pStyle w:val="Heading3"/>
        <w:spacing w:line="240" w:lineRule="auto"/>
        <w:ind w:left="153" w:right="0"/>
        <w:jc w:val="left"/>
        <w:rPr>
          <w:b w:val="0"/>
          <w:bCs w:val="0"/>
        </w:rPr>
      </w:pPr>
      <w:bookmarkStart w:name="6、合并财务报表的编制方法" w:id="169"/>
      <w:bookmarkEnd w:id="169"/>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4"/>
          <w:szCs w:val="24"/>
        </w:rPr>
      </w:pPr>
    </w:p>
    <w:p>
      <w:pPr>
        <w:pStyle w:val="BodyText"/>
        <w:spacing w:line="297" w:lineRule="auto"/>
        <w:ind w:left="213" w:right="1118" w:hanging="60"/>
        <w:jc w:val="left"/>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、合并范围</w:t>
      </w:r>
      <w:r>
        <w:rPr>
          <w:rFonts w:ascii="宋体" w:hAnsi="宋体" w:cs="宋体" w:eastAsia="宋体" w:hint="default"/>
          <w:b/>
          <w:bCs/>
          <w:w w:val="99"/>
          <w:sz w:val="21"/>
          <w:szCs w:val="21"/>
        </w:rPr>
        <w:t> </w:t>
      </w:r>
      <w:r>
        <w:rPr/>
        <w:t>本公司合并财务报表的合并范围以控制为基础确定，所有子公司（包括本公司所控制的被投资方可分割的部分）均纳入合 并财务报表。</w:t>
      </w:r>
    </w:p>
    <w:p>
      <w:pPr>
        <w:pStyle w:val="BodyText"/>
        <w:spacing w:line="297" w:lineRule="auto" w:before="8"/>
        <w:ind w:left="213" w:right="1118" w:hanging="60"/>
        <w:jc w:val="left"/>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、合并程序</w:t>
      </w:r>
      <w:r>
        <w:rPr>
          <w:rFonts w:ascii="宋体" w:hAnsi="宋体" w:cs="宋体" w:eastAsia="宋体" w:hint="default"/>
          <w:b/>
          <w:bCs/>
          <w:w w:val="99"/>
          <w:sz w:val="21"/>
          <w:szCs w:val="21"/>
        </w:rPr>
        <w:t> </w:t>
      </w:r>
      <w:r>
        <w:rPr/>
        <w:t>本公司以自身和各子公司的财务报表为基础，根据其他有关资料，编制合并财务报表。本公司编制合并财务报表，将整个 企业集团视为一个会计主体，依据相关企业会计准则的确认、计量和列报要求，按照统一的会计政策，反映本企业集团整</w:t>
      </w:r>
    </w:p>
    <w:p>
      <w:pPr>
        <w:pStyle w:val="BodyText"/>
        <w:spacing w:line="316" w:lineRule="auto" w:before="33"/>
        <w:ind w:left="213" w:right="0"/>
        <w:jc w:val="left"/>
      </w:pPr>
      <w:r>
        <w:rPr/>
        <w:t>体财务状况、经营成果和现金流量。 所有纳入合并财务报表合并范围的子公司所采用的会计政策、会计期间与本公司一致，如子公司采用的会计政策、会计期</w:t>
      </w:r>
      <w:r>
        <w:rPr>
          <w:spacing w:val="-57"/>
        </w:rPr>
        <w:t> </w:t>
      </w:r>
      <w:r>
        <w:rPr>
          <w:spacing w:val="-57"/>
        </w:rPr>
      </w:r>
      <w:r>
        <w:rPr/>
        <w:t>间与本公司不一致的，在编制合并财务报表时，按本公司的会计政策、会计期间进行必要的调整。对于非同一控制下企业</w:t>
      </w:r>
      <w:r>
        <w:rPr>
          <w:spacing w:val="-57"/>
        </w:rPr>
        <w:t> </w:t>
      </w:r>
      <w:r>
        <w:rPr>
          <w:spacing w:val="-57"/>
        </w:rPr>
      </w:r>
      <w:r>
        <w:rPr/>
        <w:t>合并取得的子公司，以购买日可辨认净资产公允价值为基础对其财务报表进行调整。对于同一控制下企业合并取得的子公</w:t>
      </w:r>
      <w:r>
        <w:rPr>
          <w:spacing w:val="-57"/>
        </w:rPr>
        <w:t> </w:t>
      </w:r>
      <w:r>
        <w:rPr>
          <w:spacing w:val="-57"/>
        </w:rPr>
      </w:r>
      <w:r>
        <w:rPr/>
        <w:t>司，以其资产、负债（包括最终控制方收购该子公司而形成的商誉）在最终控制方财务报表中的账面价值为基础对其财务</w:t>
      </w:r>
      <w:r>
        <w:rPr>
          <w:spacing w:val="-57"/>
        </w:rPr>
        <w:t> </w:t>
      </w:r>
      <w:r>
        <w:rPr>
          <w:spacing w:val="-57"/>
        </w:rPr>
      </w:r>
      <w:r>
        <w:rPr/>
        <w:t>报表进行调整。 子公司所有者权益、当期净损益和当期综合收益中属于少数股东的份额分别在合并资产负债表中所有者权益项目下、合并</w:t>
      </w:r>
      <w:r>
        <w:rPr>
          <w:spacing w:val="-55"/>
        </w:rPr>
        <w:t> </w:t>
      </w:r>
      <w:r>
        <w:rPr>
          <w:spacing w:val="-55"/>
        </w:rPr>
      </w:r>
      <w:r>
        <w:rPr/>
        <w:t>利润表中净利润项目下和综合收益总额项目下单独列示。子公司少数股东分担的当期亏损超过了少数股东在该子公司期初</w:t>
      </w:r>
      <w:r>
        <w:rPr>
          <w:spacing w:val="-57"/>
        </w:rPr>
        <w:t> </w:t>
      </w:r>
      <w:r>
        <w:rPr>
          <w:spacing w:val="-57"/>
        </w:rPr>
      </w:r>
      <w:r>
        <w:rPr/>
        <w:t>所有者权益中所享有份额而形成的余额，冲减少数股东权益。</w:t>
      </w:r>
    </w:p>
    <w:p>
      <w:pPr>
        <w:pStyle w:val="BodyText"/>
        <w:spacing w:line="314" w:lineRule="auto" w:before="19"/>
        <w:ind w:left="213" w:right="1118"/>
        <w:jc w:val="left"/>
      </w:pPr>
      <w:r>
        <w:rPr/>
        <w:t>（</w:t>
      </w:r>
      <w:r>
        <w:rPr>
          <w:rFonts w:ascii="Times New Roman" w:hAnsi="Times New Roman" w:cs="Times New Roman" w:eastAsia="Times New Roman" w:hint="default"/>
        </w:rPr>
        <w:t>1</w:t>
      </w:r>
      <w:r>
        <w:rPr/>
        <w:t>）增加子公司或业务 在报告期内，若因同一控制下企业合并增加子公司或业务的，则调整合并资产负债表的期初数；将子公司或业务合并当期</w:t>
      </w:r>
      <w:r>
        <w:rPr>
          <w:spacing w:val="-57"/>
        </w:rPr>
        <w:t> </w:t>
      </w:r>
      <w:r>
        <w:rPr>
          <w:spacing w:val="-57"/>
        </w:rPr>
      </w:r>
      <w:r>
        <w:rPr/>
        <w:t>期初至报告期末的收入、费用、利润纳入合并利润表；将子公司或业务合并当期期初至报告期末的现金流量纳入合并现金</w:t>
      </w:r>
      <w:r>
        <w:rPr>
          <w:spacing w:val="-57"/>
        </w:rPr>
        <w:t> </w:t>
      </w:r>
      <w:r>
        <w:rPr>
          <w:spacing w:val="-57"/>
        </w:rPr>
      </w:r>
      <w:r>
        <w:rPr/>
        <w:t>流量表，同时对比较报表的相关项目进行调整，视同合并后的报告主体自最终控制方开始控制时点起一直存在。 在报告期内，若因非同一控制下企业合并增加子公司或业务的，则不调整合并资产负债表期初数；将该子公司或业务自购</w:t>
      </w:r>
      <w:r>
        <w:rPr>
          <w:spacing w:val="-57"/>
        </w:rPr>
        <w:t> </w:t>
      </w:r>
      <w:r>
        <w:rPr>
          <w:spacing w:val="-57"/>
        </w:rPr>
      </w:r>
      <w:r>
        <w:rPr/>
        <w:t>买日至报告期末的收入、费用、利润纳入合并利润表；该子公司或业务自购买日至报告期末的现金流量纳入合并现金流量</w:t>
      </w:r>
      <w:r>
        <w:rPr>
          <w:spacing w:val="-57"/>
        </w:rPr>
        <w:t> </w:t>
      </w:r>
      <w:r>
        <w:rPr>
          <w:spacing w:val="-57"/>
        </w:rPr>
      </w:r>
      <w:r>
        <w:rPr/>
        <w:t>表。</w:t>
      </w:r>
    </w:p>
    <w:p>
      <w:pPr>
        <w:pStyle w:val="BodyText"/>
        <w:spacing w:line="240" w:lineRule="auto" w:before="20"/>
        <w:ind w:left="214" w:right="0"/>
        <w:jc w:val="left"/>
      </w:pPr>
      <w:r>
        <w:rPr/>
        <w:t>（</w:t>
      </w:r>
      <w:r>
        <w:rPr>
          <w:rFonts w:ascii="Times New Roman" w:hAnsi="Times New Roman" w:cs="Times New Roman" w:eastAsia="Times New Roman" w:hint="default"/>
        </w:rPr>
        <w:t>2</w:t>
      </w:r>
      <w:r>
        <w:rPr/>
        <w:t>）处置子公司或业务</w:t>
      </w:r>
    </w:p>
    <w:p>
      <w:pPr>
        <w:pStyle w:val="BodyText"/>
        <w:spacing w:line="316" w:lineRule="auto" w:before="63"/>
        <w:ind w:left="213" w:right="0"/>
        <w:jc w:val="left"/>
      </w:pPr>
      <w:r>
        <w:rPr/>
        <w:t>①一般处理方法 在报告期内，本公司处置子公司或业务，则该子公司或业务期初至处置日的收入、费用、利润纳入合并利润表；该子公司</w:t>
      </w:r>
      <w:r>
        <w:rPr>
          <w:spacing w:val="-57"/>
        </w:rPr>
        <w:t> </w:t>
      </w:r>
      <w:r>
        <w:rPr>
          <w:spacing w:val="-57"/>
        </w:rPr>
      </w:r>
      <w:r>
        <w:rPr/>
        <w:t>或业务期初至处置日的现金流量纳入合并现金流量表。 因处置部分股权投资或其他原因丧失了对被投资方控制权时，对于处置后的剩余股权投资，本公司按照其在丧失控制权日</w:t>
      </w:r>
      <w:r>
        <w:rPr>
          <w:spacing w:val="-54"/>
        </w:rPr>
        <w:t> </w:t>
      </w:r>
      <w:r>
        <w:rPr>
          <w:spacing w:val="-54"/>
        </w:rPr>
      </w:r>
      <w:r>
        <w:rPr/>
        <w:t>的公允价值进行重新计量。处置股权取得的对价与剩余股权公允价值之和，减去按原持股比例计算应享有原有子公司自购</w:t>
      </w:r>
      <w:r>
        <w:rPr>
          <w:spacing w:val="-57"/>
        </w:rPr>
        <w:t> </w:t>
      </w:r>
      <w:r>
        <w:rPr>
          <w:spacing w:val="-57"/>
        </w:rPr>
      </w:r>
      <w:r>
        <w:rPr/>
        <w:t>买日或合并日开始持续计算的净资产的份额与商誉之和的差额，计入丧失控制权当期的投资收益。与原有子公司股权投资</w:t>
      </w:r>
      <w:r>
        <w:rPr>
          <w:spacing w:val="-57"/>
        </w:rPr>
        <w:t> </w:t>
      </w:r>
      <w:r>
        <w:rPr>
          <w:spacing w:val="-57"/>
        </w:rPr>
      </w:r>
      <w:r>
        <w:rPr/>
        <w:t>相关的其他综合收益或除净损益、其他综合收益及利润分配之外的其他所有者权益变动，在丧失控制权时转为当期投资收</w:t>
      </w:r>
      <w:r>
        <w:rPr>
          <w:spacing w:val="-57"/>
        </w:rPr>
        <w:t> </w:t>
      </w:r>
      <w:r>
        <w:rPr>
          <w:spacing w:val="-57"/>
        </w:rPr>
      </w:r>
      <w:r>
        <w:rPr/>
        <w:t>益，由于被投资方重新计量设定受益计划净负债或净资产变动而产生的其他综合收益除外。 因其他投资方对子公司增资而导致本公司持股比例下降从而丧失控制权的，按照上述原则进行会计处理。</w:t>
      </w:r>
    </w:p>
    <w:p>
      <w:pPr>
        <w:spacing w:after="0" w:line="316" w:lineRule="auto"/>
        <w:jc w:val="left"/>
        <w:sectPr>
          <w:pgSz w:w="11910" w:h="16840"/>
          <w:pgMar w:header="87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7、现金及现金等价物的确定标准" w:id="170"/>
      <w:bookmarkEnd w:id="170"/>
      <w:r>
        <w:rPr>
          <w:b w:val="0"/>
          <w:bCs w:val="0"/>
        </w:rPr>
      </w:r>
      <w:r>
        <w:rPr>
          <w:rFonts w:ascii="Times New Roman" w:hAnsi="Times New Roman" w:cs="Times New Roman" w:eastAsia="Times New Roman" w:hint="default"/>
        </w:rPr>
        <w:t>7</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spacing w:val="-2"/>
        </w:rPr>
        <w:t>在编制现金流量表时，将本公司库存现金以及可以随时用于支付的存款确认为现金。将同时具备期限短（从购买日起三个月</w:t>
      </w:r>
      <w:r>
        <w:rPr>
          <w:spacing w:val="-66"/>
        </w:rPr>
        <w:t> </w:t>
      </w:r>
      <w:r>
        <w:rPr>
          <w:spacing w:val="-66"/>
        </w:rPr>
      </w:r>
      <w:r>
        <w:rPr/>
        <w:t>内到期）、流动性强、易于转换为已知现金、价值变动风险很小四个条件的投资，确定为现金等价物。</w:t>
      </w:r>
    </w:p>
    <w:p>
      <w:pPr>
        <w:spacing w:line="240" w:lineRule="auto" w:before="7"/>
        <w:rPr>
          <w:rFonts w:ascii="宋体" w:hAnsi="宋体" w:cs="宋体" w:eastAsia="宋体" w:hint="default"/>
          <w:sz w:val="22"/>
          <w:szCs w:val="22"/>
        </w:rPr>
      </w:pPr>
    </w:p>
    <w:p>
      <w:pPr>
        <w:pStyle w:val="Heading3"/>
        <w:spacing w:line="240" w:lineRule="auto"/>
        <w:ind w:left="153" w:right="0"/>
        <w:jc w:val="left"/>
        <w:rPr>
          <w:b w:val="0"/>
          <w:bCs w:val="0"/>
        </w:rPr>
      </w:pPr>
      <w:bookmarkStart w:name="8、外币业务和外币报表折算" w:id="171"/>
      <w:bookmarkEnd w:id="171"/>
      <w:r>
        <w:rPr>
          <w:b w:val="0"/>
          <w:bCs w:val="0"/>
        </w:rPr>
      </w:r>
      <w:r>
        <w:rPr>
          <w:rFonts w:ascii="Times New Roman" w:hAnsi="Times New Roman" w:cs="Times New Roman" w:eastAsia="Times New Roman" w:hint="default"/>
        </w:rPr>
        <w:t>8</w:t>
      </w:r>
      <w:r>
        <w:rPr/>
        <w:t>、外币业务和外币报表折算</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210" w:right="0"/>
        <w:jc w:val="left"/>
        <w:rPr>
          <w:b w:val="0"/>
          <w:bCs w:val="0"/>
        </w:rPr>
      </w:pPr>
      <w:r>
        <w:rPr>
          <w:rFonts w:ascii="Times New Roman" w:hAnsi="Times New Roman" w:cs="Times New Roman" w:eastAsia="Times New Roman" w:hint="default"/>
        </w:rPr>
        <w:t>1</w:t>
      </w:r>
      <w:r>
        <w:rPr/>
        <w:t>、外币业务</w:t>
      </w:r>
      <w:r>
        <w:rPr>
          <w:b w:val="0"/>
          <w:bCs w:val="0"/>
        </w:rPr>
      </w:r>
    </w:p>
    <w:p>
      <w:pPr>
        <w:pStyle w:val="BodyText"/>
        <w:spacing w:line="302" w:lineRule="auto" w:before="46"/>
        <w:ind w:left="210" w:right="1118" w:firstLine="3"/>
        <w:jc w:val="left"/>
      </w:pPr>
      <w:r>
        <w:rPr/>
        <w:t>外币业务采用交易发生日的即期汇率作为折算汇率将外币金额折合成人民币记账。 资产负债表日外币货币性项目余额按资产负债表日即期汇率折算，由此产生的汇兑差额，除属于与购建符合资本化条件的</w:t>
      </w:r>
      <w:r>
        <w:rPr>
          <w:spacing w:val="-57"/>
        </w:rPr>
        <w:t> </w:t>
      </w:r>
      <w:r>
        <w:rPr>
          <w:spacing w:val="-57"/>
        </w:rPr>
      </w:r>
      <w:r>
        <w:rPr/>
        <w:t>资产相关的外币专门借款产生的汇兑差额按照借款费用资本化的原则处理外，均计入当期损益。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、外币财务报表的折算</w:t>
      </w:r>
      <w:r>
        <w:rPr>
          <w:rFonts w:ascii="宋体" w:hAnsi="宋体" w:cs="宋体" w:eastAsia="宋体" w:hint="default"/>
          <w:b/>
          <w:bCs/>
          <w:w w:val="99"/>
          <w:sz w:val="21"/>
          <w:szCs w:val="21"/>
        </w:rPr>
        <w:t> </w:t>
      </w:r>
      <w:r>
        <w:rPr/>
        <w:t>资产负债表中的资产和负债项目，采用资产负债表日的即期汇率折算；所有者权益项目除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项目外，其他项目</w:t>
      </w:r>
      <w:r>
        <w:rPr>
          <w:spacing w:val="-39"/>
        </w:rPr>
        <w:t> </w:t>
      </w:r>
      <w:r>
        <w:rPr>
          <w:spacing w:val="-39"/>
        </w:rPr>
      </w:r>
      <w:r>
        <w:rPr/>
        <w:t>采用发生时的即期汇率折算。利润表中的收入和费用项目，采用交易发生日的即期汇率（或：采用按照系统合理的方法确</w:t>
      </w:r>
    </w:p>
    <w:p>
      <w:pPr>
        <w:pStyle w:val="BodyText"/>
        <w:spacing w:line="316" w:lineRule="auto" w:before="29"/>
        <w:ind w:right="0" w:firstLine="60"/>
        <w:jc w:val="left"/>
      </w:pPr>
      <w:r>
        <w:rPr/>
        <w:t>定的、与交易发生日即期汇率近似的汇率。提示：若采用此种方法，应明示何种方法何种口径）折算。 处置境外经营时，将与该境外经营相关的外币财务报表折算差额，自所有者权益项目转入处置当期损益。</w:t>
      </w:r>
    </w:p>
    <w:p>
      <w:pPr>
        <w:spacing w:line="240" w:lineRule="auto" w:before="7"/>
        <w:rPr>
          <w:rFonts w:ascii="宋体" w:hAnsi="宋体" w:cs="宋体" w:eastAsia="宋体" w:hint="default"/>
          <w:sz w:val="22"/>
          <w:szCs w:val="22"/>
        </w:rPr>
      </w:pPr>
    </w:p>
    <w:p>
      <w:pPr>
        <w:pStyle w:val="Heading3"/>
        <w:spacing w:line="240" w:lineRule="auto"/>
        <w:ind w:left="153" w:right="0"/>
        <w:jc w:val="left"/>
        <w:rPr>
          <w:b w:val="0"/>
          <w:bCs w:val="0"/>
        </w:rPr>
      </w:pPr>
      <w:bookmarkStart w:name="9、金融工具" w:id="172"/>
      <w:bookmarkEnd w:id="172"/>
      <w:r>
        <w:rPr>
          <w:b w:val="0"/>
          <w:bCs w:val="0"/>
        </w:rPr>
      </w:r>
      <w:r>
        <w:rPr>
          <w:rFonts w:ascii="Times New Roman" w:hAnsi="Times New Roman" w:cs="Times New Roman" w:eastAsia="Times New Roman" w:hint="default"/>
        </w:rPr>
        <w:t>9</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金融工具包括金融资产、金融负债和权益工具。</w:t>
      </w:r>
    </w:p>
    <w:p>
      <w:pPr>
        <w:spacing w:line="295" w:lineRule="auto" w:before="51"/>
        <w:ind w:left="210" w:right="11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、金融工具的分类</w:t>
      </w:r>
      <w:r>
        <w:rPr>
          <w:rFonts w:ascii="宋体" w:hAnsi="宋体" w:cs="宋体" w:eastAsia="宋体" w:hint="default"/>
          <w:b/>
          <w:bCs/>
          <w:w w:val="99"/>
          <w:sz w:val="21"/>
          <w:szCs w:val="21"/>
        </w:rPr>
        <w:t> </w:t>
      </w:r>
      <w:r>
        <w:rPr>
          <w:rFonts w:ascii="宋体" w:hAnsi="宋体" w:cs="宋体" w:eastAsia="宋体" w:hint="default"/>
          <w:sz w:val="18"/>
          <w:szCs w:val="18"/>
        </w:rPr>
        <w:t>金融资产和金融负债于初始确认时分类为：以公允价值计量且其变动计入当期损益的金融资产或金融负债，包括交易性金</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融资产或金融负债；持有至到期投资；应收款项；可供出售金融资产；其他金融负债等。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、金融工具的确认依据和计量方法</w:t>
      </w:r>
      <w:r>
        <w:rPr>
          <w:rFonts w:ascii="宋体" w:hAnsi="宋体" w:cs="宋体" w:eastAsia="宋体" w:hint="default"/>
          <w:sz w:val="21"/>
          <w:szCs w:val="21"/>
        </w:rPr>
      </w:r>
    </w:p>
    <w:p>
      <w:pPr>
        <w:pStyle w:val="BodyText"/>
        <w:spacing w:line="309" w:lineRule="auto"/>
        <w:ind w:right="0"/>
        <w:jc w:val="left"/>
      </w:pPr>
      <w:r>
        <w:rPr/>
        <w:t>（</w:t>
      </w:r>
      <w:r>
        <w:rPr>
          <w:rFonts w:ascii="Times New Roman" w:hAnsi="Times New Roman" w:cs="Times New Roman" w:eastAsia="Times New Roman" w:hint="default"/>
        </w:rPr>
        <w:t>1</w:t>
      </w:r>
      <w:r>
        <w:rPr/>
        <w:t>）以公允价值计量且其变动计入当期损益的金融资产（金融负债） 取得时以公允价值（扣除已宣告但尚未发放的现金股利或已到付息期但尚未领取的债券利息）作为初始确认金额，相关的</w:t>
      </w:r>
      <w:r>
        <w:rPr>
          <w:spacing w:val="-72"/>
        </w:rPr>
        <w:t> </w:t>
      </w:r>
      <w:r>
        <w:rPr>
          <w:spacing w:val="-72"/>
        </w:rPr>
      </w:r>
      <w:r>
        <w:rPr/>
        <w:t>交易费用计入当期损益。</w:t>
      </w:r>
    </w:p>
    <w:p>
      <w:pPr>
        <w:pStyle w:val="BodyText"/>
        <w:spacing w:line="316" w:lineRule="auto" w:before="24"/>
        <w:ind w:left="213" w:right="3133"/>
        <w:jc w:val="left"/>
      </w:pPr>
      <w:r>
        <w:rPr/>
        <w:t>持有期间将取得的利息或现金股利确认为投资收益，期末将公允价值变动计入当期损益。 处置时，其公允价值与初始入账金额之间的差额确认为投资收益，同时调整公允价值变动损益。</w:t>
      </w:r>
    </w:p>
    <w:p>
      <w:pPr>
        <w:pStyle w:val="BodyText"/>
        <w:spacing w:line="314" w:lineRule="auto" w:before="19"/>
        <w:ind w:left="213" w:right="1033" w:hanging="60"/>
        <w:jc w:val="left"/>
      </w:pPr>
      <w:r>
        <w:rPr/>
        <w:t>（</w:t>
      </w:r>
      <w:r>
        <w:rPr>
          <w:rFonts w:ascii="Times New Roman" w:hAnsi="Times New Roman" w:cs="Times New Roman" w:eastAsia="Times New Roman" w:hint="default"/>
        </w:rPr>
        <w:t>2</w:t>
      </w:r>
      <w:r>
        <w:rPr/>
        <w:t>）持有至到期投资 取得时按公允价值（扣除已到付息期但尚未领取的债券利息）和相关交易费用之和作为初始确认金额。 </w:t>
      </w:r>
      <w:r>
        <w:rPr>
          <w:spacing w:val="-2"/>
        </w:rPr>
        <w:t>持有期间按照摊余成本和实际利率（如实际利率与票面利率差别较小的，按票面利率）计算确认利息收入，计入投资收益。</w:t>
      </w:r>
      <w:r>
        <w:rPr/>
        <w:t> 实际利率在取得时确定，在该预期存续期间或适用的更短期间内保持不变。 处置时，将所取得价款与该投资账面价值之间的差额计入投资收益。</w:t>
      </w:r>
    </w:p>
    <w:p>
      <w:pPr>
        <w:pStyle w:val="BodyText"/>
        <w:spacing w:line="312" w:lineRule="auto" w:before="20"/>
        <w:ind w:left="213" w:right="1027"/>
        <w:jc w:val="left"/>
      </w:pPr>
      <w:r>
        <w:rPr/>
        <w:t>（</w:t>
      </w:r>
      <w:r>
        <w:rPr>
          <w:rFonts w:ascii="Times New Roman" w:hAnsi="Times New Roman" w:cs="Times New Roman" w:eastAsia="Times New Roman" w:hint="default"/>
        </w:rPr>
        <w:t>3</w:t>
      </w:r>
      <w:r>
        <w:rPr/>
        <w:t>）应收款项 </w:t>
      </w:r>
      <w:r>
        <w:rPr>
          <w:spacing w:val="-1"/>
        </w:rPr>
        <w:t>公司对外销售商品或提供劳务形成的应收债权，以及公司持有的其他企业的不包括在活跃市场上有报价的债务工具的债权，</w:t>
      </w:r>
      <w:r>
        <w:rPr>
          <w:spacing w:val="-88"/>
        </w:rPr>
        <w:t> </w:t>
      </w:r>
      <w:r>
        <w:rPr>
          <w:spacing w:val="-88"/>
        </w:rPr>
      </w:r>
      <w:r>
        <w:rPr/>
        <w:t>包括应收账款、其他应收款等，以向购货方应收的合同或协议价款作为初始确认金额；具有融资性质的，按其现值进行初</w:t>
      </w:r>
      <w:r>
        <w:rPr>
          <w:spacing w:val="-57"/>
        </w:rPr>
        <w:t> </w:t>
      </w:r>
      <w:r>
        <w:rPr>
          <w:spacing w:val="-57"/>
        </w:rPr>
      </w:r>
      <w:r>
        <w:rPr/>
        <w:t>始确认。</w:t>
      </w:r>
    </w:p>
    <w:p>
      <w:pPr>
        <w:pStyle w:val="BodyText"/>
        <w:spacing w:line="240" w:lineRule="auto" w:before="22"/>
        <w:ind w:left="213" w:right="0"/>
        <w:jc w:val="left"/>
      </w:pPr>
      <w:r>
        <w:rPr/>
        <w:t>收回或处置时，将取得的价款与该应收款项账面价值之间的差额计入当期损益。</w:t>
      </w:r>
    </w:p>
    <w:p>
      <w:pPr>
        <w:pStyle w:val="BodyText"/>
        <w:spacing w:line="314" w:lineRule="auto" w:before="76"/>
        <w:ind w:left="213" w:right="1118"/>
        <w:jc w:val="left"/>
      </w:pPr>
      <w:r>
        <w:rPr/>
        <w:t>（</w:t>
      </w:r>
      <w:r>
        <w:rPr>
          <w:rFonts w:ascii="Times New Roman" w:hAnsi="Times New Roman" w:cs="Times New Roman" w:eastAsia="Times New Roman" w:hint="default"/>
        </w:rPr>
        <w:t>4</w:t>
      </w:r>
      <w:r>
        <w:rPr/>
        <w:t>）可供出售金融资产 取得时按公允价值（扣除已宣告但尚未发放的现金股利或已到付息期但尚未领取的债券利息）和相关交易费用之和作为初</w:t>
      </w:r>
      <w:r>
        <w:rPr>
          <w:spacing w:val="-57"/>
        </w:rPr>
        <w:t> </w:t>
      </w:r>
      <w:r>
        <w:rPr>
          <w:spacing w:val="-57"/>
        </w:rPr>
      </w:r>
      <w:r>
        <w:rPr/>
        <w:t>始确认金额。 持有期间将取得的利息或现金股利确认为投资收益。期末以公允价值计量且将公允价值变动计入其他综合收益。但是，在</w:t>
      </w:r>
      <w:r>
        <w:rPr>
          <w:spacing w:val="-52"/>
        </w:rPr>
        <w:t> </w:t>
      </w:r>
      <w:r>
        <w:rPr>
          <w:spacing w:val="-52"/>
        </w:rPr>
      </w:r>
      <w:r>
        <w:rPr/>
        <w:t>活跃市场中没有报价且其公允价值不能可靠计量的权益工具投资，以及与该权益工具挂钩并须通过交付该权益工具结算的</w:t>
      </w:r>
      <w:r>
        <w:rPr>
          <w:spacing w:val="-57"/>
        </w:rPr>
        <w:t> </w:t>
      </w:r>
      <w:r>
        <w:rPr>
          <w:spacing w:val="-57"/>
        </w:rPr>
      </w:r>
      <w:r>
        <w:rPr/>
        <w:t>衍生金融资产，按照成本计量。</w:t>
      </w:r>
    </w:p>
    <w:p>
      <w:pPr>
        <w:spacing w:after="0" w:line="314" w:lineRule="auto"/>
        <w:jc w:val="left"/>
        <w:sectPr>
          <w:pgSz w:w="11910" w:h="16840"/>
          <w:pgMar w:header="87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213" w:right="0"/>
        <w:jc w:val="left"/>
      </w:pPr>
      <w:r>
        <w:rPr/>
        <w:t>处置时，将取得的价款与该金融资产账面价值之间的差额，计入投资损益；同时，将原直接计入其他综合收益的公允价值</w:t>
      </w:r>
      <w:r>
        <w:rPr>
          <w:spacing w:val="-57"/>
        </w:rPr>
        <w:t> </w:t>
      </w:r>
      <w:r>
        <w:rPr>
          <w:spacing w:val="-57"/>
        </w:rPr>
      </w:r>
      <w:r>
        <w:rPr/>
        <w:t>变动累计额对应处置部分的金额转出，计入当期损益。</w:t>
      </w:r>
    </w:p>
    <w:p>
      <w:pPr>
        <w:spacing w:line="297" w:lineRule="auto" w:before="19"/>
        <w:ind w:left="210" w:right="4036" w:firstLine="3"/>
        <w:jc w:val="left"/>
        <w:rPr>
          <w:rFonts w:ascii="宋体" w:hAnsi="宋体" w:cs="宋体" w:eastAsia="宋体" w:hint="default"/>
          <w:sz w:val="21"/>
          <w:szCs w:val="21"/>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）其他金融负债 按其公允价值和相关交易费用之和作为初始确认金额。采用摊余成本进行后续计量。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、金融资产转移的确认依据和计量方法</w:t>
      </w:r>
      <w:r>
        <w:rPr>
          <w:rFonts w:ascii="宋体" w:hAnsi="宋体" w:cs="宋体" w:eastAsia="宋体" w:hint="default"/>
          <w:sz w:val="21"/>
          <w:szCs w:val="21"/>
        </w:rPr>
      </w:r>
    </w:p>
    <w:p>
      <w:pPr>
        <w:pStyle w:val="BodyText"/>
        <w:spacing w:line="316" w:lineRule="auto"/>
        <w:ind w:left="213" w:right="0"/>
        <w:jc w:val="left"/>
      </w:pPr>
      <w:r>
        <w:rPr/>
        <w:t>公司发生金融资产转移时，如已将金融资产所有权上几乎所有的风险和报酬转移给转入方，则终止确认该金融资产；如保</w:t>
      </w:r>
      <w:r>
        <w:rPr>
          <w:spacing w:val="-53"/>
        </w:rPr>
        <w:t> </w:t>
      </w:r>
      <w:r>
        <w:rPr>
          <w:spacing w:val="-53"/>
        </w:rPr>
      </w:r>
      <w:r>
        <w:rPr/>
        <w:t>留了金融资产所有权上几乎所有的风险和报酬的，则不终止确认该金融资产。 在判断金融资产转移是否满足上述金融资产终止确认条件时，采用实质重于形式的原则。公司将金融资产转移区分为金融</w:t>
      </w:r>
      <w:r>
        <w:rPr>
          <w:spacing w:val="-57"/>
        </w:rPr>
        <w:t> </w:t>
      </w:r>
      <w:r>
        <w:rPr>
          <w:spacing w:val="-57"/>
        </w:rPr>
      </w:r>
      <w:r>
        <w:rPr/>
        <w:t>资产整体转移和部分转移。金融资产整体转移满足终止确认条件的，将下列两项金额的差额计入当期损益：</w:t>
      </w:r>
    </w:p>
    <w:p>
      <w:pPr>
        <w:pStyle w:val="BodyText"/>
        <w:spacing w:line="240" w:lineRule="auto" w:before="19"/>
        <w:ind w:right="0"/>
        <w:jc w:val="left"/>
      </w:pPr>
      <w:r>
        <w:rPr/>
        <w:t>（</w:t>
      </w:r>
      <w:r>
        <w:rPr>
          <w:rFonts w:ascii="Times New Roman" w:hAnsi="Times New Roman" w:cs="Times New Roman" w:eastAsia="Times New Roman" w:hint="default"/>
        </w:rPr>
        <w:t>1</w:t>
      </w:r>
      <w:r>
        <w:rPr/>
        <w:t>）所转移金融资产的账面价值；</w:t>
      </w:r>
    </w:p>
    <w:p>
      <w:pPr>
        <w:pStyle w:val="BodyText"/>
        <w:spacing w:line="312" w:lineRule="auto" w:before="63"/>
        <w:ind w:right="1123"/>
        <w:jc w:val="left"/>
      </w:pPr>
      <w:r>
        <w:rPr/>
        <w:t>（</w:t>
      </w:r>
      <w:r>
        <w:rPr>
          <w:rFonts w:ascii="Times New Roman" w:hAnsi="Times New Roman" w:cs="Times New Roman" w:eastAsia="Times New Roman" w:hint="default"/>
        </w:rPr>
        <w:t>2</w:t>
      </w:r>
      <w:r>
        <w:rPr/>
        <w:t>）因转移而收到的对价，与原直接计入所有者权益的公允价值变动累计额（涉及转移的金融资产为可供出售金融资产的</w:t>
      </w:r>
      <w:r>
        <w:rPr>
          <w:spacing w:val="-83"/>
        </w:rPr>
        <w:t> </w:t>
      </w:r>
      <w:r>
        <w:rPr>
          <w:spacing w:val="-83"/>
        </w:rPr>
      </w:r>
      <w:r>
        <w:rPr/>
        <w:t>情形）之和。 </w:t>
      </w:r>
      <w:r>
        <w:rPr>
          <w:spacing w:val="-2"/>
        </w:rPr>
        <w:t>金融资产部分转移满足终止确认条件的，将所转移金融资产整体的账面价值，在终止确认部分和未终止确认部分之间，按照</w:t>
      </w:r>
      <w:r>
        <w:rPr>
          <w:spacing w:val="-66"/>
        </w:rPr>
        <w:t> </w:t>
      </w:r>
      <w:r>
        <w:rPr>
          <w:spacing w:val="-66"/>
        </w:rPr>
      </w:r>
      <w:r>
        <w:rPr/>
        <w:t>各自的相对公允价值进行分摊，并将下列两项金额的差额计入当期损益：</w:t>
      </w:r>
    </w:p>
    <w:p>
      <w:pPr>
        <w:pStyle w:val="BodyText"/>
        <w:spacing w:line="240" w:lineRule="auto" w:before="22"/>
        <w:ind w:right="0"/>
        <w:jc w:val="left"/>
      </w:pPr>
      <w:r>
        <w:rPr/>
        <w:t>（</w:t>
      </w:r>
      <w:r>
        <w:rPr>
          <w:rFonts w:ascii="Times New Roman" w:hAnsi="Times New Roman" w:cs="Times New Roman" w:eastAsia="Times New Roman" w:hint="default"/>
        </w:rPr>
        <w:t>1</w:t>
      </w:r>
      <w:r>
        <w:rPr/>
        <w:t>）终止确认部分的账面价值；</w:t>
      </w:r>
    </w:p>
    <w:p>
      <w:pPr>
        <w:pStyle w:val="BodyText"/>
        <w:spacing w:line="302" w:lineRule="auto" w:before="63"/>
        <w:ind w:left="154" w:right="1122"/>
        <w:jc w:val="left"/>
      </w:pPr>
      <w:r>
        <w:rPr/>
        <w:t>（</w:t>
      </w:r>
      <w:r>
        <w:rPr>
          <w:rFonts w:ascii="Times New Roman" w:hAnsi="Times New Roman" w:cs="Times New Roman" w:eastAsia="Times New Roman" w:hint="default"/>
        </w:rPr>
        <w:t>2</w:t>
      </w:r>
      <w:r>
        <w:rPr/>
        <w:t>）终止确认部分的对价，与原直接计入所有者权益的公允价值变动累计额中对应终止确认部分的金额（涉及转移的金融</w:t>
      </w:r>
      <w:r>
        <w:rPr>
          <w:spacing w:val="-83"/>
        </w:rPr>
        <w:t> </w:t>
      </w:r>
      <w:r>
        <w:rPr>
          <w:spacing w:val="-83"/>
        </w:rPr>
      </w:r>
      <w:r>
        <w:rPr/>
        <w:t>资产为可供出售金融资产的情形）之和。 金融资产转移不满足终止确认条件的，继续确认该金融资产，所收到的对价确认为一项金融负债。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、金融负债终止确认条件</w:t>
      </w:r>
      <w:r>
        <w:rPr>
          <w:rFonts w:ascii="宋体" w:hAnsi="宋体" w:cs="宋体" w:eastAsia="宋体" w:hint="default"/>
          <w:b/>
          <w:bCs/>
          <w:w w:val="99"/>
          <w:sz w:val="21"/>
          <w:szCs w:val="21"/>
        </w:rPr>
        <w:t> </w:t>
      </w:r>
      <w:r>
        <w:rPr/>
        <w:t>金融负债的现时义务全部或部分已经解除的，则终止确认该金融负债或其一部分；本公司若与债权人签定协议，以承担新</w:t>
      </w:r>
      <w:r>
        <w:rPr>
          <w:spacing w:val="-52"/>
        </w:rPr>
        <w:t> </w:t>
      </w:r>
      <w:r>
        <w:rPr>
          <w:spacing w:val="-52"/>
        </w:rPr>
      </w:r>
      <w:r>
        <w:rPr/>
        <w:t>金融负债方式替换现存金融负债，且新金融负债与现存金融负债的合同条款实质上不同的，则终止确认现存金融负债，并</w:t>
      </w:r>
    </w:p>
    <w:p>
      <w:pPr>
        <w:pStyle w:val="BodyText"/>
        <w:spacing w:line="316" w:lineRule="auto" w:before="29"/>
        <w:ind w:left="213" w:right="1027"/>
        <w:jc w:val="left"/>
      </w:pPr>
      <w:r>
        <w:rPr/>
        <w:t>同时确认新金融负债。 对现存金融负债全部或部分合同条款作出实质性修改的，则终止确认现存金融负债或其一部分，同时将修改条款后的金融</w:t>
      </w:r>
      <w:r>
        <w:rPr>
          <w:spacing w:val="-57"/>
        </w:rPr>
        <w:t> </w:t>
      </w:r>
      <w:r>
        <w:rPr>
          <w:spacing w:val="-57"/>
        </w:rPr>
      </w:r>
      <w:r>
        <w:rPr/>
        <w:t>负债确认为一项新金融负债。 </w:t>
      </w:r>
      <w:r>
        <w:rPr>
          <w:spacing w:val="-1"/>
        </w:rPr>
        <w:t>金融负债全部或部分终止确认时，终止确认的金融负债账面价值与支付对价（包括转出的非现金资产或承担的新金融负债）</w:t>
      </w:r>
      <w:r>
        <w:rPr/>
        <w:t> 之间的差额，计入当期损益。 本公司若回购部分金融负债的，在回购日按照继续确认部分与终止确认部分的相对公允价值，将该金融负债整体的账面价</w:t>
      </w:r>
      <w:r>
        <w:rPr>
          <w:spacing w:val="-57"/>
        </w:rPr>
        <w:t> </w:t>
      </w:r>
      <w:r>
        <w:rPr>
          <w:spacing w:val="-57"/>
        </w:rPr>
      </w:r>
      <w:r>
        <w:rPr/>
        <w:t>值进行分配。分配给终止确认部分的账面价值与支付的对价（包括转出的非现金资产或承担的新金融负债）之间的差额，</w:t>
      </w:r>
      <w:r>
        <w:rPr>
          <w:spacing w:val="-57"/>
        </w:rPr>
        <w:t> </w:t>
      </w:r>
      <w:r>
        <w:rPr>
          <w:spacing w:val="-57"/>
        </w:rPr>
      </w:r>
      <w:r>
        <w:rPr/>
        <w:t>计入当期损益。</w:t>
      </w:r>
    </w:p>
    <w:p>
      <w:pPr>
        <w:pStyle w:val="BodyText"/>
        <w:spacing w:line="297" w:lineRule="auto"/>
        <w:ind w:left="213" w:right="0" w:hanging="4"/>
        <w:jc w:val="left"/>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、金融资产和金融负债的公允价值的确定方法</w:t>
      </w:r>
      <w:r>
        <w:rPr>
          <w:rFonts w:ascii="宋体" w:hAnsi="宋体" w:cs="宋体" w:eastAsia="宋体" w:hint="default"/>
          <w:b/>
          <w:bCs/>
          <w:w w:val="99"/>
          <w:sz w:val="21"/>
          <w:szCs w:val="21"/>
        </w:rPr>
        <w:t> </w:t>
      </w:r>
      <w:r>
        <w:rPr/>
        <w:t>存在活跃市场的金融工具，以活跃市场中的报价确定其公允价值。不存在活跃市场的金融工具，采用估值技术确定其公允</w:t>
      </w:r>
      <w:r>
        <w:rPr>
          <w:spacing w:val="-61"/>
        </w:rPr>
        <w:t> </w:t>
      </w:r>
      <w:r>
        <w:rPr>
          <w:spacing w:val="-61"/>
        </w:rPr>
      </w:r>
      <w:r>
        <w:rPr/>
        <w:t>价值。在估值时，本公司采用在当前情况下适用并且有足够可利用数据和其他信息支持的估值技术，选择与市场参与者在</w:t>
      </w:r>
    </w:p>
    <w:p>
      <w:pPr>
        <w:pStyle w:val="BodyText"/>
        <w:spacing w:line="302" w:lineRule="auto" w:before="33"/>
        <w:ind w:left="210" w:right="0" w:firstLine="3"/>
        <w:jc w:val="left"/>
      </w:pPr>
      <w:r>
        <w:rPr/>
        <w:t>相关资产或负债的交易中所考虑的资产或负债特征相一致的输入值，并优先使用相关可观察输入值。只有在相关可观察输</w:t>
      </w:r>
      <w:r>
        <w:rPr>
          <w:spacing w:val="-60"/>
        </w:rPr>
        <w:t> </w:t>
      </w:r>
      <w:r>
        <w:rPr>
          <w:spacing w:val="-60"/>
        </w:rPr>
      </w:r>
      <w:r>
        <w:rPr/>
        <w:t>入值无法取得或取得不切实可行的情况下，才使用不可观察输入值。 </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、金融资产（不含应收款项）减值的测试方法及会计处理方法</w:t>
      </w:r>
      <w:r>
        <w:rPr>
          <w:rFonts w:ascii="宋体" w:hAnsi="宋体" w:cs="宋体" w:eastAsia="宋体" w:hint="default"/>
          <w:b/>
          <w:bCs/>
          <w:w w:val="99"/>
          <w:sz w:val="21"/>
          <w:szCs w:val="21"/>
        </w:rPr>
        <w:t> </w:t>
      </w:r>
      <w:r>
        <w:rPr/>
        <w:t>除以公允价值计量且其变动计入当期损益的金融资产外，本公司于资产负债表日对金融资产的账面价值进行检查，如果有</w:t>
      </w:r>
      <w:r>
        <w:rPr>
          <w:spacing w:val="-57"/>
        </w:rPr>
        <w:t> </w:t>
      </w:r>
      <w:r>
        <w:rPr>
          <w:spacing w:val="-57"/>
        </w:rPr>
      </w:r>
      <w:r>
        <w:rPr/>
        <w:t>客观证据表明某项金融资产发生减值的，计提减值准备。</w:t>
      </w:r>
    </w:p>
    <w:p>
      <w:pPr>
        <w:pStyle w:val="BodyText"/>
        <w:spacing w:line="314" w:lineRule="auto" w:before="29"/>
        <w:ind w:left="213" w:right="1027" w:hanging="60"/>
        <w:jc w:val="left"/>
      </w:pPr>
      <w:r>
        <w:rPr/>
        <w:t>（</w:t>
      </w:r>
      <w:r>
        <w:rPr>
          <w:rFonts w:ascii="Times New Roman" w:hAnsi="Times New Roman" w:cs="Times New Roman" w:eastAsia="Times New Roman" w:hint="default"/>
        </w:rPr>
        <w:t>1</w:t>
      </w:r>
      <w:r>
        <w:rPr/>
        <w:t>）可供出售金融资产的减值准备： </w:t>
      </w:r>
      <w:r>
        <w:rPr>
          <w:spacing w:val="-1"/>
        </w:rPr>
        <w:t>期末如果可供出售金融资产的公允价值发生严重下降，或在综合考虑各种相关因素后，预期这种下降趋势属于非暂时性的，</w:t>
      </w:r>
      <w:r>
        <w:rPr/>
        <w:t> 就认定其已发生减值，将原直接计入所有者权益的公允价值下降形成的累计损失一并转出，确认减值损失。 对于已确认减值损失的可供出售债务工具，在随后的会计期间公允价值已上升且客观上与确认原减值损失确认后发生的事 项有关的，原确认的减值损失予以转回，计入当期损益。</w:t>
      </w:r>
    </w:p>
    <w:p>
      <w:pPr>
        <w:pStyle w:val="BodyText"/>
        <w:spacing w:line="240" w:lineRule="auto" w:before="20"/>
        <w:ind w:left="214" w:right="0"/>
        <w:jc w:val="left"/>
      </w:pPr>
      <w:r>
        <w:rPr/>
        <w:t>可供出售权益工具投资发生的减值损失，不通过损益转回。</w:t>
      </w:r>
    </w:p>
    <w:p>
      <w:pPr>
        <w:pStyle w:val="BodyText"/>
        <w:spacing w:line="240" w:lineRule="auto" w:before="76"/>
        <w:ind w:left="154" w:right="0"/>
        <w:jc w:val="left"/>
      </w:pPr>
      <w:r>
        <w:rPr/>
        <w:t>（</w:t>
      </w:r>
      <w:r>
        <w:rPr>
          <w:rFonts w:ascii="Times New Roman" w:hAnsi="Times New Roman" w:cs="Times New Roman" w:eastAsia="Times New Roman" w:hint="default"/>
        </w:rPr>
        <w:t>2</w:t>
      </w:r>
      <w:r>
        <w:rPr/>
        <w:t>）持有至到期投资的减值准备：</w:t>
      </w:r>
    </w:p>
    <w:p>
      <w:pPr>
        <w:spacing w:after="0" w:line="240" w:lineRule="auto"/>
        <w:jc w:val="left"/>
        <w:sectPr>
          <w:pgSz w:w="11910" w:h="16840"/>
          <w:pgMar w:header="87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213" w:right="0"/>
        <w:jc w:val="left"/>
      </w:pPr>
      <w:r>
        <w:rPr/>
        <w:t>持有至到期投资减值损失的计量比照应收款项减值损失计量方法处理。</w:t>
      </w:r>
    </w:p>
    <w:p>
      <w:pPr>
        <w:spacing w:line="240" w:lineRule="auto" w:before="12"/>
        <w:rPr>
          <w:rFonts w:ascii="宋体" w:hAnsi="宋体" w:cs="宋体" w:eastAsia="宋体" w:hint="default"/>
          <w:sz w:val="26"/>
          <w:szCs w:val="26"/>
        </w:rPr>
      </w:pPr>
    </w:p>
    <w:p>
      <w:pPr>
        <w:pStyle w:val="Heading3"/>
        <w:spacing w:line="240" w:lineRule="auto"/>
        <w:ind w:left="153" w:right="0"/>
        <w:jc w:val="left"/>
        <w:rPr>
          <w:b w:val="0"/>
          <w:bCs w:val="0"/>
        </w:rPr>
      </w:pPr>
      <w:bookmarkStart w:name="10、应收款项" w:id="173"/>
      <w:bookmarkEnd w:id="173"/>
      <w:r>
        <w:rPr>
          <w:b w:val="0"/>
          <w:bCs w:val="0"/>
        </w:rPr>
      </w:r>
      <w:r>
        <w:rPr>
          <w:rFonts w:ascii="Times New Roman" w:hAnsi="Times New Roman" w:cs="Times New Roman" w:eastAsia="Times New Roman" w:hint="default"/>
        </w:rPr>
        <w:t>10</w:t>
      </w:r>
      <w:r>
        <w:rPr/>
        <w:t>、应收款项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单项金额重大并单独计提坏账准备的应收款项" w:id="174"/>
      <w:bookmarkEnd w:id="174"/>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期末单项余额在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万元以上的应收账款。</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8"/>
              <w:jc w:val="left"/>
              <w:rPr>
                <w:rFonts w:ascii="宋体" w:hAnsi="宋体" w:cs="宋体" w:eastAsia="宋体" w:hint="default"/>
                <w:sz w:val="18"/>
                <w:szCs w:val="18"/>
              </w:rPr>
            </w:pPr>
            <w:r>
              <w:rPr>
                <w:rFonts w:ascii="宋体" w:hAnsi="宋体" w:cs="宋体" w:eastAsia="宋体" w:hint="default"/>
                <w:sz w:val="18"/>
                <w:szCs w:val="18"/>
              </w:rPr>
              <w:t>单独进行减值测试，如果客观证据表明其发生了减值的，根 据其未来现金流量低于其账面价值的差额确认减值损失。</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按信用风险特征组合计提坏账准备的应收款项" w:id="175"/>
      <w:bookmarkEnd w:id="175"/>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按账龄分析法计提坏账准备的应收款项</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内部及关联方应收款项</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pStyle w:val="BodyText"/>
        <w:spacing w:line="240" w:lineRule="auto" w:before="51"/>
        <w:ind w:left="154" w:right="0"/>
        <w:jc w:val="left"/>
      </w:pPr>
      <w:r>
        <w:rPr/>
        <w:t>组合中，采用账龄分析法计提坏账准备的：</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154" w:right="0"/>
        <w:jc w:val="left"/>
      </w:pPr>
      <w:r>
        <w:rPr/>
        <w:t>组合中，采用余额百分比法计提坏账准备的：</w:t>
      </w:r>
    </w:p>
    <w:p>
      <w:pPr>
        <w:pStyle w:val="BodyText"/>
        <w:spacing w:line="338" w:lineRule="auto" w:before="117"/>
        <w:ind w:right="75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3）单项金额不重大但单独计提坏账准备的应收款项" w:id="176"/>
      <w:bookmarkEnd w:id="176"/>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涉及诉讼或对应收款项金额存在争议的应收款项。</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单独进行减值测试，如果客观证据表明其发生了减值的，根 据其未来现金流量低于其账面价值的差额确认减值损失。</w:t>
            </w:r>
          </w:p>
        </w:tc>
      </w:tr>
    </w:tbl>
    <w:p>
      <w:pPr>
        <w:spacing w:line="240" w:lineRule="auto" w:before="3"/>
        <w:rPr>
          <w:rFonts w:ascii="宋体" w:hAnsi="宋体" w:cs="宋体" w:eastAsia="宋体" w:hint="default"/>
          <w:b/>
          <w:bCs/>
          <w:sz w:val="19"/>
          <w:szCs w:val="19"/>
        </w:rPr>
      </w:pPr>
    </w:p>
    <w:p>
      <w:pPr>
        <w:pStyle w:val="Heading3"/>
        <w:spacing w:line="240" w:lineRule="auto" w:before="35"/>
        <w:ind w:right="0"/>
        <w:jc w:val="left"/>
        <w:rPr>
          <w:b w:val="0"/>
          <w:bCs w:val="0"/>
        </w:rPr>
      </w:pPr>
      <w:bookmarkStart w:name="11、存货" w:id="177"/>
      <w:bookmarkEnd w:id="177"/>
      <w:r>
        <w:rPr>
          <w:b w:val="0"/>
          <w:bCs w:val="0"/>
        </w:rPr>
      </w:r>
      <w:r>
        <w:rPr>
          <w:rFonts w:ascii="Times New Roman" w:hAnsi="Times New Roman" w:cs="Times New Roman" w:eastAsia="Times New Roman" w:hint="default"/>
        </w:rPr>
        <w:t>11</w:t>
      </w:r>
      <w:r>
        <w:rPr/>
        <w:t>、存货</w:t>
      </w:r>
      <w:r>
        <w:rPr>
          <w:b w:val="0"/>
          <w:bCs w:val="0"/>
        </w:rPr>
      </w:r>
    </w:p>
    <w:p>
      <w:pPr>
        <w:spacing w:line="240" w:lineRule="auto" w:before="7"/>
        <w:rPr>
          <w:rFonts w:ascii="宋体" w:hAnsi="宋体" w:cs="宋体" w:eastAsia="宋体" w:hint="default"/>
          <w:b/>
          <w:bCs/>
          <w:sz w:val="24"/>
          <w:szCs w:val="24"/>
        </w:rPr>
      </w:pPr>
    </w:p>
    <w:p>
      <w:pPr>
        <w:spacing w:line="285" w:lineRule="auto" w:before="0"/>
        <w:ind w:left="210" w:right="313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、存货的分类</w:t>
      </w:r>
      <w:r>
        <w:rPr>
          <w:rFonts w:ascii="宋体" w:hAnsi="宋体" w:cs="宋体" w:eastAsia="宋体" w:hint="default"/>
          <w:b/>
          <w:bCs/>
          <w:w w:val="99"/>
          <w:sz w:val="21"/>
          <w:szCs w:val="21"/>
        </w:rPr>
        <w:t> </w:t>
      </w:r>
      <w:r>
        <w:rPr>
          <w:rFonts w:ascii="宋体" w:hAnsi="宋体" w:cs="宋体" w:eastAsia="宋体" w:hint="default"/>
          <w:sz w:val="18"/>
          <w:szCs w:val="18"/>
        </w:rPr>
        <w:t>存货分类为：在途物资、原材料、周转材料、库存商品、在产品、发出商品、委托加工物资等。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、发出存货的计价方法</w:t>
      </w:r>
      <w:r>
        <w:rPr>
          <w:rFonts w:ascii="宋体" w:hAnsi="宋体" w:cs="宋体" w:eastAsia="宋体" w:hint="default"/>
          <w:sz w:val="21"/>
          <w:szCs w:val="21"/>
        </w:rPr>
      </w:r>
    </w:p>
    <w:p>
      <w:pPr>
        <w:spacing w:after="0" w:line="285" w:lineRule="auto"/>
        <w:jc w:val="left"/>
        <w:rPr>
          <w:rFonts w:ascii="宋体" w:hAnsi="宋体" w:cs="宋体" w:eastAsia="宋体" w:hint="default"/>
          <w:sz w:val="21"/>
          <w:szCs w:val="21"/>
        </w:rPr>
        <w:sectPr>
          <w:pgSz w:w="11910" w:h="16840"/>
          <w:pgMar w:header="877" w:footer="979" w:top="1060" w:bottom="1160" w:left="980" w:right="0"/>
        </w:sectPr>
      </w:pPr>
    </w:p>
    <w:p>
      <w:pPr>
        <w:spacing w:line="240" w:lineRule="auto" w:before="12"/>
        <w:rPr>
          <w:rFonts w:ascii="宋体" w:hAnsi="宋体" w:cs="宋体" w:eastAsia="宋体" w:hint="default"/>
          <w:b/>
          <w:bCs/>
          <w:sz w:val="25"/>
          <w:szCs w:val="25"/>
        </w:rPr>
      </w:pPr>
    </w:p>
    <w:p>
      <w:pPr>
        <w:pStyle w:val="BodyText"/>
        <w:spacing w:line="240" w:lineRule="auto" w:before="44"/>
        <w:ind w:left="213" w:right="0"/>
        <w:jc w:val="left"/>
      </w:pPr>
      <w:r>
        <w:rPr/>
        <w:t>存货发出时按加权平均法计价。</w:t>
      </w:r>
    </w:p>
    <w:p>
      <w:pPr>
        <w:pStyle w:val="BodyText"/>
        <w:spacing w:line="297" w:lineRule="auto" w:before="51"/>
        <w:ind w:left="213" w:right="0" w:hanging="4"/>
        <w:jc w:val="left"/>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、不同类别存货可变现净值的确定依据</w:t>
      </w:r>
      <w:r>
        <w:rPr>
          <w:rFonts w:ascii="宋体" w:hAnsi="宋体" w:cs="宋体" w:eastAsia="宋体" w:hint="default"/>
          <w:b/>
          <w:bCs/>
          <w:w w:val="99"/>
          <w:sz w:val="21"/>
          <w:szCs w:val="21"/>
        </w:rPr>
        <w:t> </w:t>
      </w:r>
      <w:r>
        <w:rPr/>
        <w:t>产成品、库存商品和用于出售的材料等直接用于出售的商品存货，在正常生产经营过程中，以该存货的估计售价减去估计</w:t>
      </w:r>
      <w:r>
        <w:rPr>
          <w:spacing w:val="-61"/>
        </w:rPr>
        <w:t> </w:t>
      </w:r>
      <w:r>
        <w:rPr>
          <w:spacing w:val="-61"/>
        </w:rPr>
      </w:r>
      <w:r>
        <w:rPr/>
        <w:t>的销售费用和相关税费后的金额，确定其可变现净值；需要经过加工的材料存货，在正常生产经营过程中，以所生产的产</w:t>
      </w:r>
    </w:p>
    <w:p>
      <w:pPr>
        <w:pStyle w:val="BodyText"/>
        <w:spacing w:line="316" w:lineRule="auto" w:before="33"/>
        <w:ind w:left="213" w:right="1118"/>
        <w:jc w:val="left"/>
      </w:pPr>
      <w:r>
        <w:rPr/>
        <w:t>成品的估计售价减去至完工时估计将要发生的成本、估计的销售费用和相关税费后的金额，确定其可变现净值；为执行销</w:t>
      </w:r>
      <w:r>
        <w:rPr>
          <w:spacing w:val="-57"/>
        </w:rPr>
        <w:t> </w:t>
      </w:r>
      <w:r>
        <w:rPr>
          <w:spacing w:val="-57"/>
        </w:rPr>
      </w:r>
      <w:r>
        <w:rPr/>
        <w:t>售合同或者劳务合同而持有的存货，其可变现净值以合同价格为基础计算，若持有存货的数量多于销售合同订购数量的，</w:t>
      </w:r>
      <w:r>
        <w:rPr>
          <w:spacing w:val="-55"/>
        </w:rPr>
        <w:t> </w:t>
      </w:r>
      <w:r>
        <w:rPr>
          <w:spacing w:val="-55"/>
        </w:rPr>
      </w:r>
      <w:r>
        <w:rPr/>
        <w:t>超出部分的存货的可变现净值以一般销售价格为基础计算。 期末按照单个存货项目计提存货跌价准备；但对于数量繁多、单价较低的存货，按照存货类别计提存货跌价准备；与在同</w:t>
      </w:r>
      <w:r>
        <w:rPr>
          <w:spacing w:val="-57"/>
        </w:rPr>
        <w:t> </w:t>
      </w:r>
      <w:r>
        <w:rPr>
          <w:spacing w:val="-57"/>
        </w:rPr>
      </w:r>
      <w:r>
        <w:rPr/>
        <w:t>一地区生产和销售的产品系列相关、具有相同或类似最终用途或目的，且难以与其他项目分开计量的存货，则合并计提存</w:t>
      </w:r>
      <w:r>
        <w:rPr>
          <w:spacing w:val="-57"/>
        </w:rPr>
        <w:t> </w:t>
      </w:r>
      <w:r>
        <w:rPr>
          <w:spacing w:val="-57"/>
        </w:rPr>
      </w:r>
      <w:r>
        <w:rPr/>
        <w:t>货跌价准备。 除有明确证据表明资产负债表日市场价格异常外，存货项目的可变现净值以资产负债表日市场价格为基础确定。 本期期末存货项目的可变现净值以资产负债表日市场价格为基础确定。</w:t>
      </w:r>
    </w:p>
    <w:p>
      <w:pPr>
        <w:pStyle w:val="Heading3"/>
        <w:spacing w:line="284" w:lineRule="exact"/>
        <w:ind w:left="210" w:right="0"/>
        <w:jc w:val="left"/>
        <w:rPr>
          <w:b w:val="0"/>
          <w:bCs w:val="0"/>
        </w:rPr>
      </w:pPr>
      <w:r>
        <w:rPr>
          <w:rFonts w:ascii="Times New Roman" w:hAnsi="Times New Roman" w:cs="Times New Roman" w:eastAsia="Times New Roman" w:hint="default"/>
        </w:rPr>
        <w:t>4</w:t>
      </w:r>
      <w:r>
        <w:rPr/>
        <w:t>、存货的盘存制度</w:t>
      </w:r>
      <w:r>
        <w:rPr>
          <w:b w:val="0"/>
          <w:bCs w:val="0"/>
        </w:rPr>
      </w:r>
    </w:p>
    <w:p>
      <w:pPr>
        <w:pStyle w:val="BodyText"/>
        <w:spacing w:line="240" w:lineRule="auto" w:before="46"/>
        <w:ind w:left="213" w:right="0"/>
        <w:jc w:val="left"/>
      </w:pPr>
      <w:r>
        <w:rPr/>
        <w:t>采用永续盘存制</w:t>
      </w:r>
    </w:p>
    <w:p>
      <w:pPr>
        <w:pStyle w:val="Heading3"/>
        <w:spacing w:line="240" w:lineRule="auto" w:before="51"/>
        <w:ind w:left="210" w:right="0"/>
        <w:jc w:val="left"/>
        <w:rPr>
          <w:b w:val="0"/>
          <w:bCs w:val="0"/>
        </w:rPr>
      </w:pPr>
      <w:r>
        <w:rPr>
          <w:rFonts w:ascii="Times New Roman" w:hAnsi="Times New Roman" w:cs="Times New Roman" w:eastAsia="Times New Roman" w:hint="default"/>
        </w:rPr>
        <w:t>5</w:t>
      </w:r>
      <w:r>
        <w:rPr/>
        <w:t>、低值易耗品和包装物的摊销方法</w:t>
      </w:r>
      <w:r>
        <w:rPr>
          <w:b w:val="0"/>
          <w:bCs w:val="0"/>
        </w:rPr>
      </w:r>
    </w:p>
    <w:p>
      <w:pPr>
        <w:pStyle w:val="BodyText"/>
        <w:spacing w:line="240" w:lineRule="auto" w:before="46"/>
        <w:ind w:right="0"/>
        <w:jc w:val="left"/>
      </w:pPr>
      <w:r>
        <w:rPr/>
        <w:t>（</w:t>
      </w:r>
      <w:r>
        <w:rPr>
          <w:rFonts w:ascii="Times New Roman" w:hAnsi="Times New Roman" w:cs="Times New Roman" w:eastAsia="Times New Roman" w:hint="default"/>
        </w:rPr>
        <w:t>1</w:t>
      </w:r>
      <w:r>
        <w:rPr/>
        <w:t>）低值易耗品采用一次转销法。</w:t>
      </w:r>
    </w:p>
    <w:p>
      <w:pPr>
        <w:pStyle w:val="BodyText"/>
        <w:spacing w:line="240" w:lineRule="auto" w:before="63"/>
        <w:ind w:right="0"/>
        <w:jc w:val="left"/>
      </w:pPr>
      <w:r>
        <w:rPr/>
        <w:t>（</w:t>
      </w:r>
      <w:r>
        <w:rPr>
          <w:rFonts w:ascii="Times New Roman" w:hAnsi="Times New Roman" w:cs="Times New Roman" w:eastAsia="Times New Roman" w:hint="default"/>
        </w:rPr>
        <w:t>2</w:t>
      </w:r>
      <w:r>
        <w:rPr/>
        <w:t>）包装物采用一次转销法。</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12、划分为持有待售资产" w:id="178"/>
      <w:bookmarkEnd w:id="178"/>
      <w:r>
        <w:rPr>
          <w:b w:val="0"/>
          <w:bCs w:val="0"/>
        </w:rPr>
      </w:r>
      <w:r>
        <w:rPr>
          <w:rFonts w:ascii="Times New Roman" w:hAnsi="Times New Roman" w:cs="Times New Roman" w:eastAsia="Times New Roman" w:hint="default"/>
        </w:rPr>
        <w:t>12</w:t>
      </w:r>
      <w:r>
        <w:rPr/>
        <w:t>、划分为持有待售资产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本公司将同时满足下列条件的组成部分（或非流动资产）确认为持有待售：</w:t>
      </w:r>
    </w:p>
    <w:p>
      <w:pPr>
        <w:pStyle w:val="BodyText"/>
        <w:spacing w:line="240" w:lineRule="auto" w:before="76"/>
        <w:ind w:right="0"/>
        <w:jc w:val="left"/>
      </w:pPr>
      <w:r>
        <w:rPr/>
        <w:t>（</w:t>
      </w:r>
      <w:r>
        <w:rPr>
          <w:rFonts w:ascii="Times New Roman" w:hAnsi="Times New Roman" w:cs="Times New Roman" w:eastAsia="Times New Roman" w:hint="default"/>
        </w:rPr>
        <w:t>1</w:t>
      </w:r>
      <w:r>
        <w:rPr/>
        <w:t>）该组成部分必须在其当前状况下仅根据出售此类组成部分的惯常条款即可立即出售；</w:t>
      </w:r>
    </w:p>
    <w:p>
      <w:pPr>
        <w:pStyle w:val="BodyText"/>
        <w:spacing w:line="300" w:lineRule="auto" w:before="63"/>
        <w:ind w:left="154" w:right="1122"/>
        <w:jc w:val="left"/>
      </w:pPr>
      <w:r>
        <w:rPr/>
        <w:t>（</w:t>
      </w:r>
      <w:r>
        <w:rPr>
          <w:rFonts w:ascii="Times New Roman" w:hAnsi="Times New Roman" w:cs="Times New Roman" w:eastAsia="Times New Roman" w:hint="default"/>
        </w:rPr>
        <w:t>2</w:t>
      </w:r>
      <w:r>
        <w:rPr/>
        <w:t>）公司已经就处置该组成部分（或非流动资产）作出决议，如按规定需得到股东批准的，已经取得股东大会或相应权力</w:t>
      </w:r>
      <w:r>
        <w:rPr>
          <w:spacing w:val="-83"/>
        </w:rPr>
        <w:t> </w:t>
      </w:r>
      <w:r>
        <w:rPr>
          <w:spacing w:val="-83"/>
        </w:rPr>
      </w:r>
      <w:r>
        <w:rPr/>
        <w:t>机构的批准；</w:t>
      </w:r>
    </w:p>
    <w:p>
      <w:pPr>
        <w:pStyle w:val="BodyText"/>
        <w:spacing w:line="240" w:lineRule="auto" w:before="31"/>
        <w:ind w:right="0"/>
        <w:jc w:val="left"/>
      </w:pPr>
      <w:r>
        <w:rPr/>
        <w:t>（</w:t>
      </w:r>
      <w:r>
        <w:rPr>
          <w:rFonts w:ascii="Times New Roman" w:hAnsi="Times New Roman" w:cs="Times New Roman" w:eastAsia="Times New Roman" w:hint="default"/>
        </w:rPr>
        <w:t>3</w:t>
      </w:r>
      <w:r>
        <w:rPr/>
        <w:t>）公司已与受让方签订了不可撤销的转让协议；</w:t>
      </w:r>
    </w:p>
    <w:p>
      <w:pPr>
        <w:pStyle w:val="BodyText"/>
        <w:spacing w:line="240" w:lineRule="auto" w:before="63"/>
        <w:ind w:left="154" w:right="0"/>
        <w:jc w:val="left"/>
      </w:pPr>
      <w:r>
        <w:rPr/>
        <w:t>（</w:t>
      </w:r>
      <w:r>
        <w:rPr>
          <w:rFonts w:ascii="Times New Roman" w:hAnsi="Times New Roman" w:cs="Times New Roman" w:eastAsia="Times New Roman" w:hint="default"/>
        </w:rPr>
        <w:t>4</w:t>
      </w:r>
      <w:r>
        <w:rPr/>
        <w:t>）该项转让将在一年内完成。</w:t>
      </w:r>
    </w:p>
    <w:p>
      <w:pPr>
        <w:spacing w:line="240" w:lineRule="auto" w:before="11"/>
        <w:rPr>
          <w:rFonts w:ascii="宋体" w:hAnsi="宋体" w:cs="宋体" w:eastAsia="宋体" w:hint="default"/>
          <w:sz w:val="25"/>
          <w:szCs w:val="25"/>
        </w:rPr>
      </w:pPr>
    </w:p>
    <w:p>
      <w:pPr>
        <w:pStyle w:val="Heading3"/>
        <w:spacing w:line="240" w:lineRule="auto"/>
        <w:ind w:left="153" w:right="0"/>
        <w:jc w:val="left"/>
        <w:rPr>
          <w:b w:val="0"/>
          <w:bCs w:val="0"/>
        </w:rPr>
      </w:pPr>
      <w:bookmarkStart w:name="13、长期股权投资" w:id="179"/>
      <w:bookmarkEnd w:id="179"/>
      <w:r>
        <w:rPr>
          <w:b w:val="0"/>
          <w:bCs w:val="0"/>
        </w:rPr>
      </w:r>
      <w:r>
        <w:rPr>
          <w:rFonts w:ascii="Times New Roman" w:hAnsi="Times New Roman" w:cs="Times New Roman" w:eastAsia="Times New Roman" w:hint="default"/>
        </w:rPr>
        <w:t>13</w:t>
      </w:r>
      <w:r>
        <w:rPr/>
        <w:t>、长期股权投资</w:t>
      </w:r>
      <w:r>
        <w:rPr>
          <w:b w:val="0"/>
          <w:bCs w:val="0"/>
        </w:rPr>
      </w:r>
    </w:p>
    <w:p>
      <w:pPr>
        <w:spacing w:line="240" w:lineRule="auto" w:before="7"/>
        <w:rPr>
          <w:rFonts w:ascii="宋体" w:hAnsi="宋体" w:cs="宋体" w:eastAsia="宋体" w:hint="default"/>
          <w:b/>
          <w:bCs/>
          <w:sz w:val="24"/>
          <w:szCs w:val="24"/>
        </w:rPr>
      </w:pPr>
    </w:p>
    <w:p>
      <w:pPr>
        <w:pStyle w:val="BodyText"/>
        <w:spacing w:line="297" w:lineRule="auto"/>
        <w:ind w:left="214" w:right="0" w:hanging="4"/>
        <w:jc w:val="left"/>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、共同控制、重大影响的判断标准</w:t>
      </w:r>
      <w:r>
        <w:rPr>
          <w:rFonts w:ascii="宋体" w:hAnsi="宋体" w:cs="宋体" w:eastAsia="宋体" w:hint="default"/>
          <w:b/>
          <w:bCs/>
          <w:w w:val="99"/>
          <w:sz w:val="21"/>
          <w:szCs w:val="21"/>
        </w:rPr>
        <w:t> </w:t>
      </w:r>
      <w:r>
        <w:rPr/>
        <w:t>共同控制，是指按照相关约定对某项安排所共有的控制，并且该安排的相关活动必须经过分享控制权的参与方一致同意后</w:t>
      </w:r>
      <w:r>
        <w:rPr>
          <w:spacing w:val="-61"/>
        </w:rPr>
        <w:t> </w:t>
      </w:r>
      <w:r>
        <w:rPr>
          <w:spacing w:val="-61"/>
        </w:rPr>
      </w:r>
      <w:r>
        <w:rPr/>
        <w:t>才能决策。本公司与其他合营方一同对被投资单位实施共同控制且对被投资单位净资产享有权利的，被投资单位为本公司</w:t>
      </w:r>
    </w:p>
    <w:p>
      <w:pPr>
        <w:pStyle w:val="BodyText"/>
        <w:spacing w:line="316" w:lineRule="auto" w:before="33"/>
        <w:ind w:left="214" w:right="1118"/>
        <w:jc w:val="left"/>
      </w:pPr>
      <w:r>
        <w:rPr/>
        <w:t>的合营企业。 重大影响，是指对一个企业的财务和经营决策有参与决策的权力，但并不能够控制或者与其他方一起共同控制这些政策的</w:t>
      </w:r>
      <w:r>
        <w:rPr>
          <w:spacing w:val="-57"/>
        </w:rPr>
        <w:t> </w:t>
      </w:r>
      <w:r>
        <w:rPr>
          <w:spacing w:val="-57"/>
        </w:rPr>
      </w:r>
      <w:r>
        <w:rPr/>
        <w:t>制定。本公司能够对被投资单位施加重大影响的，被投资单位为本公司联营企业。</w:t>
      </w:r>
    </w:p>
    <w:p>
      <w:pPr>
        <w:pStyle w:val="Heading3"/>
        <w:spacing w:line="284" w:lineRule="exact"/>
        <w:ind w:left="210" w:right="0"/>
        <w:jc w:val="left"/>
        <w:rPr>
          <w:b w:val="0"/>
          <w:bCs w:val="0"/>
        </w:rPr>
      </w:pPr>
      <w:r>
        <w:rPr>
          <w:rFonts w:ascii="Times New Roman" w:hAnsi="Times New Roman" w:cs="Times New Roman" w:eastAsia="Times New Roman" w:hint="default"/>
        </w:rPr>
        <w:t>2</w:t>
      </w:r>
      <w:r>
        <w:rPr/>
        <w:t>、初始投资成本的确定</w:t>
      </w:r>
      <w:r>
        <w:rPr>
          <w:b w:val="0"/>
          <w:bCs w:val="0"/>
        </w:rPr>
      </w:r>
    </w:p>
    <w:p>
      <w:pPr>
        <w:pStyle w:val="BodyText"/>
        <w:spacing w:line="312" w:lineRule="auto" w:before="46"/>
        <w:ind w:left="213" w:right="0" w:hanging="60"/>
        <w:jc w:val="left"/>
      </w:pPr>
      <w:r>
        <w:rPr/>
        <w:t>（</w:t>
      </w:r>
      <w:r>
        <w:rPr>
          <w:rFonts w:ascii="Times New Roman" w:hAnsi="Times New Roman" w:cs="Times New Roman" w:eastAsia="Times New Roman" w:hint="default"/>
        </w:rPr>
        <w:t>1</w:t>
      </w:r>
      <w:r>
        <w:rPr/>
        <w:t>）企业合并形成的长期股权投资 同一控制下的企业合并：公司以支付现金、转让非现金资产或承担债务方式以及以发行权益性证券作为合并对价的，在合 并日按照取得被合并方所有者权益在最终控制方合并财务报表中的账面价值的份额作为长期股权投资的初始投资成本。 非同一控制下的企业合并：公司按照购买日确定的合并成本作为长期股权投资的初始投资成本。</w:t>
      </w:r>
    </w:p>
    <w:p>
      <w:pPr>
        <w:pStyle w:val="BodyText"/>
        <w:spacing w:line="302" w:lineRule="auto" w:before="23"/>
        <w:ind w:left="210" w:right="3316" w:hanging="57"/>
        <w:jc w:val="left"/>
        <w:rPr>
          <w:rFonts w:ascii="宋体" w:hAnsi="宋体" w:cs="宋体" w:eastAsia="宋体" w:hint="default"/>
          <w:sz w:val="21"/>
          <w:szCs w:val="21"/>
        </w:rPr>
      </w:pPr>
      <w:r>
        <w:rPr/>
        <w:t>（</w:t>
      </w:r>
      <w:r>
        <w:rPr>
          <w:rFonts w:ascii="Times New Roman" w:hAnsi="Times New Roman" w:cs="Times New Roman" w:eastAsia="Times New Roman" w:hint="default"/>
        </w:rPr>
        <w:t>2</w:t>
      </w:r>
      <w:r>
        <w:rPr/>
        <w:t>）其他方式取得的长期股权投资 以支付现金方式取得的长期股权投资，按照实际支付的购买价款作为初始投资成本。 以发行权益性证券取得的长期股权投资，按照发行权益性证券的公允价值作为初始投资成本。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、后续计量及损益确认方法</w:t>
      </w:r>
      <w:r>
        <w:rPr>
          <w:rFonts w:ascii="宋体" w:hAnsi="宋体" w:cs="宋体" w:eastAsia="宋体" w:hint="default"/>
          <w:sz w:val="21"/>
          <w:szCs w:val="21"/>
        </w:rPr>
      </w:r>
    </w:p>
    <w:p>
      <w:pPr>
        <w:pStyle w:val="BodyText"/>
        <w:spacing w:line="235" w:lineRule="exact"/>
        <w:ind w:right="0"/>
        <w:jc w:val="left"/>
      </w:pPr>
      <w:r>
        <w:rPr/>
        <w:t>（</w:t>
      </w:r>
      <w:r>
        <w:rPr>
          <w:rFonts w:ascii="Times New Roman" w:hAnsi="Times New Roman" w:cs="Times New Roman" w:eastAsia="Times New Roman" w:hint="default"/>
        </w:rPr>
        <w:t>1</w:t>
      </w:r>
      <w:r>
        <w:rPr/>
        <w:t>）成本法核算的长期股权投资</w:t>
      </w:r>
    </w:p>
    <w:p>
      <w:pPr>
        <w:spacing w:after="0" w:line="235" w:lineRule="exact"/>
        <w:jc w:val="left"/>
        <w:sectPr>
          <w:pgSz w:w="11910" w:h="16840"/>
          <w:pgMar w:header="87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213" w:right="0"/>
        <w:jc w:val="left"/>
      </w:pPr>
      <w:r>
        <w:rPr/>
        <w:t>公司对子公司的长期股权投资，采用成本法核算。除取得投资时实际支付的价款或对价中包含的已宣告但尚未发放的现金</w:t>
      </w:r>
      <w:r>
        <w:rPr>
          <w:spacing w:val="-57"/>
        </w:rPr>
        <w:t> </w:t>
      </w:r>
      <w:r>
        <w:rPr>
          <w:spacing w:val="-57"/>
        </w:rPr>
      </w:r>
      <w:r>
        <w:rPr/>
        <w:t>股利或利润外，公司按照享有被投资单位宣告发放的现金股利或利润确认当期投资收益。</w:t>
      </w:r>
    </w:p>
    <w:p>
      <w:pPr>
        <w:pStyle w:val="BodyText"/>
        <w:spacing w:line="316" w:lineRule="auto" w:before="19"/>
        <w:ind w:left="213" w:right="0" w:hanging="60"/>
        <w:jc w:val="left"/>
      </w:pPr>
      <w:r>
        <w:rPr/>
        <w:t>（</w:t>
      </w:r>
      <w:r>
        <w:rPr>
          <w:rFonts w:ascii="Times New Roman" w:hAnsi="Times New Roman" w:cs="Times New Roman" w:eastAsia="Times New Roman" w:hint="default"/>
        </w:rPr>
        <w:t>2</w:t>
      </w:r>
      <w:r>
        <w:rPr/>
        <w:t>）权益法核算的长期股权投资 对联营企业和合营企业的长期股权投资，采用权益法核算。初始投资成本大于投资时应享有被投资单位可辨认净资产公允 价值份额的差额，不调整长期股权投资的初始投资成本；初始投资成本小于投资时应享有被投资单位可辨认净资产公允价 值份额的差额，计入当期损益。 公司按照应享有或应分担的被投资单位实现的净损益和其他综合收益的份额，分别确认投资收益和其他综合收益，同时调 整长期股权投资的账面价值；按照被投资单位宣告分派的利润或现金股利计算应享有的部分，相应减少长期股权投资的账 面价值；对于被投资单位除净损益、其他综合收益和利润分配以外所有者权益的其他变动，调整长期股权投资的账面价值 并计入所有者权益。 在确认应享有被投资单位净损益的份额时，以取得投资时被投资单位可辨认净资产的公允价值为基础，并按照公司的会计 政策及会计期间，对被投资单位的净利润进行调整后确认。在持有投资期间，被投资单位编制合并财务报表的，以合并财 务报表中的净利润、其他综合收益和其他所有者权益变动中归属于被投资单位的金额为基础进行核算。 在公司确认应分担被投资单位发生的亏损时，按照以下顺序进行处理：首先，冲减长期股权投资的账面价值。其次，长期 股权投资的账面价值不足以冲减的，以其他实质上构成对被投资单位净投资的长期权益账面价值为限继续确认投资损失， 冲减长期应收项目等的账面价值。最后，经过上述处理，按照投资合同或协议约定企业仍承担额外义务的，按预计承担的 义务确认预计负债，计入当期投资损失。</w:t>
      </w:r>
    </w:p>
    <w:p>
      <w:pPr>
        <w:pStyle w:val="BodyText"/>
        <w:spacing w:line="300" w:lineRule="auto" w:before="19"/>
        <w:ind w:left="214" w:right="4932" w:hanging="60"/>
        <w:jc w:val="left"/>
      </w:pPr>
      <w:r>
        <w:rPr/>
        <w:t>（</w:t>
      </w:r>
      <w:r>
        <w:rPr>
          <w:rFonts w:ascii="Times New Roman" w:hAnsi="Times New Roman" w:cs="Times New Roman" w:eastAsia="Times New Roman" w:hint="default"/>
        </w:rPr>
        <w:t>3</w:t>
      </w:r>
      <w:r>
        <w:rPr/>
        <w:t>）长期股权投资的处置 处置长期股权投资，其账面价值与实际取得价款的差额，计入当期损益。</w:t>
      </w:r>
    </w:p>
    <w:p>
      <w:pPr>
        <w:pStyle w:val="BodyText"/>
        <w:spacing w:line="316" w:lineRule="auto" w:before="31"/>
        <w:ind w:left="213" w:right="1027"/>
        <w:jc w:val="left"/>
      </w:pPr>
      <w:r>
        <w:rPr/>
        <w:t>采用权益法核算的长期股权投资，在处置该项投资时，采用与被投资单位直接处置相关资产或负债相同的基础，按相应比</w:t>
      </w:r>
      <w:r>
        <w:rPr>
          <w:spacing w:val="-57"/>
        </w:rPr>
        <w:t> </w:t>
      </w:r>
      <w:r>
        <w:rPr>
          <w:spacing w:val="-57"/>
        </w:rPr>
      </w:r>
      <w:r>
        <w:rPr/>
        <w:t>例对原计入其他综合收益的部分进行会计处理。因被投资单位除净损益、其他综合收益和利润分配以外的其他所有者权益</w:t>
      </w:r>
      <w:r>
        <w:rPr>
          <w:spacing w:val="-57"/>
        </w:rPr>
        <w:t> </w:t>
      </w:r>
      <w:r>
        <w:rPr>
          <w:spacing w:val="-57"/>
        </w:rPr>
      </w:r>
      <w:r>
        <w:rPr/>
        <w:t>变动而确认的所有者权益，按比例结转入当期损益，由于被投资方重新计量设定受益计划净负债或净资产变动而产生的其</w:t>
      </w:r>
      <w:r>
        <w:rPr>
          <w:spacing w:val="-57"/>
        </w:rPr>
        <w:t> </w:t>
      </w:r>
      <w:r>
        <w:rPr>
          <w:spacing w:val="-57"/>
        </w:rPr>
      </w:r>
      <w:r>
        <w:rPr/>
        <w:t>他综合收益除外。 因处置部分股权投资等原因丧失了对被投资单位的共同控制或重大影响的，处置后的剩余股权改按金融工具确认和计量准</w:t>
      </w:r>
      <w:r>
        <w:rPr>
          <w:spacing w:val="-57"/>
        </w:rPr>
        <w:t> </w:t>
      </w:r>
      <w:r>
        <w:rPr>
          <w:spacing w:val="-57"/>
        </w:rPr>
      </w:r>
      <w:r>
        <w:rPr/>
        <w:t>则核算，其在丧失共同控制或重大影响之日的公允价值与账面价值之间的差额计入当期损益。原股权投资因采用权益法核</w:t>
      </w:r>
      <w:r>
        <w:rPr>
          <w:spacing w:val="-56"/>
        </w:rPr>
        <w:t> </w:t>
      </w:r>
      <w:r>
        <w:rPr>
          <w:spacing w:val="-56"/>
        </w:rPr>
      </w:r>
      <w:r>
        <w:rPr>
          <w:spacing w:val="-1"/>
        </w:rPr>
        <w:t>算而确认的其他综合收益，在终止采用权益法核算时采用与被投资单位直接处置相关资产或负债相同的基础进行会计处理。</w:t>
      </w:r>
      <w:r>
        <w:rPr>
          <w:spacing w:val="-88"/>
        </w:rPr>
        <w:t> </w:t>
      </w:r>
      <w:r>
        <w:rPr>
          <w:spacing w:val="-88"/>
        </w:rPr>
      </w:r>
      <w:r>
        <w:rPr/>
        <w:t>因被投资方除净损益、其他综合收益和利润分配以外的其他所有者权益变动而确认的所有者权益，在终止采用权益法核算</w:t>
      </w:r>
      <w:r>
        <w:rPr>
          <w:spacing w:val="-57"/>
        </w:rPr>
        <w:t> </w:t>
      </w:r>
      <w:r>
        <w:rPr>
          <w:spacing w:val="-57"/>
        </w:rPr>
      </w:r>
      <w:r>
        <w:rPr/>
        <w:t>时全部转入当期损益。 因处置部分股权投资、因其他投资方对子公司增资而导致本公司持股比例下降等原因丧失了对被投资单位控制权的，在编</w:t>
      </w:r>
      <w:r>
        <w:rPr>
          <w:spacing w:val="-57"/>
        </w:rPr>
        <w:t> </w:t>
      </w:r>
      <w:r>
        <w:rPr>
          <w:spacing w:val="-57"/>
        </w:rPr>
      </w:r>
      <w:r>
        <w:rPr/>
        <w:t>制个别财务报表时，剩余股权能够对被投资单位实施共同控制或重大影响的，改按权益法核算，并对该剩余股权视同自取</w:t>
      </w:r>
      <w:r>
        <w:rPr>
          <w:spacing w:val="-53"/>
        </w:rPr>
        <w:t> </w:t>
      </w:r>
      <w:r>
        <w:rPr>
          <w:spacing w:val="-53"/>
        </w:rPr>
      </w:r>
      <w:r>
        <w:rPr/>
        <w:t>得时即采用权益法核算进行调整；剩余股权不能对被投资单位实施共同控制或施加重大影响的，改按金融工具确认和计量</w:t>
      </w:r>
      <w:r>
        <w:rPr>
          <w:spacing w:val="-57"/>
        </w:rPr>
        <w:t> </w:t>
      </w:r>
      <w:r>
        <w:rPr>
          <w:spacing w:val="-57"/>
        </w:rPr>
      </w:r>
      <w:r>
        <w:rPr/>
        <w:t>准则的有关规定进行会计处理，其在丧失控制之日的公允价值与账面价值间的差额计入当期损益。 处置的股权是因追加投资等原因通过企业合并取得的，在编制个别财务报表时，处置后的剩余股权采用成本法或权益法核</w:t>
      </w:r>
      <w:r>
        <w:rPr>
          <w:spacing w:val="-57"/>
        </w:rPr>
        <w:t> </w:t>
      </w:r>
      <w:r>
        <w:rPr>
          <w:spacing w:val="-57"/>
        </w:rPr>
      </w:r>
      <w:r>
        <w:rPr/>
        <w:t>算的，购买日之前持有的股权投资因采用权益法核算而确认的其他综合收益和其他所有者权益按比例结转；处置后的剩余</w:t>
      </w:r>
      <w:r>
        <w:rPr>
          <w:spacing w:val="-57"/>
        </w:rPr>
        <w:t> </w:t>
      </w:r>
      <w:r>
        <w:rPr>
          <w:spacing w:val="-57"/>
        </w:rPr>
      </w:r>
      <w:r>
        <w:rPr/>
        <w:t>股权改按金融工具确认和计量准则进行会计处理的，其他综合收益和其他所有者权益全部结转。</w:t>
      </w:r>
    </w:p>
    <w:p>
      <w:pPr>
        <w:spacing w:line="240" w:lineRule="auto" w:before="7"/>
        <w:rPr>
          <w:rFonts w:ascii="宋体" w:hAnsi="宋体" w:cs="宋体" w:eastAsia="宋体" w:hint="default"/>
          <w:sz w:val="22"/>
          <w:szCs w:val="22"/>
        </w:rPr>
      </w:pPr>
    </w:p>
    <w:p>
      <w:pPr>
        <w:pStyle w:val="Heading3"/>
        <w:spacing w:line="240" w:lineRule="auto"/>
        <w:ind w:left="153" w:right="0"/>
        <w:jc w:val="left"/>
        <w:rPr>
          <w:b w:val="0"/>
          <w:bCs w:val="0"/>
        </w:rPr>
      </w:pPr>
      <w:bookmarkStart w:name="14、投资性房地产" w:id="180"/>
      <w:bookmarkEnd w:id="180"/>
      <w:r>
        <w:rPr>
          <w:b w:val="0"/>
          <w:bCs w:val="0"/>
        </w:rPr>
      </w:r>
      <w:r>
        <w:rPr>
          <w:rFonts w:ascii="Times New Roman" w:hAnsi="Times New Roman" w:cs="Times New Roman" w:eastAsia="Times New Roman" w:hint="default"/>
        </w:rPr>
        <w:t>14</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54" w:right="8952"/>
        <w:jc w:val="left"/>
      </w:pPr>
      <w:r>
        <w:rPr/>
        <w:t>投资性房地产计量模式 成本法计量 折旧或摊销方法</w:t>
      </w:r>
    </w:p>
    <w:p>
      <w:pPr>
        <w:pStyle w:val="BodyText"/>
        <w:spacing w:line="316" w:lineRule="auto" w:before="25"/>
        <w:ind w:left="154" w:right="1132"/>
        <w:jc w:val="both"/>
      </w:pPr>
      <w:r>
        <w:rPr>
          <w:spacing w:val="-2"/>
        </w:rPr>
        <w:t>投资性房地产是指为赚取租金或资本增值，或两者兼有而持有的房地产，包括已出租的土地使用权、持有并准备增值后转让</w:t>
      </w:r>
      <w:r>
        <w:rPr>
          <w:spacing w:val="-66"/>
        </w:rPr>
        <w:t> </w:t>
      </w:r>
      <w:r>
        <w:rPr>
          <w:spacing w:val="-66"/>
        </w:rPr>
      </w:r>
      <w:r>
        <w:rPr>
          <w:spacing w:val="-2"/>
        </w:rPr>
        <w:t>的土地使用权、已出租的建筑物（含自行建造或开发活动完成后用于出租的建筑物以及正在建造或开发过程中将来用于出租</w:t>
      </w:r>
      <w:r>
        <w:rPr>
          <w:spacing w:val="-64"/>
        </w:rPr>
        <w:t> </w:t>
      </w:r>
      <w:r>
        <w:rPr>
          <w:spacing w:val="-64"/>
        </w:rPr>
      </w:r>
      <w:r>
        <w:rPr/>
        <w:t>的建筑物）。</w:t>
      </w:r>
    </w:p>
    <w:p>
      <w:pPr>
        <w:spacing w:after="0" w:line="316" w:lineRule="auto"/>
        <w:jc w:val="both"/>
        <w:sectPr>
          <w:pgSz w:w="11910" w:h="16840"/>
          <w:pgMar w:header="87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公司对现有投资性房地产采用成本模式计量。对按照成本模式计量的投资性房地产－出租用建筑物采用与本公司固定资产相</w:t>
      </w:r>
      <w:r>
        <w:rPr>
          <w:spacing w:val="-64"/>
        </w:rPr>
        <w:t> </w:t>
      </w:r>
      <w:r>
        <w:rPr>
          <w:spacing w:val="-64"/>
        </w:rPr>
      </w:r>
      <w:r>
        <w:rPr/>
        <w:t>同的折旧政策，出租用土地使用权按与无形资产相同的摊销政策执行。</w:t>
      </w:r>
    </w:p>
    <w:p>
      <w:pPr>
        <w:spacing w:line="240" w:lineRule="auto" w:before="7"/>
        <w:rPr>
          <w:rFonts w:ascii="宋体" w:hAnsi="宋体" w:cs="宋体" w:eastAsia="宋体" w:hint="default"/>
          <w:sz w:val="22"/>
          <w:szCs w:val="22"/>
        </w:rPr>
      </w:pPr>
    </w:p>
    <w:p>
      <w:pPr>
        <w:pStyle w:val="Heading3"/>
        <w:spacing w:line="240" w:lineRule="auto"/>
        <w:ind w:left="153" w:right="0"/>
        <w:jc w:val="left"/>
        <w:rPr>
          <w:b w:val="0"/>
          <w:bCs w:val="0"/>
        </w:rPr>
      </w:pPr>
      <w:bookmarkStart w:name="15、固定资产" w:id="181"/>
      <w:bookmarkEnd w:id="181"/>
      <w:r>
        <w:rPr>
          <w:b w:val="0"/>
          <w:bCs w:val="0"/>
        </w:rPr>
      </w:r>
      <w:r>
        <w:rPr>
          <w:rFonts w:ascii="Times New Roman" w:hAnsi="Times New Roman" w:cs="Times New Roman" w:eastAsia="Times New Roman" w:hint="default"/>
        </w:rPr>
        <w:t>15</w:t>
      </w:r>
      <w:r>
        <w:rPr/>
        <w:t>、固定资产</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确认条件" w:id="182"/>
      <w:bookmarkEnd w:id="182"/>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0"/>
        <w:jc w:val="left"/>
      </w:pPr>
      <w:r>
        <w:rPr>
          <w:spacing w:val="-2"/>
        </w:rPr>
        <w:t>固定资产指为生产商品、提供劳务、出租或经营管理而持有，并且使用寿命超过一个会计年度的有形资产。固定资产在同时</w:t>
      </w:r>
      <w:r>
        <w:rPr>
          <w:spacing w:val="-66"/>
        </w:rPr>
        <w:t> </w:t>
      </w:r>
      <w:r>
        <w:rPr>
          <w:spacing w:val="-66"/>
        </w:rPr>
      </w:r>
      <w:r>
        <w:rPr/>
        <w:t>满足下列条件时予以确认：</w:t>
      </w:r>
    </w:p>
    <w:p>
      <w:pPr>
        <w:pStyle w:val="BodyText"/>
        <w:spacing w:line="240" w:lineRule="auto" w:before="56"/>
        <w:ind w:left="154" w:right="0"/>
        <w:jc w:val="left"/>
      </w:pPr>
      <w:r>
        <w:rPr/>
        <w:t>（</w:t>
      </w:r>
      <w:r>
        <w:rPr>
          <w:rFonts w:ascii="Times New Roman" w:hAnsi="Times New Roman" w:cs="Times New Roman" w:eastAsia="Times New Roman" w:hint="default"/>
        </w:rPr>
        <w:t>1</w:t>
      </w:r>
      <w:r>
        <w:rPr/>
        <w:t>）与该固定资产有关的经济利益很可能流入企业；</w:t>
      </w:r>
    </w:p>
    <w:p>
      <w:pPr>
        <w:pStyle w:val="BodyText"/>
        <w:spacing w:line="240" w:lineRule="auto" w:before="103"/>
        <w:ind w:left="154" w:right="0"/>
        <w:jc w:val="left"/>
      </w:pPr>
      <w:r>
        <w:rPr/>
        <w:t>（</w:t>
      </w:r>
      <w:r>
        <w:rPr>
          <w:rFonts w:ascii="Times New Roman" w:hAnsi="Times New Roman" w:cs="Times New Roman" w:eastAsia="Times New Roman" w:hint="default"/>
        </w:rPr>
        <w:t>2</w:t>
      </w:r>
      <w:r>
        <w:rPr/>
        <w:t>）该固定资产的成本能够可靠地计量。</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折旧方法" w:id="183"/>
      <w:bookmarkEnd w:id="183"/>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折旧年限（年）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20-50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1.90-4.75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7.92-11.88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11.88-23.75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11.88-23.75</w:t>
            </w:r>
          </w:p>
        </w:tc>
      </w:tr>
    </w:tbl>
    <w:p>
      <w:pPr>
        <w:pStyle w:val="BodyText"/>
        <w:spacing w:line="316" w:lineRule="auto" w:before="10"/>
        <w:ind w:right="0"/>
        <w:jc w:val="left"/>
      </w:pPr>
      <w:r>
        <w:rPr>
          <w:spacing w:val="-2"/>
        </w:rPr>
        <w:t>固定资产折旧采用年限平均法分类计提，根据固定资产类别、预计使用寿命和预计净残值率确定折旧率。如固定资产各组成</w:t>
      </w:r>
      <w:r>
        <w:rPr>
          <w:spacing w:val="-66"/>
        </w:rPr>
        <w:t> </w:t>
      </w:r>
      <w:r>
        <w:rPr>
          <w:spacing w:val="-66"/>
        </w:rPr>
      </w:r>
      <w:r>
        <w:rPr/>
        <w:t>部分的使用寿命不同或者以不同方式为企业提供经济利益，则选择不同折旧率或折旧方法，分别计提折旧。</w:t>
      </w:r>
    </w:p>
    <w:p>
      <w:pPr>
        <w:spacing w:line="240" w:lineRule="auto" w:before="7"/>
        <w:rPr>
          <w:rFonts w:ascii="宋体" w:hAnsi="宋体" w:cs="宋体" w:eastAsia="宋体" w:hint="default"/>
          <w:sz w:val="22"/>
          <w:szCs w:val="22"/>
        </w:rPr>
      </w:pPr>
    </w:p>
    <w:p>
      <w:pPr>
        <w:pStyle w:val="Heading3"/>
        <w:spacing w:line="240" w:lineRule="auto"/>
        <w:ind w:left="153" w:right="0"/>
        <w:jc w:val="left"/>
        <w:rPr>
          <w:b w:val="0"/>
          <w:bCs w:val="0"/>
        </w:rPr>
      </w:pPr>
      <w:bookmarkStart w:name="16、在建工程" w:id="184"/>
      <w:bookmarkEnd w:id="184"/>
      <w:r>
        <w:rPr>
          <w:b w:val="0"/>
          <w:bCs w:val="0"/>
        </w:rPr>
      </w:r>
      <w:r>
        <w:rPr>
          <w:rFonts w:ascii="Times New Roman" w:hAnsi="Times New Roman" w:cs="Times New Roman" w:eastAsia="Times New Roman" w:hint="default"/>
        </w:rPr>
        <w:t>16</w:t>
      </w:r>
      <w:r>
        <w:rPr/>
        <w:t>、在建工程</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31"/>
        <w:jc w:val="both"/>
      </w:pPr>
      <w:r>
        <w:rPr>
          <w:spacing w:val="-2"/>
        </w:rPr>
        <w:t>在建工程项目按建造该项资产达到预定可使用状态前所发生的必要支出，作为固定资产的入账价值。所建造的固定资产在工</w:t>
      </w:r>
      <w:r>
        <w:rPr>
          <w:spacing w:val="-64"/>
        </w:rPr>
        <w:t> </w:t>
      </w:r>
      <w:r>
        <w:rPr>
          <w:spacing w:val="-64"/>
        </w:rPr>
      </w:r>
      <w:r>
        <w:rPr>
          <w:spacing w:val="-2"/>
        </w:rPr>
        <w:t>程已达到预定可使用状态，但尚未办理竣工决算的，自达到预定可使用状态之日起，根据工程预算、造价或者工程实际成本</w:t>
      </w:r>
      <w:r>
        <w:rPr>
          <w:spacing w:val="-66"/>
        </w:rPr>
        <w:t> </w:t>
      </w:r>
      <w:r>
        <w:rPr>
          <w:spacing w:val="-66"/>
        </w:rPr>
      </w:r>
      <w:r>
        <w:rPr>
          <w:spacing w:val="-2"/>
        </w:rPr>
        <w:t>等，按估计的价值转入固定资产，并按本公司固定资产折旧政策计提固定资产的折旧，待办理竣工决算后，再按实际成本调</w:t>
      </w:r>
      <w:r>
        <w:rPr>
          <w:spacing w:val="-66"/>
        </w:rPr>
        <w:t> </w:t>
      </w:r>
      <w:r>
        <w:rPr>
          <w:spacing w:val="-66"/>
        </w:rPr>
      </w:r>
      <w:r>
        <w:rPr/>
        <w:t>整原来的暂估价值，但不调整原已计提的折旧额。</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17、借款费用" w:id="185"/>
      <w:bookmarkEnd w:id="185"/>
      <w:r>
        <w:rPr>
          <w:b w:val="0"/>
          <w:bCs w:val="0"/>
        </w:rPr>
      </w:r>
      <w:r>
        <w:rPr>
          <w:rFonts w:ascii="Times New Roman" w:hAnsi="Times New Roman" w:cs="Times New Roman" w:eastAsia="Times New Roman" w:hint="default"/>
        </w:rPr>
        <w:t>17</w:t>
      </w:r>
      <w:r>
        <w:rPr/>
        <w:t>、借款费用</w:t>
      </w:r>
      <w:r>
        <w:rPr>
          <w:b w:val="0"/>
          <w:bCs w:val="0"/>
        </w:rPr>
      </w:r>
    </w:p>
    <w:p>
      <w:pPr>
        <w:spacing w:line="240" w:lineRule="auto" w:before="7"/>
        <w:rPr>
          <w:rFonts w:ascii="宋体" w:hAnsi="宋体" w:cs="宋体" w:eastAsia="宋体" w:hint="default"/>
          <w:b/>
          <w:bCs/>
          <w:sz w:val="24"/>
          <w:szCs w:val="24"/>
        </w:rPr>
      </w:pPr>
    </w:p>
    <w:p>
      <w:pPr>
        <w:pStyle w:val="BodyText"/>
        <w:spacing w:line="297" w:lineRule="auto"/>
        <w:ind w:left="213" w:right="1118" w:hanging="60"/>
        <w:jc w:val="left"/>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、借款费用资本化的确认原则</w:t>
      </w:r>
      <w:r>
        <w:rPr>
          <w:rFonts w:ascii="宋体" w:hAnsi="宋体" w:cs="宋体" w:eastAsia="宋体" w:hint="default"/>
          <w:b/>
          <w:bCs/>
          <w:w w:val="99"/>
          <w:sz w:val="21"/>
          <w:szCs w:val="21"/>
        </w:rPr>
        <w:t> </w:t>
      </w:r>
      <w:r>
        <w:rPr/>
        <w:t>借款费用，包括借款利息、折价或者溢价的摊销、辅助费用以及因外币借款而发生的汇兑差额等。 公司发生的借款费用，可直接归属于符合资本化条件的资产的购建或者生产的，予以资本化，计入相关资产成本；其他借</w:t>
      </w:r>
    </w:p>
    <w:p>
      <w:pPr>
        <w:pStyle w:val="BodyText"/>
        <w:spacing w:line="316" w:lineRule="auto" w:before="33"/>
        <w:ind w:left="214" w:right="0"/>
        <w:jc w:val="left"/>
      </w:pPr>
      <w:r>
        <w:rPr/>
        <w:t>款费用，在发生时根据其发生额确认为费用，计入当期损益。 符合资本化条件的资产，是指需要经过相当长时间的购建或者生产活动才能达到预定可使用或者可销售状态的固定资产、</w:t>
      </w:r>
      <w:r>
        <w:rPr>
          <w:spacing w:val="-57"/>
        </w:rPr>
        <w:t> </w:t>
      </w:r>
      <w:r>
        <w:rPr>
          <w:spacing w:val="-57"/>
        </w:rPr>
      </w:r>
      <w:r>
        <w:rPr/>
        <w:t>投资性房地产和存货等资产。</w:t>
      </w:r>
    </w:p>
    <w:p>
      <w:pPr>
        <w:pStyle w:val="BodyText"/>
        <w:spacing w:line="240" w:lineRule="auto" w:before="19"/>
        <w:ind w:left="214" w:right="0"/>
        <w:jc w:val="left"/>
      </w:pPr>
      <w:r>
        <w:rPr/>
        <w:t>借款费用同时满足下列条件时开始资本化：</w:t>
      </w:r>
    </w:p>
    <w:p>
      <w:pPr>
        <w:pStyle w:val="BodyText"/>
        <w:spacing w:line="300" w:lineRule="auto" w:before="76"/>
        <w:ind w:left="154" w:right="1122"/>
        <w:jc w:val="left"/>
      </w:pPr>
      <w:r>
        <w:rPr/>
        <w:t>（</w:t>
      </w:r>
      <w:r>
        <w:rPr>
          <w:rFonts w:ascii="Times New Roman" w:hAnsi="Times New Roman" w:cs="Times New Roman" w:eastAsia="Times New Roman" w:hint="default"/>
        </w:rPr>
        <w:t>1</w:t>
      </w:r>
      <w:r>
        <w:rPr/>
        <w:t>）资产支出已经发生，资产支出包括为购建或者生产符合资本化条件的资产而以支付现金、转移非现金资产或者承担带</w:t>
      </w:r>
      <w:r>
        <w:rPr>
          <w:spacing w:val="-83"/>
        </w:rPr>
        <w:t> </w:t>
      </w:r>
      <w:r>
        <w:rPr>
          <w:spacing w:val="-83"/>
        </w:rPr>
      </w:r>
      <w:r>
        <w:rPr/>
        <w:t>息债务形式发生的支出；</w:t>
      </w:r>
    </w:p>
    <w:p>
      <w:pPr>
        <w:pStyle w:val="BodyText"/>
        <w:spacing w:line="240" w:lineRule="auto" w:before="31"/>
        <w:ind w:left="154" w:right="0"/>
        <w:jc w:val="left"/>
      </w:pPr>
      <w:r>
        <w:rPr/>
        <w:t>（</w:t>
      </w:r>
      <w:r>
        <w:rPr>
          <w:rFonts w:ascii="Times New Roman" w:hAnsi="Times New Roman" w:cs="Times New Roman" w:eastAsia="Times New Roman" w:hint="default"/>
        </w:rPr>
        <w:t>2</w:t>
      </w:r>
      <w:r>
        <w:rPr/>
        <w:t>）借款费用已经发生；</w:t>
      </w:r>
    </w:p>
    <w:p>
      <w:pPr>
        <w:pStyle w:val="BodyText"/>
        <w:spacing w:line="240" w:lineRule="auto" w:before="63"/>
        <w:ind w:left="154" w:right="0"/>
        <w:jc w:val="left"/>
      </w:pPr>
      <w:r>
        <w:rPr/>
        <w:t>（</w:t>
      </w:r>
      <w:r>
        <w:rPr>
          <w:rFonts w:ascii="Times New Roman" w:hAnsi="Times New Roman" w:cs="Times New Roman" w:eastAsia="Times New Roman" w:hint="default"/>
        </w:rPr>
        <w:t>3</w:t>
      </w:r>
      <w:r>
        <w:rPr/>
        <w:t>）为使资产达到预定可使用或者可销售状态所必要的购建或者生产活动已经开始。</w:t>
      </w:r>
    </w:p>
    <w:p>
      <w:pPr>
        <w:pStyle w:val="Heading3"/>
        <w:spacing w:line="240" w:lineRule="auto" w:before="37"/>
        <w:ind w:left="210" w:right="0"/>
        <w:jc w:val="left"/>
        <w:rPr>
          <w:b w:val="0"/>
          <w:bCs w:val="0"/>
        </w:rPr>
      </w:pPr>
      <w:r>
        <w:rPr>
          <w:rFonts w:ascii="Times New Roman" w:hAnsi="Times New Roman" w:cs="Times New Roman" w:eastAsia="Times New Roman" w:hint="default"/>
        </w:rPr>
        <w:t>2</w:t>
      </w:r>
      <w:r>
        <w:rPr/>
        <w:t>、借款费用资本化期间</w:t>
      </w:r>
      <w:r>
        <w:rPr>
          <w:b w:val="0"/>
          <w:bCs w:val="0"/>
        </w:rPr>
      </w:r>
    </w:p>
    <w:p>
      <w:pPr>
        <w:spacing w:after="0" w:line="240" w:lineRule="auto"/>
        <w:jc w:val="left"/>
        <w:sectPr>
          <w:footerReference w:type="default" r:id="rId32"/>
          <w:pgSz w:w="11910" w:h="16840"/>
          <w:pgMar w:footer="979" w:header="877" w:top="1060" w:bottom="1160" w:left="980" w:right="0"/>
        </w:sectPr>
      </w:pPr>
    </w:p>
    <w:p>
      <w:pPr>
        <w:spacing w:line="240" w:lineRule="auto" w:before="12"/>
        <w:rPr>
          <w:rFonts w:ascii="宋体" w:hAnsi="宋体" w:cs="宋体" w:eastAsia="宋体" w:hint="default"/>
          <w:b/>
          <w:bCs/>
          <w:sz w:val="25"/>
          <w:szCs w:val="25"/>
        </w:rPr>
      </w:pPr>
    </w:p>
    <w:p>
      <w:pPr>
        <w:pStyle w:val="BodyText"/>
        <w:spacing w:line="319" w:lineRule="auto" w:before="44"/>
        <w:ind w:left="213" w:right="1118"/>
        <w:jc w:val="left"/>
      </w:pPr>
      <w:r>
        <w:rPr/>
        <w:t>资本化期间，指从借款费用开始资本化时点到停止资本化时点的期间，借款费用暂停资本化的期间不包括在内。 当购建或者生产符合资本化条件的资产达到预定可使用或者可销售状态时，借款费用停止资本化。 当购建或者生产符合资本化条件的资产中部分项目分别完工且可单独使用时，该部分资产借款费用停止资本化。 购建或者生产的资产的各部分分别完工，但必须等到整体完工后才可使用或可对外销售的，在该资产整体完工时停止借款</w:t>
      </w:r>
      <w:r>
        <w:rPr>
          <w:spacing w:val="-57"/>
        </w:rPr>
        <w:t> </w:t>
      </w:r>
      <w:r>
        <w:rPr>
          <w:spacing w:val="-57"/>
        </w:rPr>
      </w:r>
      <w:r>
        <w:rPr/>
        <w:t>费用资本化。</w:t>
      </w:r>
    </w:p>
    <w:p>
      <w:pPr>
        <w:pStyle w:val="BodyText"/>
        <w:spacing w:line="297" w:lineRule="auto"/>
        <w:ind w:left="213" w:right="1117" w:firstLine="30"/>
        <w:jc w:val="left"/>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、暂停资本化期间</w:t>
      </w:r>
      <w:r>
        <w:rPr>
          <w:rFonts w:ascii="宋体" w:hAnsi="宋体" w:cs="宋体" w:eastAsia="宋体" w:hint="default"/>
          <w:b/>
          <w:bCs/>
          <w:w w:val="99"/>
          <w:sz w:val="21"/>
          <w:szCs w:val="21"/>
        </w:rPr>
        <w:t> </w:t>
      </w:r>
      <w:r>
        <w:rPr>
          <w:spacing w:val="-1"/>
        </w:rPr>
        <w:t>符合资本化条件的资产在购建或生产过程中发生的非正常中断、且中断时间连续超过</w:t>
      </w:r>
      <w:r>
        <w:rPr>
          <w:rFonts w:ascii="宋体" w:hAnsi="宋体" w:cs="宋体" w:eastAsia="宋体" w:hint="default"/>
          <w:spacing w:val="-1"/>
        </w:rPr>
        <w:t>3</w:t>
      </w:r>
      <w:r>
        <w:rPr>
          <w:spacing w:val="-1"/>
        </w:rPr>
        <w:t>个月的，则借款费用暂停资本化；该</w:t>
      </w:r>
      <w:r>
        <w:rPr>
          <w:spacing w:val="-87"/>
        </w:rPr>
        <w:t> </w:t>
      </w:r>
      <w:r>
        <w:rPr>
          <w:spacing w:val="-87"/>
        </w:rPr>
      </w:r>
      <w:r>
        <w:rPr/>
        <w:t>项中断如是所购建或生产的符合资本化条件的资产达到预定可使用状态或者可销售状态必要的程序，则借款费用继续资本</w:t>
      </w:r>
    </w:p>
    <w:p>
      <w:pPr>
        <w:pStyle w:val="BodyText"/>
        <w:spacing w:line="295" w:lineRule="auto" w:before="33"/>
        <w:ind w:right="0" w:firstLine="60"/>
        <w:jc w:val="left"/>
      </w:pPr>
      <w:r>
        <w:rPr/>
        <w:t>化。在中断期间发生的借款费用确认为当期损益，直至资产的购建或者生产活动重新开始后借款费用继续资本化。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、借款费用资本化率、资本化金额的计算方法</w:t>
      </w:r>
      <w:r>
        <w:rPr>
          <w:rFonts w:ascii="宋体" w:hAnsi="宋体" w:cs="宋体" w:eastAsia="宋体" w:hint="default"/>
          <w:b/>
          <w:bCs/>
          <w:w w:val="99"/>
          <w:sz w:val="21"/>
          <w:szCs w:val="21"/>
        </w:rPr>
        <w:t> </w:t>
      </w:r>
      <w:r>
        <w:rPr/>
        <w:t>对于为购建或者生产符合资本化条件的资产而借入的专门借款，以专门借款当期实际发生的借款费用，减去尚未动用的借</w:t>
      </w:r>
      <w:r>
        <w:rPr>
          <w:spacing w:val="-57"/>
        </w:rPr>
        <w:t> </w:t>
      </w:r>
      <w:r>
        <w:rPr>
          <w:spacing w:val="-57"/>
        </w:rPr>
      </w:r>
      <w:r>
        <w:rPr/>
        <w:t>款资金存入银行取得的利息收入或进行暂时性投资取得的投资收益后的金额，来确定借款费用的资本化金额。</w:t>
      </w:r>
    </w:p>
    <w:p>
      <w:pPr>
        <w:pStyle w:val="BodyText"/>
        <w:spacing w:line="316" w:lineRule="auto" w:before="35"/>
        <w:ind w:right="1135" w:firstLine="73"/>
        <w:jc w:val="both"/>
      </w:pPr>
      <w:r>
        <w:rPr/>
        <w:t>对于为购建或者生产符合资本化条件的资产而占用的一般借款，根据累计资产支出超过专门借款部分的资产支出加权平均 数乘以所占用一般借款的 资本化率，计算确定一般借款应予资本化的借款费用金额。资本化率根据一般借款加权平均利率</w:t>
      </w:r>
      <w:r>
        <w:rPr>
          <w:spacing w:val="-89"/>
        </w:rPr>
        <w:t> </w:t>
      </w:r>
      <w:r>
        <w:rPr>
          <w:spacing w:val="-89"/>
        </w:rPr>
      </w:r>
      <w:r>
        <w:rPr/>
        <w:t>计算确定。</w:t>
      </w:r>
    </w:p>
    <w:p>
      <w:pPr>
        <w:spacing w:line="240" w:lineRule="auto" w:before="7"/>
        <w:rPr>
          <w:rFonts w:ascii="宋体" w:hAnsi="宋体" w:cs="宋体" w:eastAsia="宋体" w:hint="default"/>
          <w:sz w:val="22"/>
          <w:szCs w:val="22"/>
        </w:rPr>
      </w:pPr>
    </w:p>
    <w:p>
      <w:pPr>
        <w:pStyle w:val="Heading3"/>
        <w:spacing w:line="240" w:lineRule="auto"/>
        <w:ind w:left="153" w:right="0"/>
        <w:jc w:val="left"/>
        <w:rPr>
          <w:b w:val="0"/>
          <w:bCs w:val="0"/>
        </w:rPr>
      </w:pPr>
      <w:bookmarkStart w:name="18、无形资产" w:id="186"/>
      <w:bookmarkEnd w:id="186"/>
      <w:r>
        <w:rPr>
          <w:b w:val="0"/>
          <w:bCs w:val="0"/>
        </w:rPr>
      </w:r>
      <w:r>
        <w:rPr>
          <w:rFonts w:ascii="Times New Roman" w:hAnsi="Times New Roman" w:cs="Times New Roman" w:eastAsia="Times New Roman" w:hint="default"/>
        </w:rPr>
        <w:t>18</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计价方法、使用寿命、减值测试" w:id="187"/>
      <w:bookmarkEnd w:id="187"/>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①无形资产的计价方法</w:t>
      </w:r>
    </w:p>
    <w:p>
      <w:pPr>
        <w:pStyle w:val="BodyText"/>
        <w:spacing w:line="316" w:lineRule="auto" w:before="76"/>
        <w:ind w:right="0"/>
        <w:jc w:val="left"/>
      </w:pPr>
      <w:r>
        <w:rPr>
          <w:rFonts w:ascii="Times New Roman" w:hAnsi="Times New Roman" w:cs="Times New Roman" w:eastAsia="Times New Roman" w:hint="default"/>
        </w:rPr>
        <w:t>&lt;1&gt;</w:t>
      </w:r>
      <w:r>
        <w:rPr/>
        <w:t>公司取得无形资产时按成本进行初始计量； </w:t>
      </w:r>
      <w:r>
        <w:rPr>
          <w:spacing w:val="-2"/>
        </w:rPr>
        <w:t>外购无形资产的成本，包括购买价款、相关税费以及直接归属于使该项资产达到预定用途所发生的其他支出。购买无形资产</w:t>
      </w:r>
      <w:r>
        <w:rPr>
          <w:spacing w:val="-66"/>
        </w:rPr>
        <w:t> </w:t>
      </w:r>
      <w:r>
        <w:rPr>
          <w:spacing w:val="-66"/>
        </w:rPr>
      </w:r>
      <w:r>
        <w:rPr/>
        <w:t>的价款超过正常信用条件延期支付，实质上具有融资性质的，无形资产的成本以购买价款的现值为基础确定。 </w:t>
      </w:r>
      <w:r>
        <w:rPr>
          <w:spacing w:val="-2"/>
        </w:rPr>
        <w:t>债务重组取得债务人用以抵债的无形资产，以该无形资产的公允价值为基础确定其入账价值，并将重组债务的账面价值与该</w:t>
      </w:r>
      <w:r>
        <w:rPr>
          <w:spacing w:val="-64"/>
        </w:rPr>
        <w:t> </w:t>
      </w:r>
      <w:r>
        <w:rPr>
          <w:spacing w:val="-64"/>
        </w:rPr>
      </w:r>
      <w:r>
        <w:rPr/>
        <w:t>用以抵债的无形资产公允价值之间的差额，计入当期损益； </w:t>
      </w:r>
      <w:r>
        <w:rPr>
          <w:spacing w:val="-2"/>
        </w:rPr>
        <w:t>在非货币性资产交换具备商业实质且换入资产或换出资产的公允价值能够可靠计量的前提下，非货币性资产交换换入的无形</w:t>
      </w:r>
      <w:r>
        <w:rPr>
          <w:spacing w:val="-64"/>
        </w:rPr>
        <w:t> </w:t>
      </w:r>
      <w:r>
        <w:rPr>
          <w:spacing w:val="-64"/>
        </w:rPr>
      </w:r>
      <w:r>
        <w:rPr>
          <w:spacing w:val="-2"/>
        </w:rPr>
        <w:t>资产以换出资产的公允价值为基础确定其入账价值，除非有确凿证据表明换入资产的公允价值更加可靠；不满足上述前提的</w:t>
      </w:r>
      <w:r>
        <w:rPr>
          <w:spacing w:val="-64"/>
        </w:rPr>
        <w:t> </w:t>
      </w:r>
      <w:r>
        <w:rPr>
          <w:spacing w:val="-64"/>
        </w:rPr>
      </w:r>
      <w:r>
        <w:rPr/>
        <w:t>非货币性资产交换，以换出资产的账面价值和应支付的相关税费作为换入无形资产的成本，不确认损益。 </w:t>
      </w:r>
      <w:r>
        <w:rPr>
          <w:spacing w:val="-2"/>
        </w:rPr>
        <w:t>以同一控制下的企业吸收合并方式取得的无形资产按被合并方的账面价值确定其入账价值；以非同一控制下的企业吸收合并</w:t>
      </w:r>
      <w:r>
        <w:rPr>
          <w:spacing w:val="-64"/>
        </w:rPr>
        <w:t> </w:t>
      </w:r>
      <w:r>
        <w:rPr>
          <w:spacing w:val="-64"/>
        </w:rPr>
      </w:r>
      <w:r>
        <w:rPr/>
        <w:t>方式取得的无形资产按公允价值确定其入账价值。 </w:t>
      </w:r>
      <w:r>
        <w:rPr>
          <w:spacing w:val="-2"/>
        </w:rPr>
        <w:t>内部自行开发的无形资产，其成本包括：开发该无形资产时耗用的材料、劳务成本、注册费、在开发过程中使用的其他专利</w:t>
      </w:r>
      <w:r>
        <w:rPr>
          <w:spacing w:val="-66"/>
        </w:rPr>
        <w:t> </w:t>
      </w:r>
      <w:r>
        <w:rPr>
          <w:spacing w:val="-66"/>
        </w:rPr>
      </w:r>
      <w:r>
        <w:rPr/>
        <w:t>权和特许权的摊销以及满足资本化条件的利息费用，以及为使该无形资产达到预定用途前所发生的其他直接费用。</w:t>
      </w:r>
    </w:p>
    <w:p>
      <w:pPr>
        <w:pStyle w:val="BodyText"/>
        <w:spacing w:line="300" w:lineRule="auto" w:before="19"/>
        <w:ind w:right="7513"/>
        <w:jc w:val="left"/>
      </w:pPr>
      <w:r>
        <w:rPr>
          <w:rFonts w:ascii="Times New Roman" w:hAnsi="Times New Roman" w:cs="Times New Roman" w:eastAsia="Times New Roman" w:hint="default"/>
        </w:rPr>
        <w:t>&lt;2&gt;</w:t>
      </w:r>
      <w:r>
        <w:rPr/>
        <w:t>后续计量 在取得无形资产时分析判断其使用寿命。</w:t>
      </w:r>
    </w:p>
    <w:p>
      <w:pPr>
        <w:pStyle w:val="BodyText"/>
        <w:spacing w:line="316" w:lineRule="auto" w:before="31"/>
        <w:ind w:right="0"/>
        <w:jc w:val="left"/>
      </w:pPr>
      <w:r>
        <w:rPr>
          <w:spacing w:val="-2"/>
        </w:rPr>
        <w:t>对于使用寿命有限的无形资产，在为企业带来经济利益的期限内按直线法摊销；无法预见无形资产为企业带来经济利益期限</w:t>
      </w:r>
      <w:r>
        <w:rPr>
          <w:spacing w:val="-64"/>
        </w:rPr>
        <w:t> </w:t>
      </w:r>
      <w:r>
        <w:rPr>
          <w:spacing w:val="-64"/>
        </w:rPr>
      </w:r>
      <w:r>
        <w:rPr/>
        <w:t>的，视为使用寿命不确定的无形资产，不予摊销。</w:t>
      </w:r>
    </w:p>
    <w:p>
      <w:pPr>
        <w:pStyle w:val="BodyText"/>
        <w:spacing w:line="316" w:lineRule="auto" w:before="19"/>
        <w:ind w:right="1213"/>
        <w:jc w:val="left"/>
      </w:pPr>
      <w:r>
        <w:rPr/>
        <w:t>②使用寿命有限的无形资产的使用寿命估计情况： 使用寿命有限的无形资产，其应摊销金额在使用寿命内系统合理摊销，无法可靠确定预期实现方式的，采用直线法摊销。 本公司至少于每年年度终了，对使用寿命有限的无形资产的使用寿命及摊销方法进行复核，必要时进行调整。</w:t>
      </w:r>
    </w:p>
    <w:p>
      <w:pPr>
        <w:pStyle w:val="BodyText"/>
        <w:spacing w:line="316" w:lineRule="auto" w:before="19"/>
        <w:ind w:right="0"/>
        <w:jc w:val="left"/>
      </w:pPr>
      <w:r>
        <w:rPr/>
        <w:t>③使用寿命不确定的无形资产的判断依据： 本公司将无法预见该资产为公司带来经济利益的期限，或使用期限不确定等无形资产确定为使用寿命不确定的无形资产。 </w:t>
      </w:r>
      <w:r>
        <w:rPr>
          <w:spacing w:val="-2"/>
        </w:rPr>
        <w:t>使用寿命不确定的判断依据：①来源于合同性权利或其他法定权利，但合同规定或法律规定无明确使用年限；②综合同行业</w:t>
      </w:r>
      <w:r>
        <w:rPr>
          <w:spacing w:val="-67"/>
        </w:rPr>
        <w:t> </w:t>
      </w:r>
      <w:r>
        <w:rPr>
          <w:spacing w:val="-67"/>
        </w:rPr>
      </w:r>
      <w:r>
        <w:rPr/>
        <w:t>情况或相关专家论证等，仍无法判断无形资产为公司带来经济利益的期限。</w:t>
      </w:r>
    </w:p>
    <w:p>
      <w:pPr>
        <w:spacing w:after="0" w:line="316" w:lineRule="auto"/>
        <w:jc w:val="left"/>
        <w:sectPr>
          <w:footerReference w:type="default" r:id="rId33"/>
          <w:pgSz w:w="11910" w:h="16840"/>
          <w:pgMar w:footer="979" w:header="877" w:top="1060" w:bottom="1160" w:left="980" w:right="0"/>
          <w:pgNumType w:start="101"/>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每年年末，对使用寿命不确定无形资产使用寿命进行复核，主要采取自下而上的方式，由无形资产使用相关部门进行基础复</w:t>
      </w:r>
      <w:r>
        <w:rPr>
          <w:spacing w:val="-65"/>
        </w:rPr>
        <w:t> </w:t>
      </w:r>
      <w:r>
        <w:rPr>
          <w:spacing w:val="-65"/>
        </w:rPr>
      </w:r>
      <w:r>
        <w:rPr/>
        <w:t>核，评价使用寿命不确定判断依据是否存在变化等。</w:t>
      </w:r>
    </w:p>
    <w:p>
      <w:pPr>
        <w:pStyle w:val="BodyText"/>
        <w:spacing w:line="319" w:lineRule="auto" w:before="19"/>
        <w:ind w:right="4813"/>
        <w:jc w:val="left"/>
      </w:pPr>
      <w:r>
        <w:rPr/>
        <w:t>④无形资产减值准备的计提 对于使用寿命确定的无形资产，如有明显减值迹象的，期末进行减值测试。 对于使用寿命不确定的无形资产，每期末进行减值测试。</w:t>
      </w:r>
    </w:p>
    <w:p>
      <w:pPr>
        <w:pStyle w:val="BodyText"/>
        <w:spacing w:line="316" w:lineRule="auto" w:before="17"/>
        <w:ind w:right="1033"/>
        <w:jc w:val="left"/>
      </w:pPr>
      <w:r>
        <w:rPr>
          <w:spacing w:val="-2"/>
        </w:rPr>
        <w:t>对无形资产进行减值测试，估计其可收回金额。有迹象表明一项无形资产可能发生减值的，公司以单项无形资产为基础估计</w:t>
      </w:r>
      <w:r>
        <w:rPr>
          <w:spacing w:val="-66"/>
        </w:rPr>
        <w:t> </w:t>
      </w:r>
      <w:r>
        <w:rPr>
          <w:spacing w:val="-66"/>
        </w:rPr>
      </w:r>
      <w:r>
        <w:rPr>
          <w:spacing w:val="-2"/>
        </w:rPr>
        <w:t>其可收回金额。公司难以对单项资产的可收回金额进行估计的，以该无形资产所属的资产组为基础确定无形资产组的可收回</w:t>
      </w:r>
      <w:r>
        <w:rPr>
          <w:spacing w:val="-64"/>
        </w:rPr>
        <w:t> </w:t>
      </w:r>
      <w:r>
        <w:rPr>
          <w:spacing w:val="-64"/>
        </w:rPr>
      </w:r>
      <w:r>
        <w:rPr/>
        <w:t>金额。 可收回金额根据无形资产的公允价值减去处置费用后的净额与无形资产预计未来现金流量的现值两者之间较高者确定。 </w:t>
      </w:r>
      <w:r>
        <w:rPr>
          <w:spacing w:val="-2"/>
        </w:rPr>
        <w:t>当无形资产的可收回金额低于其账面价值的，将无形资产的账面价值减记至可收回金额，减记的金额确认为无形资产减值损</w:t>
      </w:r>
      <w:r>
        <w:rPr>
          <w:spacing w:val="-64"/>
        </w:rPr>
        <w:t> </w:t>
      </w:r>
      <w:r>
        <w:rPr>
          <w:spacing w:val="-64"/>
        </w:rPr>
      </w:r>
      <w:r>
        <w:rPr/>
        <w:t>失，计入当期损益，同时计提相应的无形资产减值准备。 无形资产减值损失确认后，减值无形资产的折耗或者摊销费用在未来期间作相应调整，以使该无形资产在剩余使用寿命内， 系统地分摊调整后的无形资产账面价值（扣除预计净残值）。</w:t>
      </w:r>
    </w:p>
    <w:p>
      <w:pPr>
        <w:pStyle w:val="BodyText"/>
        <w:spacing w:line="240" w:lineRule="auto" w:before="19"/>
        <w:ind w:left="154" w:right="0"/>
        <w:jc w:val="left"/>
      </w:pPr>
      <w:r>
        <w:rPr/>
        <w:t>无形资产的减值损失一经确认，在以后会计期间不再转回。</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内部研究开发支出会计政策" w:id="188"/>
      <w:bookmarkEnd w:id="188"/>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210" w:right="1118"/>
        <w:jc w:val="left"/>
      </w:pPr>
      <w:r>
        <w:rPr/>
        <w:t>①划分公司内部研究开发项目的研究阶段和开发阶段具体标准 公司内部研究开发项目的支出分为研究阶段支出和开发阶段支出。 研究阶段：指为获取新的技术和知识等所进行的有计划的调查。公司的研究阶段一般是指研发部门根据市场需求、技术需</w:t>
      </w:r>
      <w:r>
        <w:rPr>
          <w:spacing w:val="-55"/>
        </w:rPr>
        <w:t> </w:t>
      </w:r>
      <w:r>
        <w:rPr>
          <w:spacing w:val="-55"/>
        </w:rPr>
      </w:r>
      <w:r>
        <w:rPr/>
        <w:t>要等因素对需研究开发的项目进行相关分析立项，由项目管理部门对该项目进行技术创新能力、成果转化能力、实际需求</w:t>
      </w:r>
      <w:r>
        <w:rPr>
          <w:spacing w:val="-55"/>
        </w:rPr>
        <w:t> </w:t>
      </w:r>
      <w:r>
        <w:rPr>
          <w:spacing w:val="-55"/>
        </w:rPr>
      </w:r>
      <w:r>
        <w:rPr/>
        <w:t>能力及项目预算资金保障能力等情况进行评审分析的阶段。 开发阶段：指在进行商业性生产或使用前，将研究成果或其他知识应用于某项计划或设计，以生产出新的或具有实质性改</w:t>
      </w:r>
      <w:r>
        <w:rPr>
          <w:spacing w:val="-55"/>
        </w:rPr>
        <w:t> </w:t>
      </w:r>
      <w:r>
        <w:rPr>
          <w:spacing w:val="-55"/>
        </w:rPr>
      </w:r>
      <w:r>
        <w:rPr/>
        <w:t>进的材料、装置、产品等。公司的开发阶段是指项目立项申请经过研究阶段的研究分析，评审形成立项报告后，研发项目</w:t>
      </w:r>
      <w:r>
        <w:rPr>
          <w:spacing w:val="-51"/>
        </w:rPr>
        <w:t> </w:t>
      </w:r>
      <w:r>
        <w:rPr>
          <w:spacing w:val="-51"/>
        </w:rPr>
      </w:r>
      <w:r>
        <w:rPr/>
        <w:t>组完成软件详细设计、代码编写、系统测试等工作，并且通过不断修订完善直至达到可使用或可销售状态。</w:t>
      </w:r>
    </w:p>
    <w:p>
      <w:pPr>
        <w:pStyle w:val="BodyText"/>
        <w:spacing w:line="316" w:lineRule="auto" w:before="19"/>
        <w:ind w:left="210" w:right="4756"/>
        <w:jc w:val="left"/>
      </w:pPr>
      <w:r>
        <w:rPr/>
        <w:t>②开发阶段支出符合资本化的具体标准 内部研究开发项目开发阶段的支出，同时满足下列条件时确认为无形资产：</w:t>
      </w:r>
    </w:p>
    <w:p>
      <w:pPr>
        <w:pStyle w:val="BodyText"/>
        <w:spacing w:line="240" w:lineRule="auto" w:before="19"/>
        <w:ind w:left="210" w:right="0"/>
        <w:jc w:val="left"/>
      </w:pPr>
      <w:r>
        <w:rPr>
          <w:rFonts w:ascii="Times New Roman" w:hAnsi="Times New Roman" w:cs="Times New Roman" w:eastAsia="Times New Roman" w:hint="default"/>
        </w:rPr>
        <w:t>&lt;1&gt;</w:t>
      </w:r>
      <w:r>
        <w:rPr/>
        <w:t>完成该无形资产以使其能够使用或出售在技术上具有可行性；</w:t>
      </w:r>
    </w:p>
    <w:p>
      <w:pPr>
        <w:pStyle w:val="BodyText"/>
        <w:spacing w:line="240" w:lineRule="auto" w:before="63"/>
        <w:ind w:left="210" w:right="0"/>
        <w:jc w:val="left"/>
      </w:pPr>
      <w:r>
        <w:rPr>
          <w:rFonts w:ascii="Times New Roman" w:hAnsi="Times New Roman" w:cs="Times New Roman" w:eastAsia="Times New Roman" w:hint="default"/>
        </w:rPr>
        <w:t>&lt;2&gt;</w:t>
      </w:r>
      <w:r>
        <w:rPr/>
        <w:t>具有完成该无形资产并使用或出售的意图；</w:t>
      </w:r>
    </w:p>
    <w:p>
      <w:pPr>
        <w:pStyle w:val="BodyText"/>
        <w:spacing w:line="300" w:lineRule="auto" w:before="63"/>
        <w:ind w:left="210" w:right="0"/>
        <w:jc w:val="left"/>
      </w:pPr>
      <w:r>
        <w:rPr>
          <w:rFonts w:ascii="Times New Roman" w:hAnsi="Times New Roman" w:cs="Times New Roman" w:eastAsia="Times New Roman" w:hint="default"/>
          <w:spacing w:val="-2"/>
        </w:rPr>
        <w:t>&lt;3&gt;</w:t>
      </w:r>
      <w:r>
        <w:rPr>
          <w:spacing w:val="-2"/>
        </w:rPr>
        <w:t>无形资产产生经济利益的方式，包括能够证明运用该无形资产生产的产品存在市场或无形资产自身存在市场，无形资产</w:t>
      </w:r>
      <w:r>
        <w:rPr>
          <w:spacing w:val="-54"/>
        </w:rPr>
        <w:t> </w:t>
      </w:r>
      <w:r>
        <w:rPr>
          <w:spacing w:val="-54"/>
        </w:rPr>
      </w:r>
      <w:r>
        <w:rPr/>
        <w:t>将在内部使用的，能够证明其有用性；</w:t>
      </w:r>
    </w:p>
    <w:p>
      <w:pPr>
        <w:pStyle w:val="BodyText"/>
        <w:spacing w:line="240" w:lineRule="auto" w:before="31"/>
        <w:ind w:left="210" w:right="0"/>
        <w:jc w:val="left"/>
      </w:pPr>
      <w:r>
        <w:rPr>
          <w:rFonts w:ascii="Times New Roman" w:hAnsi="Times New Roman" w:cs="Times New Roman" w:eastAsia="Times New Roman" w:hint="default"/>
        </w:rPr>
        <w:t>&lt;4&gt;</w:t>
      </w:r>
      <w:r>
        <w:rPr/>
        <w:t>有足够的技术、财务资源和其他资源支持，以完成该无形资产的开发，并有能力使用或出售该无形资产；</w:t>
      </w:r>
    </w:p>
    <w:p>
      <w:pPr>
        <w:pStyle w:val="BodyText"/>
        <w:spacing w:line="300" w:lineRule="auto" w:before="63"/>
        <w:ind w:left="154" w:right="0" w:firstLine="56"/>
        <w:jc w:val="left"/>
      </w:pPr>
      <w:r>
        <w:rPr>
          <w:rFonts w:ascii="Times New Roman" w:hAnsi="Times New Roman" w:cs="Times New Roman" w:eastAsia="Times New Roman" w:hint="default"/>
        </w:rPr>
        <w:t>&lt;5&gt;</w:t>
      </w:r>
      <w:r>
        <w:rPr/>
        <w:t>归属于该无形资产开发阶段的支出能够可靠地计量。 开发阶段的支出，若不满足上列条件的，于发生时计入当期损益。研究阶段的支出，在发生时计入当期损益。</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bookmarkStart w:name="19、长期资产减值" w:id="189"/>
      <w:bookmarkEnd w:id="189"/>
      <w:r>
        <w:rPr>
          <w:b w:val="0"/>
          <w:bCs w:val="0"/>
        </w:rPr>
      </w:r>
      <w:r>
        <w:rPr>
          <w:rFonts w:ascii="Times New Roman" w:hAnsi="Times New Roman" w:cs="Times New Roman" w:eastAsia="Times New Roman" w:hint="default"/>
        </w:rPr>
        <w:t>19</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1131"/>
        <w:jc w:val="both"/>
      </w:pPr>
      <w:r>
        <w:rPr>
          <w:spacing w:val="-2"/>
        </w:rPr>
        <w:t>长期股权投资、采用成本模式计量的投资性房地产、固定资产、在建工程、使用寿命有限的无形资产等长期资产，于资产负</w:t>
      </w:r>
      <w:r>
        <w:rPr>
          <w:spacing w:val="-66"/>
        </w:rPr>
        <w:t> </w:t>
      </w:r>
      <w:r>
        <w:rPr>
          <w:spacing w:val="-66"/>
        </w:rPr>
      </w:r>
      <w:r>
        <w:rPr>
          <w:spacing w:val="-2"/>
        </w:rPr>
        <w:t>债表日存在减值迹象的，进行减值测试。减值测试结果表明资产的可收回金额低于其账面价值的，按其差额计提减值准备并</w:t>
      </w:r>
      <w:r>
        <w:rPr>
          <w:spacing w:val="-66"/>
        </w:rPr>
        <w:t> </w:t>
      </w:r>
      <w:r>
        <w:rPr>
          <w:spacing w:val="-66"/>
        </w:rPr>
      </w:r>
      <w:r>
        <w:rPr>
          <w:spacing w:val="-2"/>
        </w:rPr>
        <w:t>计入减值损失。可收回金额为资产的公允价值减去处置费用后的净额与资产预计未来现金流量的现值两者之间的较高者。资</w:t>
      </w:r>
      <w:r>
        <w:rPr>
          <w:spacing w:val="-64"/>
        </w:rPr>
        <w:t> </w:t>
      </w:r>
      <w:r>
        <w:rPr>
          <w:spacing w:val="-64"/>
        </w:rPr>
      </w:r>
      <w:r>
        <w:rPr>
          <w:spacing w:val="-2"/>
        </w:rPr>
        <w:t>产减值准备按单项资产为基础计算并确认，如果难以对单项资产的可收回金额进行估计的，以该资产所属的资产组确定资产</w:t>
      </w:r>
      <w:r>
        <w:rPr>
          <w:spacing w:val="-64"/>
        </w:rPr>
        <w:t> </w:t>
      </w:r>
      <w:r>
        <w:rPr>
          <w:spacing w:val="-64"/>
        </w:rPr>
      </w:r>
      <w:r>
        <w:rPr/>
        <w:t>组的可收回金额。资产组是能够独立产生现金流入的最小资产组合。</w:t>
      </w:r>
    </w:p>
    <w:p>
      <w:pPr>
        <w:pStyle w:val="BodyText"/>
        <w:spacing w:line="316" w:lineRule="auto" w:before="17"/>
        <w:ind w:right="0"/>
        <w:jc w:val="left"/>
      </w:pPr>
      <w:r>
        <w:rPr/>
        <w:t>商誉至少在每年年度终了进行减值测试。 </w:t>
      </w:r>
      <w:r>
        <w:rPr>
          <w:spacing w:val="-2"/>
        </w:rPr>
        <w:t>本公司进行商誉减值测试，对于因企业合并形成的商誉的账面价值，自购买日起按照合理的方法分摊至相关的资产组；难以</w:t>
      </w:r>
      <w:r>
        <w:rPr>
          <w:spacing w:val="-66"/>
        </w:rPr>
        <w:t> </w:t>
      </w:r>
      <w:r>
        <w:rPr>
          <w:spacing w:val="-66"/>
        </w:rPr>
      </w:r>
      <w:r>
        <w:rPr>
          <w:spacing w:val="-2"/>
        </w:rPr>
        <w:t>分摊至相关的资产组的，将其分摊至相关的资产组组合。在将商誉的账面价值分摊至相关的资产组或者资产组组合时，按照</w:t>
      </w:r>
    </w:p>
    <w:p>
      <w:pPr>
        <w:spacing w:after="0" w:line="316" w:lineRule="auto"/>
        <w:jc w:val="left"/>
        <w:sectPr>
          <w:pgSz w:w="11910" w:h="16840"/>
          <w:pgMar w:header="87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t>各资产组或者资产组组合的公允价值占相关资产组或者资产组组合公允价值总额的比例进行分摊。公允价值难以可靠计量</w:t>
      </w:r>
      <w:r>
        <w:rPr>
          <w:spacing w:val="-6"/>
        </w:rPr>
        <w:t> </w:t>
      </w:r>
      <w:r>
        <w:rPr>
          <w:spacing w:val="-6"/>
        </w:rPr>
      </w:r>
      <w:r>
        <w:rPr/>
        <w:t>的，按照各资产组或者资产组组合的账面价值占相关资产组或者资产组组合账面价值总额的比例进行分摊。 </w:t>
      </w:r>
      <w:r>
        <w:rPr>
          <w:spacing w:val="-2"/>
        </w:rPr>
        <w:t>在对包含商誉的相关资产组或者资产组组合进行减值测试时，如与商誉相关的资产组或者资产组组合存在减值迹象的，先对</w:t>
      </w:r>
      <w:r>
        <w:rPr>
          <w:spacing w:val="-64"/>
        </w:rPr>
        <w:t> </w:t>
      </w:r>
      <w:r>
        <w:rPr>
          <w:spacing w:val="-64"/>
        </w:rPr>
      </w:r>
      <w:r>
        <w:rPr>
          <w:spacing w:val="-2"/>
        </w:rPr>
        <w:t>不包含商誉的资产组或者资产组组合进行减值测试，计算可收回金额，并与相关账面价值相比较，确认相应的减值损失。再</w:t>
      </w:r>
      <w:r>
        <w:rPr>
          <w:spacing w:val="-66"/>
        </w:rPr>
        <w:t> </w:t>
      </w:r>
      <w:r>
        <w:rPr>
          <w:spacing w:val="-66"/>
        </w:rPr>
      </w:r>
      <w:r>
        <w:rPr>
          <w:spacing w:val="-2"/>
        </w:rPr>
        <w:t>对包含商誉的资产组或者资产组组合进行减值测试，比较这些相关资产组或者资产组组合的账面价值（包括所分摊的商誉的</w:t>
      </w:r>
      <w:r>
        <w:rPr>
          <w:spacing w:val="-64"/>
        </w:rPr>
        <w:t> </w:t>
      </w:r>
      <w:r>
        <w:rPr>
          <w:spacing w:val="-64"/>
        </w:rPr>
      </w:r>
      <w:r>
        <w:rPr>
          <w:spacing w:val="-2"/>
        </w:rPr>
        <w:t>账面价值部分）与其可收回金额，如相关资产组或者资产组组合的可收回金额低于其账面价值的，确认商誉的减值损失。上</w:t>
      </w:r>
      <w:r>
        <w:rPr>
          <w:spacing w:val="-66"/>
        </w:rPr>
        <w:t> </w:t>
      </w:r>
      <w:r>
        <w:rPr>
          <w:spacing w:val="-66"/>
        </w:rPr>
      </w:r>
      <w:r>
        <w:rPr/>
        <w:t>述资产减值损失一经确认，在以后会计期间不予转回。</w:t>
      </w:r>
    </w:p>
    <w:p>
      <w:pPr>
        <w:spacing w:line="240" w:lineRule="auto" w:before="7"/>
        <w:rPr>
          <w:rFonts w:ascii="宋体" w:hAnsi="宋体" w:cs="宋体" w:eastAsia="宋体" w:hint="default"/>
          <w:sz w:val="22"/>
          <w:szCs w:val="22"/>
        </w:rPr>
      </w:pPr>
    </w:p>
    <w:p>
      <w:pPr>
        <w:pStyle w:val="Heading3"/>
        <w:spacing w:line="240" w:lineRule="auto"/>
        <w:ind w:left="153" w:right="0"/>
        <w:jc w:val="left"/>
        <w:rPr>
          <w:b w:val="0"/>
          <w:bCs w:val="0"/>
        </w:rPr>
      </w:pPr>
      <w:bookmarkStart w:name="20、长期待摊费用" w:id="190"/>
      <w:bookmarkEnd w:id="190"/>
      <w:r>
        <w:rPr>
          <w:b w:val="0"/>
          <w:bCs w:val="0"/>
        </w:rPr>
      </w:r>
      <w:r>
        <w:rPr>
          <w:rFonts w:ascii="Times New Roman" w:hAnsi="Times New Roman" w:cs="Times New Roman" w:eastAsia="Times New Roman" w:hint="default"/>
        </w:rPr>
        <w:t>20</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31"/>
        <w:jc w:val="both"/>
      </w:pPr>
      <w:r>
        <w:rPr>
          <w:spacing w:val="-2"/>
        </w:rPr>
        <w:t>长期待摊费用为已经发生但应由本期和以后各期负担的分摊期限在一年以上的各项费用。本公司长期待摊费用包括车位使用</w:t>
      </w:r>
      <w:r>
        <w:rPr>
          <w:spacing w:val="-64"/>
        </w:rPr>
        <w:t> </w:t>
      </w:r>
      <w:r>
        <w:rPr>
          <w:spacing w:val="-64"/>
        </w:rPr>
      </w:r>
      <w:r>
        <w:rPr>
          <w:spacing w:val="-2"/>
        </w:rPr>
        <w:t>费、房屋装修费等。长期待摊费用按费用项目的受益期限分期摊销。长期待摊的费用项目不能使以后会计期间受益，则将尚</w:t>
      </w:r>
      <w:r>
        <w:rPr>
          <w:spacing w:val="-66"/>
        </w:rPr>
        <w:t> </w:t>
      </w:r>
      <w:r>
        <w:rPr>
          <w:spacing w:val="-66"/>
        </w:rPr>
      </w:r>
      <w:r>
        <w:rPr/>
        <w:t>未摊销的该项目的摊余价值全部转入当期损益。</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1、职工薪酬" w:id="191"/>
      <w:bookmarkEnd w:id="191"/>
      <w:r>
        <w:rPr>
          <w:b w:val="0"/>
          <w:bCs w:val="0"/>
        </w:rPr>
      </w:r>
      <w:r>
        <w:rPr>
          <w:rFonts w:ascii="Times New Roman" w:hAnsi="Times New Roman" w:cs="Times New Roman" w:eastAsia="Times New Roman" w:hint="default"/>
        </w:rPr>
        <w:t>21</w:t>
      </w:r>
      <w:r>
        <w:rPr/>
        <w:t>、职工薪酬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短期薪酬的会计处理方法" w:id="192"/>
      <w:bookmarkEnd w:id="192"/>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213" w:right="0"/>
        <w:jc w:val="left"/>
      </w:pPr>
      <w:r>
        <w:rPr/>
        <w:t>本公司在职工为本公司提供服务的会计期间，将实际发生的短期薪酬确认为负债，并计入当期损益或相关资产成本。 本公司为职工缴纳的社会保险费和住房公积金，以及按规定提取的工会经费和职工教育经费，在职工为本公司提供服务的</w:t>
      </w:r>
      <w:r>
        <w:rPr>
          <w:spacing w:val="-57"/>
        </w:rPr>
        <w:t> </w:t>
      </w:r>
      <w:r>
        <w:rPr>
          <w:spacing w:val="-57"/>
        </w:rPr>
      </w:r>
      <w:r>
        <w:rPr/>
        <w:t>会计期间，根据规定的计提基础和计提比例计算确定相应的职工薪酬金额。 职工福利费为非货币性福利的，如能够可靠计量的，按照公允价值计量。</w:t>
      </w:r>
    </w:p>
    <w:p>
      <w:pPr>
        <w:spacing w:line="240" w:lineRule="auto" w:before="7"/>
        <w:rPr>
          <w:rFonts w:ascii="宋体" w:hAnsi="宋体" w:cs="宋体" w:eastAsia="宋体" w:hint="default"/>
          <w:sz w:val="22"/>
          <w:szCs w:val="22"/>
        </w:rPr>
      </w:pPr>
    </w:p>
    <w:p>
      <w:pPr>
        <w:pStyle w:val="Heading3"/>
        <w:spacing w:line="240" w:lineRule="auto"/>
        <w:ind w:left="153" w:right="0"/>
        <w:jc w:val="left"/>
        <w:rPr>
          <w:b w:val="0"/>
          <w:bCs w:val="0"/>
        </w:rPr>
      </w:pPr>
      <w:bookmarkStart w:name="（2）离职后福利的会计处理方法" w:id="193"/>
      <w:bookmarkEnd w:id="193"/>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left="213" w:right="1033" w:hanging="60"/>
        <w:jc w:val="left"/>
      </w:pPr>
      <w:r>
        <w:rPr/>
        <w:t>（</w:t>
      </w:r>
      <w:r>
        <w:rPr>
          <w:rFonts w:ascii="Times New Roman" w:hAnsi="Times New Roman" w:cs="Times New Roman" w:eastAsia="Times New Roman" w:hint="default"/>
        </w:rPr>
        <w:t>1</w:t>
      </w:r>
      <w:r>
        <w:rPr/>
        <w:t>）设定提存计划 本公司按当地政府的相关规定为职工缴纳基本养老保险和失业保险，在职工为本公司提供服务的会计期间，按以当地规定 的缴纳基数和比例计算应缴纳金额，确认为负债，并计入当期损益或相关资产成本。 </w:t>
      </w:r>
      <w:r>
        <w:rPr>
          <w:spacing w:val="-2"/>
        </w:rPr>
        <w:t>除基本养老保险外，本公司还依据国家企业年金制度的相关政策建立了企业年金缴费制度（补充养老保险）</w:t>
      </w:r>
      <w:r>
        <w:rPr>
          <w:rFonts w:ascii="Times New Roman" w:hAnsi="Times New Roman" w:cs="Times New Roman" w:eastAsia="Times New Roman" w:hint="default"/>
          <w:spacing w:val="-2"/>
        </w:rPr>
        <w:t>/</w:t>
      </w:r>
      <w:r>
        <w:rPr>
          <w:spacing w:val="-2"/>
        </w:rPr>
        <w:t>企业年金计划。</w:t>
      </w:r>
      <w:r>
        <w:rPr/>
        <w:t> 本公司按职工工资总额的一定比例向当地社会保险机构缴费</w:t>
      </w:r>
      <w:r>
        <w:rPr>
          <w:rFonts w:ascii="Times New Roman" w:hAnsi="Times New Roman" w:cs="Times New Roman" w:eastAsia="Times New Roman" w:hint="default"/>
        </w:rPr>
        <w:t>/</w:t>
      </w:r>
      <w:r>
        <w:rPr/>
        <w:t>年金计划缴费，相应支出计入当期损益或相关资产成本。</w:t>
      </w:r>
    </w:p>
    <w:p>
      <w:pPr>
        <w:pStyle w:val="BodyText"/>
        <w:spacing w:line="316" w:lineRule="auto" w:before="5"/>
        <w:ind w:left="213" w:right="0" w:hanging="60"/>
        <w:jc w:val="left"/>
      </w:pPr>
      <w:r>
        <w:rPr/>
        <w:t>（</w:t>
      </w:r>
      <w:r>
        <w:rPr>
          <w:rFonts w:ascii="Times New Roman" w:hAnsi="Times New Roman" w:cs="Times New Roman" w:eastAsia="Times New Roman" w:hint="default"/>
        </w:rPr>
        <w:t>2</w:t>
      </w:r>
      <w:r>
        <w:rPr/>
        <w:t>）设定受益计划 本公司根据预期累计福利单位法确定的公式将设定受益计划产生的福利义务归属于职工提供服务的期间，并计入当期损益 或相关资产成本。 设定受益计划义务现值减去设定受益计划资产公允价值所形成的赤字或盈余确认为一项设定受益计划净负债或净资产。设 定受益计划存在盈余的，本公司以设定受益计划的盈余和资产上限两项的孰低者计量设定受益计划净资产。 所有设定受益计划义务，包括预期在职工提供服务的年度报告期间结束后的十二个月内支付的义务，根据资产负债表日与 设定受益计划义务期限和币种相匹配的国债或活跃市场上的高质量公司债券的市场收益率予以折现。 设定受益计划产生的服务成本和设定受益计划净负债或净资产的利息净额计入当期损益或相关资产成本；重新计量设定受 益计划净负债或净资产所产生的变动计入其他综合收益，并且在后续会计期间不转回至损益，在原设定受益计划终止时在 权益范围内将原计入其他综合收益的部分全部结转至未分配利润。 在设定受益计划结算时，按在结算日确定的设定受益计划义务现值和结算价格两者的差额，确认结算利得或损失。</w:t>
      </w:r>
    </w:p>
    <w:p>
      <w:pPr>
        <w:spacing w:line="240" w:lineRule="auto" w:before="7"/>
        <w:rPr>
          <w:rFonts w:ascii="宋体" w:hAnsi="宋体" w:cs="宋体" w:eastAsia="宋体" w:hint="default"/>
          <w:sz w:val="22"/>
          <w:szCs w:val="22"/>
        </w:rPr>
      </w:pPr>
    </w:p>
    <w:p>
      <w:pPr>
        <w:pStyle w:val="Heading3"/>
        <w:spacing w:line="240" w:lineRule="auto"/>
        <w:ind w:left="153" w:right="0"/>
        <w:jc w:val="left"/>
        <w:rPr>
          <w:b w:val="0"/>
          <w:bCs w:val="0"/>
        </w:rPr>
      </w:pPr>
      <w:bookmarkStart w:name="（3）辞退福利的会计处理方法" w:id="194"/>
      <w:bookmarkEnd w:id="194"/>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13" w:right="0"/>
        <w:jc w:val="left"/>
      </w:pPr>
      <w:r>
        <w:rPr/>
        <w:t>本公司在不能单方面撤回因解除劳动关系计划或裁减建议所提供的辞退福利时，或确认与涉及支付辞退福利的重组相关的</w:t>
      </w:r>
    </w:p>
    <w:p>
      <w:pPr>
        <w:spacing w:after="0" w:line="240" w:lineRule="auto"/>
        <w:jc w:val="left"/>
        <w:sectPr>
          <w:pgSz w:w="11910" w:h="16840"/>
          <w:pgMar w:header="87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213" w:right="0"/>
        <w:jc w:val="left"/>
      </w:pPr>
      <w:r>
        <w:rPr/>
        <w:t>成本或费用时（两者孰早），确认辞退福利产生的职工薪酬负债，并计入当期损益。</w:t>
      </w:r>
    </w:p>
    <w:p>
      <w:pPr>
        <w:spacing w:line="240" w:lineRule="auto" w:before="12"/>
        <w:rPr>
          <w:rFonts w:ascii="宋体" w:hAnsi="宋体" w:cs="宋体" w:eastAsia="宋体" w:hint="default"/>
          <w:sz w:val="26"/>
          <w:szCs w:val="26"/>
        </w:rPr>
      </w:pPr>
    </w:p>
    <w:p>
      <w:pPr>
        <w:pStyle w:val="Heading3"/>
        <w:spacing w:line="240" w:lineRule="auto"/>
        <w:ind w:left="153" w:right="0"/>
        <w:jc w:val="left"/>
        <w:rPr>
          <w:b w:val="0"/>
          <w:bCs w:val="0"/>
        </w:rPr>
      </w:pPr>
      <w:bookmarkStart w:name="22、预计负债" w:id="195"/>
      <w:bookmarkEnd w:id="195"/>
      <w:r>
        <w:rPr>
          <w:b w:val="0"/>
          <w:bCs w:val="0"/>
        </w:rPr>
      </w:r>
      <w:r>
        <w:rPr>
          <w:rFonts w:ascii="Times New Roman" w:hAnsi="Times New Roman" w:cs="Times New Roman" w:eastAsia="Times New Roman" w:hint="default"/>
        </w:rPr>
        <w:t>22</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0"/>
        <w:jc w:val="left"/>
      </w:pPr>
      <w:r>
        <w:rPr>
          <w:spacing w:val="-2"/>
        </w:rPr>
        <w:t>本公司涉及诉讼、债务担保、亏损合同、重组事项时，如该等事项很可能需要未来以交付资产或提供劳务、其金额能够可靠</w:t>
      </w:r>
      <w:r>
        <w:rPr>
          <w:spacing w:val="-66"/>
        </w:rPr>
        <w:t> </w:t>
      </w:r>
      <w:r>
        <w:rPr>
          <w:spacing w:val="-66"/>
        </w:rPr>
      </w:r>
      <w:r>
        <w:rPr/>
        <w:t>计量的，确认为预计负债。</w:t>
      </w:r>
    </w:p>
    <w:p>
      <w:pPr>
        <w:pStyle w:val="Heading3"/>
        <w:spacing w:line="284" w:lineRule="exact"/>
        <w:ind w:left="210" w:right="0"/>
        <w:jc w:val="left"/>
        <w:rPr>
          <w:b w:val="0"/>
          <w:bCs w:val="0"/>
        </w:rPr>
      </w:pPr>
      <w:r>
        <w:rPr>
          <w:rFonts w:ascii="Times New Roman" w:hAnsi="Times New Roman" w:cs="Times New Roman" w:eastAsia="Times New Roman" w:hint="default"/>
        </w:rPr>
        <w:t>1</w:t>
      </w:r>
      <w:r>
        <w:rPr/>
        <w:t>、预计负债的确认标准</w:t>
      </w:r>
      <w:r>
        <w:rPr>
          <w:b w:val="0"/>
          <w:bCs w:val="0"/>
        </w:rPr>
      </w:r>
    </w:p>
    <w:p>
      <w:pPr>
        <w:pStyle w:val="BodyText"/>
        <w:spacing w:line="240" w:lineRule="auto" w:before="46"/>
        <w:ind w:left="214" w:right="0"/>
        <w:jc w:val="left"/>
      </w:pPr>
      <w:r>
        <w:rPr/>
        <w:t>与诉讼、债务担保、亏损合同、重组事项等或有事项相关的义务同时满足下列条件时，本公司确认为预计负债：</w:t>
      </w:r>
    </w:p>
    <w:p>
      <w:pPr>
        <w:pStyle w:val="BodyText"/>
        <w:spacing w:line="240" w:lineRule="auto" w:before="76"/>
        <w:ind w:right="0"/>
        <w:jc w:val="left"/>
      </w:pPr>
      <w:r>
        <w:rPr/>
        <w:t>（</w:t>
      </w:r>
      <w:r>
        <w:rPr>
          <w:rFonts w:ascii="Times New Roman" w:hAnsi="Times New Roman" w:cs="Times New Roman" w:eastAsia="Times New Roman" w:hint="default"/>
        </w:rPr>
        <w:t>1</w:t>
      </w:r>
      <w:r>
        <w:rPr/>
        <w:t>）该义务是本公司承担的现时义务；</w:t>
      </w:r>
    </w:p>
    <w:p>
      <w:pPr>
        <w:pStyle w:val="BodyText"/>
        <w:spacing w:line="240" w:lineRule="auto" w:before="63"/>
        <w:ind w:left="154" w:right="0"/>
        <w:jc w:val="left"/>
      </w:pPr>
      <w:r>
        <w:rPr/>
        <w:t>（</w:t>
      </w:r>
      <w:r>
        <w:rPr>
          <w:rFonts w:ascii="Times New Roman" w:hAnsi="Times New Roman" w:cs="Times New Roman" w:eastAsia="Times New Roman" w:hint="default"/>
        </w:rPr>
        <w:t>2</w:t>
      </w:r>
      <w:r>
        <w:rPr/>
        <w:t>）履行该义务很可能导致经济利益流出本公司；</w:t>
      </w:r>
    </w:p>
    <w:p>
      <w:pPr>
        <w:pStyle w:val="BodyText"/>
        <w:spacing w:line="240" w:lineRule="auto" w:before="63"/>
        <w:ind w:left="154" w:right="0"/>
        <w:jc w:val="left"/>
      </w:pPr>
      <w:r>
        <w:rPr/>
        <w:t>（</w:t>
      </w:r>
      <w:r>
        <w:rPr>
          <w:rFonts w:ascii="Times New Roman" w:hAnsi="Times New Roman" w:cs="Times New Roman" w:eastAsia="Times New Roman" w:hint="default"/>
        </w:rPr>
        <w:t>3</w:t>
      </w:r>
      <w:r>
        <w:rPr/>
        <w:t>）该义务的金额能够可靠地计量。</w:t>
      </w:r>
    </w:p>
    <w:p>
      <w:pPr>
        <w:pStyle w:val="Heading3"/>
        <w:spacing w:line="240" w:lineRule="auto" w:before="37"/>
        <w:ind w:left="210" w:right="0"/>
        <w:jc w:val="left"/>
        <w:rPr>
          <w:b w:val="0"/>
          <w:bCs w:val="0"/>
        </w:rPr>
      </w:pPr>
      <w:r>
        <w:rPr>
          <w:rFonts w:ascii="Times New Roman" w:hAnsi="Times New Roman" w:cs="Times New Roman" w:eastAsia="Times New Roman" w:hint="default"/>
        </w:rPr>
        <w:t>2</w:t>
      </w:r>
      <w:r>
        <w:rPr/>
        <w:t>、各类预计负债的计量方法</w:t>
      </w:r>
      <w:r>
        <w:rPr>
          <w:b w:val="0"/>
          <w:bCs w:val="0"/>
        </w:rPr>
      </w:r>
    </w:p>
    <w:p>
      <w:pPr>
        <w:pStyle w:val="BodyText"/>
        <w:spacing w:line="316" w:lineRule="auto" w:before="46"/>
        <w:ind w:left="214" w:right="0"/>
        <w:jc w:val="left"/>
      </w:pPr>
      <w:r>
        <w:rPr/>
        <w:t>本公司预计负债按履行相关现时义务所需的支出的最佳估计数进行初始计量。 本公司在确定最佳估计数时，综合考虑与或有事项有关的风险、不确定性和货币时间价值等因素。对于货币时间价值影响</w:t>
      </w:r>
      <w:r>
        <w:rPr>
          <w:spacing w:val="-57"/>
        </w:rPr>
        <w:t> </w:t>
      </w:r>
      <w:r>
        <w:rPr>
          <w:spacing w:val="-57"/>
        </w:rPr>
      </w:r>
      <w:r>
        <w:rPr/>
        <w:t>重大的，通过对相关未来现金流出进行折现后确定最佳估计数。</w:t>
      </w:r>
    </w:p>
    <w:p>
      <w:pPr>
        <w:pStyle w:val="BodyText"/>
        <w:spacing w:line="316" w:lineRule="auto" w:before="19"/>
        <w:ind w:left="214" w:right="0"/>
        <w:jc w:val="left"/>
      </w:pPr>
      <w:r>
        <w:rPr/>
        <w:t>最佳估计数分别以下情况处理： 所需支出存在一个连续范围（或区间），且该范围内各种结果发生的可能性相同的，则最佳估计数按照该范围的中间值即</w:t>
      </w:r>
      <w:r>
        <w:rPr>
          <w:spacing w:val="-57"/>
        </w:rPr>
        <w:t> </w:t>
      </w:r>
      <w:r>
        <w:rPr>
          <w:spacing w:val="-57"/>
        </w:rPr>
      </w:r>
      <w:r>
        <w:rPr/>
        <w:t>上下限金额的平均数确定。 所需支出不存在一个连续范围（或区间），或虽然存在一个连续范围但该范围内各种结果发生的可能性不相同的，如或有</w:t>
      </w:r>
      <w:r>
        <w:rPr>
          <w:spacing w:val="-57"/>
        </w:rPr>
        <w:t> </w:t>
      </w:r>
      <w:r>
        <w:rPr>
          <w:spacing w:val="-57"/>
        </w:rPr>
      </w:r>
      <w:r>
        <w:rPr/>
        <w:t>事项涉及单个项目的，则最佳估计数按照最可能发生金额确定；如或有事项涉及多个项目的，则最佳估计数按各种可能结</w:t>
      </w:r>
      <w:r>
        <w:rPr>
          <w:spacing w:val="-57"/>
        </w:rPr>
        <w:t> </w:t>
      </w:r>
      <w:r>
        <w:rPr>
          <w:spacing w:val="-57"/>
        </w:rPr>
      </w:r>
      <w:r>
        <w:rPr/>
        <w:t>果及相关概率计算确定。 本公司清偿预计负债所需支出全部或部分预期由第三方补偿的，补偿金额在基本确定能够收到时，作为资产单独确认，确</w:t>
      </w:r>
      <w:r>
        <w:rPr>
          <w:spacing w:val="-57"/>
        </w:rPr>
        <w:t> </w:t>
      </w:r>
      <w:r>
        <w:rPr>
          <w:spacing w:val="-57"/>
        </w:rPr>
      </w:r>
      <w:r>
        <w:rPr/>
        <w:t>认的补偿金额不超过预计负债的账面价值。</w:t>
      </w:r>
    </w:p>
    <w:p>
      <w:pPr>
        <w:spacing w:line="240" w:lineRule="auto" w:before="7"/>
        <w:rPr>
          <w:rFonts w:ascii="宋体" w:hAnsi="宋体" w:cs="宋体" w:eastAsia="宋体" w:hint="default"/>
          <w:sz w:val="22"/>
          <w:szCs w:val="22"/>
        </w:rPr>
      </w:pPr>
    </w:p>
    <w:p>
      <w:pPr>
        <w:pStyle w:val="Heading3"/>
        <w:spacing w:line="240" w:lineRule="auto"/>
        <w:ind w:left="153" w:right="0"/>
        <w:jc w:val="left"/>
        <w:rPr>
          <w:b w:val="0"/>
          <w:bCs w:val="0"/>
        </w:rPr>
      </w:pPr>
      <w:bookmarkStart w:name="23、收入" w:id="196"/>
      <w:bookmarkEnd w:id="196"/>
      <w:r>
        <w:rPr>
          <w:b w:val="0"/>
          <w:bCs w:val="0"/>
        </w:rPr>
      </w:r>
      <w:r>
        <w:rPr>
          <w:rFonts w:ascii="Times New Roman" w:hAnsi="Times New Roman" w:cs="Times New Roman" w:eastAsia="Times New Roman" w:hint="default"/>
        </w:rPr>
        <w:t>23</w:t>
      </w:r>
      <w:r>
        <w:rPr/>
        <w:t>、收入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1</w:t>
      </w:r>
      <w:r>
        <w:rPr/>
        <w:t>、销售商品收入的确认一般原则：</w:t>
      </w:r>
    </w:p>
    <w:p>
      <w:pPr>
        <w:pStyle w:val="BodyText"/>
        <w:spacing w:line="240" w:lineRule="auto" w:before="63"/>
        <w:ind w:left="154" w:right="0"/>
        <w:jc w:val="left"/>
      </w:pPr>
      <w:r>
        <w:rPr/>
        <w:t>①已将商品所有权上的主要风险和报酬转移给购货方；</w:t>
      </w:r>
    </w:p>
    <w:p>
      <w:pPr>
        <w:pStyle w:val="BodyText"/>
        <w:spacing w:line="240" w:lineRule="auto" w:before="76"/>
        <w:ind w:left="154" w:right="0"/>
        <w:jc w:val="left"/>
      </w:pPr>
      <w:r>
        <w:rPr/>
        <w:t>②企业既没有保留通常与所有权相联系的继续管理权，也没有对已出售的商品实施有效控制；</w:t>
      </w:r>
    </w:p>
    <w:p>
      <w:pPr>
        <w:pStyle w:val="BodyText"/>
        <w:spacing w:line="240" w:lineRule="auto" w:before="76"/>
        <w:ind w:right="0"/>
        <w:jc w:val="left"/>
      </w:pPr>
      <w:r>
        <w:rPr/>
        <w:t>③收入的金额能够可靠地计量；</w:t>
      </w:r>
    </w:p>
    <w:p>
      <w:pPr>
        <w:pStyle w:val="BodyText"/>
        <w:spacing w:line="240" w:lineRule="auto" w:before="76"/>
        <w:ind w:left="154" w:right="0"/>
        <w:jc w:val="left"/>
      </w:pPr>
      <w:r>
        <w:rPr/>
        <w:t>④与交易相关的经济利益很可能流入企业；</w:t>
      </w:r>
    </w:p>
    <w:p>
      <w:pPr>
        <w:pStyle w:val="BodyText"/>
        <w:spacing w:line="316" w:lineRule="auto" w:before="76"/>
        <w:ind w:left="154" w:right="0"/>
        <w:jc w:val="left"/>
      </w:pPr>
      <w:r>
        <w:rPr/>
        <w:t>⑤相关的已发生或将发生的成本能够可靠地计量。 </w:t>
      </w:r>
      <w:r>
        <w:rPr>
          <w:spacing w:val="-2"/>
        </w:rPr>
        <w:t>提供劳务收入的确认和计量方法：在资产负债表日提供劳务交易的结果能够可靠估计的，应当采用完工百分比法确认提供劳</w:t>
      </w:r>
      <w:r>
        <w:rPr>
          <w:spacing w:val="-64"/>
        </w:rPr>
        <w:t> </w:t>
      </w:r>
      <w:r>
        <w:rPr>
          <w:spacing w:val="-64"/>
        </w:rPr>
      </w:r>
      <w:r>
        <w:rPr/>
        <w:t>务收入；在资产负债表日提供劳务交易结果不能够可靠估计的，应当分别下列情况处理：</w:t>
      </w:r>
    </w:p>
    <w:p>
      <w:pPr>
        <w:pStyle w:val="BodyText"/>
        <w:spacing w:line="240" w:lineRule="auto" w:before="19"/>
        <w:ind w:right="0"/>
        <w:jc w:val="left"/>
      </w:pPr>
      <w:r>
        <w:rPr/>
        <w:t>①己发生的劳务成本预计能够得到补偿，应按己经发生的劳务成本金额确认收入，并按相同金额结转成本；</w:t>
      </w:r>
    </w:p>
    <w:p>
      <w:pPr>
        <w:pStyle w:val="BodyText"/>
        <w:spacing w:line="316" w:lineRule="auto" w:before="76"/>
        <w:ind w:right="0"/>
        <w:jc w:val="left"/>
      </w:pPr>
      <w:r>
        <w:rPr/>
        <w:t>②己发生的劳务成本预计不能够得到补偿的，应当将己经发生的劳务成本计入当期损益，不确认提供劳务收入。 </w:t>
      </w:r>
      <w:r>
        <w:rPr>
          <w:spacing w:val="-2"/>
        </w:rPr>
        <w:t>让渡资产使用权收入的确认和计量方法：以相关的经济利益很可能流入公司，收入的金额能够可靠地计量时，按有关合同或</w:t>
      </w:r>
      <w:r>
        <w:rPr>
          <w:spacing w:val="-66"/>
        </w:rPr>
        <w:t> </w:t>
      </w:r>
      <w:r>
        <w:rPr>
          <w:spacing w:val="-66"/>
        </w:rPr>
      </w:r>
      <w:r>
        <w:rPr/>
        <w:t>协议规定的收费时间和方法计算确定。</w:t>
      </w:r>
    </w:p>
    <w:p>
      <w:pPr>
        <w:pStyle w:val="BodyText"/>
        <w:spacing w:line="240" w:lineRule="auto" w:before="19"/>
        <w:ind w:right="0"/>
        <w:jc w:val="left"/>
      </w:pPr>
      <w:r>
        <w:rPr>
          <w:rFonts w:ascii="Times New Roman" w:hAnsi="Times New Roman" w:cs="Times New Roman" w:eastAsia="Times New Roman" w:hint="default"/>
        </w:rPr>
        <w:t>2</w:t>
      </w:r>
      <w:r>
        <w:rPr/>
        <w:t>、具体原则</w:t>
      </w:r>
    </w:p>
    <w:p>
      <w:pPr>
        <w:pStyle w:val="BodyText"/>
        <w:spacing w:line="319" w:lineRule="auto" w:before="63"/>
        <w:ind w:left="154" w:right="0"/>
        <w:jc w:val="left"/>
      </w:pPr>
      <w:r>
        <w:rPr/>
        <w:t>①自行开发研制的软件产品销售收入确认和计量方法 </w:t>
      </w:r>
      <w:r>
        <w:rPr>
          <w:spacing w:val="-2"/>
        </w:rPr>
        <w:t>自行开发研制的软件产品是指经过信息产业部认证并获得著作权，销售时不转让所有权的软件产品，由此开发出来的软件具</w:t>
      </w:r>
      <w:r>
        <w:rPr>
          <w:spacing w:val="-64"/>
        </w:rPr>
        <w:t> </w:t>
      </w:r>
      <w:r>
        <w:rPr>
          <w:spacing w:val="-64"/>
        </w:rPr>
      </w:r>
      <w:r>
        <w:rPr/>
        <w:t>有自主知识产权、无差异化、可批量复制的特性。 </w:t>
      </w:r>
      <w:r>
        <w:rPr>
          <w:spacing w:val="-2"/>
        </w:rPr>
        <w:t>不需要安装的以产品交付并经购货方验收后确认收入；需安装调试的按合同约定在项目实施完成并经对方验收合格后确认收</w:t>
      </w:r>
      <w:r>
        <w:rPr>
          <w:spacing w:val="-64"/>
        </w:rPr>
        <w:t> </w:t>
      </w:r>
      <w:r>
        <w:rPr>
          <w:spacing w:val="-64"/>
        </w:rPr>
      </w:r>
      <w:r>
        <w:rPr/>
        <w:t>入，对合同约定完工比例的，按合同约定的完工确认条件确认收入。</w:t>
      </w:r>
    </w:p>
    <w:p>
      <w:pPr>
        <w:pStyle w:val="BodyText"/>
        <w:spacing w:line="240" w:lineRule="auto" w:before="17"/>
        <w:ind w:right="0"/>
        <w:jc w:val="left"/>
      </w:pPr>
      <w:r>
        <w:rPr/>
        <w:t>②定制软件产品销售收入确认和计量方法</w:t>
      </w:r>
    </w:p>
    <w:p>
      <w:pPr>
        <w:spacing w:after="0" w:line="240" w:lineRule="auto"/>
        <w:jc w:val="left"/>
        <w:sectPr>
          <w:pgSz w:w="11910" w:h="16840"/>
          <w:pgMar w:header="87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18"/>
        <w:jc w:val="left"/>
      </w:pPr>
      <w:r>
        <w:rPr>
          <w:spacing w:val="-2"/>
        </w:rPr>
        <w:t>定制软件是指根据与客户签订的技术开发、技术转让合同，对用户的业务进行充分实地调查，并根据用户的实际需求进行专</w:t>
      </w:r>
      <w:r>
        <w:rPr>
          <w:spacing w:val="-66"/>
        </w:rPr>
        <w:t> </w:t>
      </w:r>
      <w:r>
        <w:rPr>
          <w:spacing w:val="-66"/>
        </w:rPr>
      </w:r>
      <w:r>
        <w:rPr/>
        <w:t>门的软件设计与开发，由此开发出来的软件不具有通用性。 </w:t>
      </w:r>
      <w:r>
        <w:rPr>
          <w:spacing w:val="-2"/>
        </w:rPr>
        <w:t>定制软件项目按合同约定在项目实施完成并经对方验收合格后确认收入，对合同约定完工比例的，按合同约定的完工确认条</w:t>
      </w:r>
      <w:r>
        <w:rPr>
          <w:spacing w:val="-64"/>
        </w:rPr>
        <w:t> </w:t>
      </w:r>
      <w:r>
        <w:rPr>
          <w:spacing w:val="-64"/>
        </w:rPr>
      </w:r>
      <w:r>
        <w:rPr/>
        <w:t>件确认收入。</w:t>
      </w:r>
    </w:p>
    <w:p>
      <w:pPr>
        <w:pStyle w:val="BodyText"/>
        <w:spacing w:line="316" w:lineRule="auto" w:before="19"/>
        <w:ind w:right="1118"/>
        <w:jc w:val="left"/>
      </w:pPr>
      <w:r>
        <w:rPr/>
        <w:t>③系统集成收入确认和计量方法 系统集成收入是指与客户订立软件产品销售的同时，为其提供软件嵌入所需的设备配件和安装服务。 </w:t>
      </w:r>
      <w:r>
        <w:rPr>
          <w:spacing w:val="-2"/>
        </w:rPr>
        <w:t>对于系统集成业务，如果软件收入与设备配件及安装服务收入能分开核算，则硬件收入按上述商品销售的原则进行确认，软</w:t>
      </w:r>
      <w:r>
        <w:rPr>
          <w:spacing w:val="-66"/>
        </w:rPr>
        <w:t> </w:t>
      </w:r>
      <w:r>
        <w:rPr>
          <w:spacing w:val="-66"/>
        </w:rPr>
      </w:r>
      <w:r>
        <w:rPr>
          <w:spacing w:val="-2"/>
        </w:rPr>
        <w:t>件收入按上述软件产品销售的原则进行确认。如果软件收入与设备配件及安装服务收入不能分开核算，则将其一并核算，待</w:t>
      </w:r>
      <w:r>
        <w:rPr>
          <w:spacing w:val="-66"/>
        </w:rPr>
        <w:t> </w:t>
      </w:r>
      <w:r>
        <w:rPr>
          <w:spacing w:val="-66"/>
        </w:rPr>
      </w:r>
      <w:r>
        <w:rPr/>
        <w:t>系统集成于安装完成后确认收入，或根据合同约定的完工确认条件确认收入。</w:t>
      </w:r>
    </w:p>
    <w:p>
      <w:pPr>
        <w:pStyle w:val="BodyText"/>
        <w:spacing w:line="316" w:lineRule="auto" w:before="19"/>
        <w:ind w:right="3733"/>
        <w:jc w:val="left"/>
      </w:pPr>
      <w:r>
        <w:rPr/>
        <w:t>④技术服务收入确认和计量方法 技术服务收入，主要是指按合同要求向客户提供技术咨询、实施和产品售后服务等业务。 技术服务收入在劳务已经提供，收到价款或取得收取款项的证据时，确认劳务收入。</w:t>
      </w:r>
    </w:p>
    <w:p>
      <w:pPr>
        <w:spacing w:line="240" w:lineRule="auto" w:before="7"/>
        <w:rPr>
          <w:rFonts w:ascii="宋体" w:hAnsi="宋体" w:cs="宋体" w:eastAsia="宋体" w:hint="default"/>
          <w:sz w:val="22"/>
          <w:szCs w:val="22"/>
        </w:rPr>
      </w:pPr>
    </w:p>
    <w:p>
      <w:pPr>
        <w:pStyle w:val="Heading3"/>
        <w:spacing w:line="240" w:lineRule="auto"/>
        <w:ind w:left="153" w:right="0"/>
        <w:jc w:val="left"/>
        <w:rPr>
          <w:b w:val="0"/>
          <w:bCs w:val="0"/>
        </w:rPr>
      </w:pPr>
      <w:bookmarkStart w:name="24、政府补助" w:id="197"/>
      <w:bookmarkEnd w:id="197"/>
      <w:r>
        <w:rPr>
          <w:b w:val="0"/>
          <w:bCs w:val="0"/>
        </w:rPr>
      </w:r>
      <w:r>
        <w:rPr>
          <w:rFonts w:ascii="Times New Roman" w:hAnsi="Times New Roman" w:cs="Times New Roman" w:eastAsia="Times New Roman" w:hint="default"/>
        </w:rPr>
        <w:t>24</w:t>
      </w:r>
      <w:r>
        <w:rPr/>
        <w:t>、政府补助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与资产相关的政府补助判断依据及会计处理方法" w:id="198"/>
      <w:bookmarkEnd w:id="198"/>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214" w:right="1118"/>
        <w:jc w:val="left"/>
      </w:pPr>
      <w:r>
        <w:rPr/>
        <w:t>与构建固定资产、无形资产等长期资产相关的政府补助，确认为递延收益，按照所建造或购买的资产使用年限分期计入营</w:t>
      </w:r>
      <w:r>
        <w:rPr>
          <w:spacing w:val="-55"/>
        </w:rPr>
        <w:t> </w:t>
      </w:r>
      <w:r>
        <w:rPr>
          <w:spacing w:val="-55"/>
        </w:rPr>
      </w:r>
      <w:r>
        <w:rPr/>
        <w:t>业外收入。</w:t>
      </w:r>
    </w:p>
    <w:p>
      <w:pPr>
        <w:spacing w:line="240" w:lineRule="auto" w:before="7"/>
        <w:rPr>
          <w:rFonts w:ascii="宋体" w:hAnsi="宋体" w:cs="宋体" w:eastAsia="宋体" w:hint="default"/>
          <w:sz w:val="22"/>
          <w:szCs w:val="22"/>
        </w:rPr>
      </w:pPr>
    </w:p>
    <w:p>
      <w:pPr>
        <w:pStyle w:val="Heading3"/>
        <w:spacing w:line="240" w:lineRule="auto"/>
        <w:ind w:left="153" w:right="0"/>
        <w:jc w:val="left"/>
        <w:rPr>
          <w:b w:val="0"/>
          <w:bCs w:val="0"/>
        </w:rPr>
      </w:pPr>
      <w:bookmarkStart w:name="（2）与收益相关的政府补助判断依据及会计处理方法" w:id="199"/>
      <w:bookmarkEnd w:id="199"/>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60"/>
        <w:jc w:val="left"/>
      </w:pPr>
      <w:r>
        <w:rPr/>
        <w:t>与收益相关的政府补助，用于补偿本公司以后期间的相关费用或损失的，取得时确认为递延收益，在确认相关费用的期间 计入当期营业外收入；用于补偿本公司已发生的相关费用或损失的，取得时直接计入当期营业外收入。</w:t>
      </w:r>
    </w:p>
    <w:p>
      <w:pPr>
        <w:spacing w:line="240" w:lineRule="auto" w:before="7"/>
        <w:rPr>
          <w:rFonts w:ascii="宋体" w:hAnsi="宋体" w:cs="宋体" w:eastAsia="宋体" w:hint="default"/>
          <w:sz w:val="22"/>
          <w:szCs w:val="22"/>
        </w:rPr>
      </w:pPr>
    </w:p>
    <w:p>
      <w:pPr>
        <w:pStyle w:val="Heading3"/>
        <w:spacing w:line="240" w:lineRule="auto"/>
        <w:ind w:left="153" w:right="0"/>
        <w:jc w:val="left"/>
        <w:rPr>
          <w:b w:val="0"/>
          <w:bCs w:val="0"/>
        </w:rPr>
      </w:pPr>
      <w:bookmarkStart w:name="25、递延所得税资产/递延所得税负债" w:id="200"/>
      <w:bookmarkEnd w:id="200"/>
      <w:r>
        <w:rPr>
          <w:b w:val="0"/>
          <w:bCs w:val="0"/>
        </w:rPr>
      </w:r>
      <w:r>
        <w:rPr>
          <w:rFonts w:ascii="Times New Roman" w:hAnsi="Times New Roman" w:cs="Times New Roman" w:eastAsia="Times New Roman" w:hint="default"/>
        </w:rPr>
        <w:t>25</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2"/>
        <w:jc w:val="both"/>
      </w:pPr>
      <w:r>
        <w:rPr>
          <w:spacing w:val="-2"/>
        </w:rPr>
        <w:t>对于可抵扣暂时性差异确认递延所得税资产，以未来期间很可能取得的用来抵扣可抵扣暂时性差异的应纳税所得额为限。对</w:t>
      </w:r>
      <w:r>
        <w:rPr>
          <w:spacing w:val="-64"/>
        </w:rPr>
        <w:t> </w:t>
      </w:r>
      <w:r>
        <w:rPr>
          <w:spacing w:val="-64"/>
        </w:rPr>
      </w:r>
      <w:r>
        <w:rPr>
          <w:spacing w:val="-2"/>
        </w:rPr>
        <w:t>于能够结转以后年度的可抵扣亏损和税款抵减，以很可能获得用来抵扣可抵扣亏损和税款抵减的未来应纳税所得额为限，确</w:t>
      </w:r>
      <w:r>
        <w:rPr>
          <w:spacing w:val="-64"/>
        </w:rPr>
        <w:t> </w:t>
      </w:r>
      <w:r>
        <w:rPr>
          <w:spacing w:val="-64"/>
        </w:rPr>
      </w:r>
      <w:r>
        <w:rPr/>
        <w:t>认相应的递延所得税资产。</w:t>
      </w:r>
    </w:p>
    <w:p>
      <w:pPr>
        <w:pStyle w:val="BodyText"/>
        <w:spacing w:line="316" w:lineRule="auto" w:before="19"/>
        <w:ind w:right="0"/>
        <w:jc w:val="left"/>
      </w:pPr>
      <w:r>
        <w:rPr/>
        <w:t>对于应纳税暂时性差异，除特殊情况外，确认递延所得税负债。 </w:t>
      </w:r>
      <w:r>
        <w:rPr>
          <w:spacing w:val="-2"/>
        </w:rPr>
        <w:t>不确认递延所得税资产或递延所得税负债的特殊情况包括：商誉的初始确认；除企业合并以外的发生时既不影响会计利润也</w:t>
      </w:r>
      <w:r>
        <w:rPr>
          <w:spacing w:val="-64"/>
        </w:rPr>
        <w:t> </w:t>
      </w:r>
      <w:r>
        <w:rPr>
          <w:spacing w:val="-64"/>
        </w:rPr>
      </w:r>
      <w:r>
        <w:rPr/>
        <w:t>不影响应纳税所得额（或可抵扣亏损）的其他交易或事项。 </w:t>
      </w:r>
      <w:r>
        <w:rPr>
          <w:spacing w:val="-2"/>
        </w:rPr>
        <w:t>当拥有以净额结算的法定权利，且意图以净额结算或取得资产、清偿负债同时进行时，当期所得税资产及当期所得税负债以</w:t>
      </w:r>
      <w:r>
        <w:rPr>
          <w:spacing w:val="-66"/>
        </w:rPr>
        <w:t> </w:t>
      </w:r>
      <w:r>
        <w:rPr>
          <w:spacing w:val="-66"/>
        </w:rPr>
      </w:r>
      <w:r>
        <w:rPr/>
        <w:t>抵销后的净额列报。 </w:t>
      </w:r>
      <w:r>
        <w:rPr>
          <w:spacing w:val="-2"/>
        </w:rPr>
        <w:t>当拥有以净额结算当期所得税资产及当期所得税负债的法定权利，且递延所得税资产及递延所得税负债是与同一税收征管部</w:t>
      </w:r>
      <w:r>
        <w:rPr>
          <w:spacing w:val="-64"/>
        </w:rPr>
        <w:t> </w:t>
      </w:r>
      <w:r>
        <w:rPr>
          <w:spacing w:val="-64"/>
        </w:rPr>
      </w:r>
      <w:r>
        <w:rPr>
          <w:spacing w:val="-2"/>
        </w:rPr>
        <w:t>门对同一纳税主体征收的所得税相关或者是对不同的纳税主体相关，但在未来每一具有重要性的递延所得税资产及负债转回</w:t>
      </w:r>
      <w:r>
        <w:rPr>
          <w:spacing w:val="-64"/>
        </w:rPr>
        <w:t> </w:t>
      </w:r>
      <w:r>
        <w:rPr>
          <w:spacing w:val="-64"/>
        </w:rPr>
      </w:r>
      <w:r>
        <w:rPr>
          <w:spacing w:val="-2"/>
        </w:rPr>
        <w:t>的期间内，涉及的纳税主体意图以净额结算当期所得税资产和负债或是同时取得资产、清偿负债时，递延所得税资产及递延</w:t>
      </w:r>
      <w:r>
        <w:rPr>
          <w:spacing w:val="-66"/>
        </w:rPr>
        <w:t> </w:t>
      </w:r>
      <w:r>
        <w:rPr>
          <w:spacing w:val="-66"/>
        </w:rPr>
      </w:r>
      <w:r>
        <w:rPr/>
        <w:t>所得税负债以抵销后的净额列报。</w:t>
      </w:r>
    </w:p>
    <w:p>
      <w:pPr>
        <w:spacing w:line="240" w:lineRule="auto" w:before="7"/>
        <w:rPr>
          <w:rFonts w:ascii="宋体" w:hAnsi="宋体" w:cs="宋体" w:eastAsia="宋体" w:hint="default"/>
          <w:sz w:val="22"/>
          <w:szCs w:val="22"/>
        </w:rPr>
      </w:pPr>
    </w:p>
    <w:p>
      <w:pPr>
        <w:pStyle w:val="Heading3"/>
        <w:spacing w:line="240" w:lineRule="auto"/>
        <w:ind w:left="153" w:right="0"/>
        <w:jc w:val="left"/>
        <w:rPr>
          <w:b w:val="0"/>
          <w:bCs w:val="0"/>
        </w:rPr>
      </w:pPr>
      <w:bookmarkStart w:name="26、租赁" w:id="201"/>
      <w:bookmarkEnd w:id="201"/>
      <w:r>
        <w:rPr>
          <w:b w:val="0"/>
          <w:bCs w:val="0"/>
        </w:rPr>
      </w:r>
      <w:r>
        <w:rPr>
          <w:rFonts w:ascii="Times New Roman" w:hAnsi="Times New Roman" w:cs="Times New Roman" w:eastAsia="Times New Roman" w:hint="default"/>
        </w:rPr>
        <w:t>26</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经营租赁的会计处理方法" w:id="202"/>
      <w:bookmarkEnd w:id="202"/>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w:t>
      </w:r>
      <w:r>
        <w:rPr>
          <w:rFonts w:ascii="Times New Roman" w:hAnsi="Times New Roman" w:cs="Times New Roman" w:eastAsia="Times New Roman" w:hint="default"/>
        </w:rPr>
        <w:t>1</w:t>
      </w:r>
      <w:r>
        <w:rPr/>
        <w:t>）公司租入资产所支付的租赁费，在不扣除免租期的整个租赁期内，按直线法进行分摊，计入当期费用。公司支付的与</w:t>
      </w:r>
    </w:p>
    <w:p>
      <w:pPr>
        <w:spacing w:after="0" w:line="240" w:lineRule="auto"/>
        <w:jc w:val="left"/>
        <w:sectPr>
          <w:pgSz w:w="11910" w:h="16840"/>
          <w:pgMar w:header="87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213" w:right="0" w:hanging="60"/>
        <w:jc w:val="left"/>
      </w:pPr>
      <w:r>
        <w:rPr/>
        <w:t>租赁交易相关的初始直接费用，计入当期费用。 资产出租方承担了应由公司承担的与租赁相关的费用时，公司将该部分费用从租金总额中扣除，按扣除后的租金费用在租 赁期内分摊，计入当期费用。</w:t>
      </w:r>
    </w:p>
    <w:p>
      <w:pPr>
        <w:pStyle w:val="BodyText"/>
        <w:spacing w:line="314" w:lineRule="auto" w:before="19"/>
        <w:ind w:left="154" w:right="1122"/>
        <w:jc w:val="left"/>
      </w:pPr>
      <w:r>
        <w:rPr/>
        <w:t>（</w:t>
      </w:r>
      <w:r>
        <w:rPr>
          <w:rFonts w:ascii="Times New Roman" w:hAnsi="Times New Roman" w:cs="Times New Roman" w:eastAsia="Times New Roman" w:hint="default"/>
        </w:rPr>
        <w:t>2</w:t>
      </w:r>
      <w:r>
        <w:rPr/>
        <w:t>）公司出租资产所收取的租赁费，在不扣除免租期的整个租赁期内，按直线法进行分摊，确认为租赁相关收入。公司支</w:t>
      </w:r>
      <w:r>
        <w:rPr>
          <w:spacing w:val="-83"/>
        </w:rPr>
        <w:t> </w:t>
      </w:r>
      <w:r>
        <w:rPr>
          <w:spacing w:val="-83"/>
        </w:rPr>
      </w:r>
      <w:r>
        <w:rPr>
          <w:spacing w:val="-2"/>
        </w:rPr>
        <w:t>付的与租赁交易相关的初始直接费用，计入当期费用；如金额较大的，则予以资本化，在整个租赁期间内按照与租赁相关收</w:t>
      </w:r>
      <w:r>
        <w:rPr>
          <w:spacing w:val="-66"/>
        </w:rPr>
        <w:t> </w:t>
      </w:r>
      <w:r>
        <w:rPr>
          <w:spacing w:val="-66"/>
        </w:rPr>
      </w:r>
      <w:r>
        <w:rPr/>
        <w:t>入确认相同的基础分期计入当期收益。 公司承担了应由承租方承担的与租赁相关的费用时，公司将该部分费用从租金收入总额中扣除，按扣除后的租金费用在租</w:t>
      </w:r>
      <w:r>
        <w:rPr>
          <w:spacing w:val="-57"/>
        </w:rPr>
        <w:t> </w:t>
      </w:r>
      <w:r>
        <w:rPr>
          <w:spacing w:val="-57"/>
        </w:rPr>
      </w:r>
      <w:r>
        <w:rPr/>
        <w:t>赁期内分配。</w:t>
      </w:r>
    </w:p>
    <w:p>
      <w:pPr>
        <w:spacing w:line="240" w:lineRule="auto" w:before="9"/>
        <w:rPr>
          <w:rFonts w:ascii="宋体" w:hAnsi="宋体" w:cs="宋体" w:eastAsia="宋体" w:hint="default"/>
          <w:sz w:val="22"/>
          <w:szCs w:val="22"/>
        </w:rPr>
      </w:pPr>
    </w:p>
    <w:p>
      <w:pPr>
        <w:pStyle w:val="Heading3"/>
        <w:spacing w:line="240" w:lineRule="auto"/>
        <w:ind w:right="0"/>
        <w:jc w:val="left"/>
        <w:rPr>
          <w:b w:val="0"/>
          <w:bCs w:val="0"/>
        </w:rPr>
      </w:pPr>
      <w:bookmarkStart w:name="27、重要会计政策和会计估计变更" w:id="203"/>
      <w:bookmarkEnd w:id="203"/>
      <w:r>
        <w:rPr>
          <w:b w:val="0"/>
          <w:bCs w:val="0"/>
        </w:rPr>
      </w:r>
      <w:r>
        <w:rPr>
          <w:rFonts w:ascii="Times New Roman" w:hAnsi="Times New Roman" w:cs="Times New Roman" w:eastAsia="Times New Roman" w:hint="default"/>
        </w:rPr>
        <w:t>27</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重要会计政策变更" w:id="204"/>
      <w:bookmarkEnd w:id="204"/>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重要会计估计变更" w:id="205"/>
      <w:bookmarkEnd w:id="205"/>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六、税项" w:id="206"/>
      <w:bookmarkEnd w:id="206"/>
      <w:r>
        <w:rPr>
          <w:b w:val="0"/>
          <w:bCs w:val="0"/>
        </w:rPr>
      </w:r>
      <w:r>
        <w:rPr/>
        <w:t>六、税项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主要税种及税率" w:id="207"/>
      <w:bookmarkEnd w:id="207"/>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9"/>
        <w:gridCol w:w="3190"/>
        <w:gridCol w:w="3190"/>
      </w:tblGrid>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74"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6" w:lineRule="auto" w:before="52"/>
              <w:ind w:left="16" w:right="95"/>
              <w:jc w:val="both"/>
              <w:rPr>
                <w:rFonts w:ascii="宋体" w:hAnsi="宋体" w:cs="宋体" w:eastAsia="宋体" w:hint="default"/>
                <w:sz w:val="18"/>
                <w:szCs w:val="18"/>
              </w:rPr>
            </w:pPr>
            <w:r>
              <w:rPr>
                <w:rFonts w:ascii="宋体" w:hAnsi="宋体" w:cs="宋体" w:eastAsia="宋体" w:hint="default"/>
                <w:sz w:val="18"/>
                <w:szCs w:val="18"/>
              </w:rPr>
              <w:t>按税法规定计算的销售货物和应税劳务 收入为基础计算销项税额，在扣除当期 允许抵扣的进项税额后，差额部分为应 交增值税</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391"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473"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按应税营业收入计缴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r>
      <w:tr>
        <w:trPr>
          <w:trHeight w:val="162"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6" w:lineRule="auto" w:before="52"/>
              <w:ind w:left="16" w:right="95"/>
              <w:jc w:val="left"/>
              <w:rPr>
                <w:rFonts w:ascii="宋体" w:hAnsi="宋体" w:cs="宋体" w:eastAsia="宋体" w:hint="default"/>
                <w:sz w:val="18"/>
                <w:szCs w:val="18"/>
              </w:rPr>
            </w:pPr>
            <w:r>
              <w:rPr>
                <w:rFonts w:ascii="宋体" w:hAnsi="宋体" w:cs="宋体" w:eastAsia="宋体" w:hint="default"/>
                <w:sz w:val="18"/>
                <w:szCs w:val="18"/>
              </w:rPr>
              <w:t>按实际缴纳的营业税、增值税及消费税 计缴</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391"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按应纳税所得额计缴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bl>
    <w:p>
      <w:pPr>
        <w:pStyle w:val="BodyText"/>
        <w:spacing w:line="240" w:lineRule="auto" w:before="51"/>
        <w:ind w:left="154" w:right="0"/>
        <w:jc w:val="left"/>
      </w:pPr>
      <w:r>
        <w:rPr/>
        <w:t>存在不同企业所得税税率纳税主体的，披露情况说明</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北京久其软件股份有限公司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北京久其软件股份有限公司武汉分公司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汇总纳税</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北京久其软件股份有限公司郑州分公司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汇总纳税</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北京久其软件股份有限公司南京分公司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汇总纳税</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北京久其软件股份有限公司南昌分公司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汇总纳税</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北京久其软件股份有限公司石家庄分公司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汇总纳税</w:t>
            </w:r>
          </w:p>
        </w:tc>
      </w:tr>
    </w:tbl>
    <w:p>
      <w:pPr>
        <w:spacing w:after="0" w:line="240" w:lineRule="auto"/>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北京久其软件股份有限公司贵州分公司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汇总纳税</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北京久其软件股份有限公司杭州分公司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汇总纳税</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北京久其软件股份有限公司沈阳分公司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汇总纳税</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北京久其软件股份有限公司安徽分公司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汇总纳税</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北京久其软件股份有限公司银川分公司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汇总纳税</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北京久其软件股份有限公司兰州分公司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汇总纳税</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北京久其软件股份有限公司青岛分公司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汇总纳税</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北京久其软件股份有限公司研发中心</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不独立核算</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北京久其政务软件股份有限公司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西安久其软件有限公司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上海久其软件有限公司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成都久其软件有限公司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广东久其软件有限公司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新疆久其科技有限公司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重庆久其软件有限公司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海南久其云计算科技有限公司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北京久其智通数据科技有限公司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北京久其龙信数据科技有限公司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北京久其互联网金融信息服务有限公司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北京蜂语网络科技有限公司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北京亿起联科技有限公司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北京华夏电通科技有限公司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税收优惠" w:id="208"/>
      <w:bookmarkEnd w:id="208"/>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3"/>
        <w:jc w:val="left"/>
      </w:pPr>
      <w:r>
        <w:rPr>
          <w:rFonts w:ascii="宋体" w:hAnsi="宋体" w:cs="宋体" w:eastAsia="宋体" w:hint="default"/>
        </w:rPr>
        <w:t>1</w:t>
      </w:r>
      <w:r>
        <w:rPr/>
        <w:t>、所得税： </w:t>
      </w:r>
      <w:r>
        <w:rPr>
          <w:spacing w:val="-2"/>
        </w:rPr>
        <w:t>北京久其软件股份有限公司、北京久其政务软件股份有限公司、北京华夏电通科技有限公司、北京亿起联科技有限公司、广</w:t>
      </w:r>
      <w:r>
        <w:rPr>
          <w:spacing w:val="-66"/>
        </w:rPr>
        <w:t> </w:t>
      </w:r>
      <w:r>
        <w:rPr>
          <w:spacing w:val="-66"/>
        </w:rPr>
      </w:r>
      <w:r>
        <w:rPr>
          <w:spacing w:val="-2"/>
        </w:rPr>
        <w:t>东久其软件有限公司、海南久其云计算科技有限公司、上海久其软件有限公司系高新技术企业，执行</w:t>
      </w:r>
      <w:r>
        <w:rPr>
          <w:rFonts w:ascii="宋体" w:hAnsi="宋体" w:cs="宋体" w:eastAsia="宋体" w:hint="default"/>
          <w:spacing w:val="-2"/>
        </w:rPr>
        <w:t>15%</w:t>
      </w:r>
      <w:r>
        <w:rPr>
          <w:spacing w:val="-2"/>
        </w:rPr>
        <w:t>的企业所得税税率；</w:t>
      </w:r>
      <w:r>
        <w:rPr>
          <w:spacing w:val="-62"/>
        </w:rPr>
        <w:t> </w:t>
      </w:r>
      <w:r>
        <w:rPr/>
        <w:t>新疆久其科技有限公司系小微企业，执行</w:t>
      </w:r>
      <w:r>
        <w:rPr>
          <w:rFonts w:ascii="宋体" w:hAnsi="宋体" w:cs="宋体" w:eastAsia="宋体" w:hint="default"/>
        </w:rPr>
        <w:t>20%</w:t>
      </w:r>
      <w:r>
        <w:rPr/>
        <w:t>的企业所得税税率；其他各子公司暂执行</w:t>
      </w:r>
      <w:r>
        <w:rPr>
          <w:rFonts w:ascii="宋体" w:hAnsi="宋体" w:cs="宋体" w:eastAsia="宋体" w:hint="default"/>
        </w:rPr>
        <w:t>25</w:t>
      </w:r>
      <w:r>
        <w:rPr/>
        <w:t>％的企业所得税税率。</w:t>
      </w:r>
    </w:p>
    <w:p>
      <w:pPr>
        <w:pStyle w:val="BodyText"/>
        <w:spacing w:line="316" w:lineRule="auto" w:before="19"/>
        <w:ind w:right="1033"/>
        <w:jc w:val="left"/>
      </w:pPr>
      <w:r>
        <w:rPr>
          <w:rFonts w:ascii="宋体" w:hAnsi="宋体" w:cs="宋体" w:eastAsia="宋体" w:hint="default"/>
        </w:rPr>
        <w:t>2</w:t>
      </w:r>
      <w:r>
        <w:rPr/>
        <w:t>、增值税： </w:t>
      </w:r>
      <w:r>
        <w:rPr>
          <w:spacing w:val="-2"/>
        </w:rPr>
        <w:t>公司及其控股子公司上海久其软件有限公司、广东久其软件有限公司、北京久其政务软件股份有限公司、成都久其软件有限</w:t>
      </w:r>
      <w:r>
        <w:rPr>
          <w:spacing w:val="-66"/>
        </w:rPr>
        <w:t> </w:t>
      </w:r>
      <w:r>
        <w:rPr>
          <w:spacing w:val="-66"/>
        </w:rPr>
      </w:r>
      <w:r>
        <w:rPr>
          <w:spacing w:val="-2"/>
        </w:rPr>
        <w:t>公司、新疆久其科技有限公司、西安久其软件有限公司、北京久其智通数据科技有限公司、北京亿起联科技有限公司、北京</w:t>
      </w:r>
      <w:r>
        <w:rPr>
          <w:spacing w:val="-66"/>
        </w:rPr>
        <w:t> </w:t>
      </w:r>
      <w:r>
        <w:rPr>
          <w:spacing w:val="-66"/>
        </w:rPr>
      </w:r>
      <w:r>
        <w:rPr/>
        <w:t>华夏电通科技有限公司为增值税一般纳税人，安徽分公司、武汉分公司为增值税一般纳税人，分别适用</w:t>
      </w:r>
      <w:r>
        <w:rPr>
          <w:rFonts w:ascii="宋体" w:hAnsi="宋体" w:cs="宋体" w:eastAsia="宋体" w:hint="default"/>
        </w:rPr>
        <w:t>17%</w:t>
      </w:r>
      <w:r>
        <w:rPr/>
        <w:t>和</w:t>
      </w:r>
      <w:r>
        <w:rPr>
          <w:rFonts w:ascii="宋体" w:hAnsi="宋体" w:cs="宋体" w:eastAsia="宋体" w:hint="default"/>
        </w:rPr>
        <w:t>6%</w:t>
      </w:r>
      <w:r>
        <w:rPr/>
        <w:t>的增值税税</w:t>
      </w:r>
      <w:r>
        <w:rPr>
          <w:spacing w:val="-81"/>
        </w:rPr>
        <w:t> </w:t>
      </w:r>
      <w:r>
        <w:rPr/>
        <w:t>率。公司其他分子公司均为小规模纳税人，按</w:t>
      </w:r>
      <w:r>
        <w:rPr>
          <w:rFonts w:ascii="宋体" w:hAnsi="宋体" w:cs="宋体" w:eastAsia="宋体" w:hint="default"/>
        </w:rPr>
        <w:t>3%</w:t>
      </w:r>
      <w:r>
        <w:rPr/>
        <w:t>的征收率计算缴纳增值税。 根据国务院国发</w:t>
      </w:r>
      <w:r>
        <w:rPr>
          <w:rFonts w:ascii="宋体" w:hAnsi="宋体" w:cs="宋体" w:eastAsia="宋体" w:hint="default"/>
        </w:rPr>
        <w:t>[2011]4</w:t>
      </w:r>
      <w:r>
        <w:rPr/>
        <w:t>号文件《国务院关于印发进一步鼓励软件产业和集成电路产业发展若干政策的通知》的规定，对增</w:t>
      </w:r>
      <w:r>
        <w:rPr>
          <w:spacing w:val="-84"/>
        </w:rPr>
        <w:t> </w:t>
      </w:r>
      <w:r>
        <w:rPr>
          <w:spacing w:val="-84"/>
        </w:rPr>
      </w:r>
      <w:r>
        <w:rPr/>
        <w:t>值税一般纳税人销售其自行开发生产的软件产品，按</w:t>
      </w:r>
      <w:r>
        <w:rPr>
          <w:rFonts w:ascii="宋体" w:hAnsi="宋体" w:cs="宋体" w:eastAsia="宋体" w:hint="default"/>
        </w:rPr>
        <w:t>17%</w:t>
      </w:r>
      <w:r>
        <w:rPr/>
        <w:t>税率征收增值税后，对其增值税实际税负超过</w:t>
      </w:r>
      <w:r>
        <w:rPr>
          <w:rFonts w:ascii="宋体" w:hAnsi="宋体" w:cs="宋体" w:eastAsia="宋体" w:hint="default"/>
        </w:rPr>
        <w:t>3%</w:t>
      </w:r>
      <w:r>
        <w:rPr/>
        <w:t>的部分实行即征即</w:t>
      </w:r>
      <w:r>
        <w:rPr>
          <w:spacing w:val="-82"/>
        </w:rPr>
        <w:t> </w:t>
      </w:r>
      <w:r>
        <w:rPr>
          <w:spacing w:val="-82"/>
        </w:rPr>
      </w:r>
      <w:r>
        <w:rPr>
          <w:spacing w:val="-4"/>
        </w:rPr>
        <w:t>退政策，公司及其控股子公司上海久其软件有限公司、广东久其软件有限公司、北京久其政务软件股份有限公司适用此规定。</w:t>
      </w:r>
    </w:p>
    <w:p>
      <w:pPr>
        <w:spacing w:after="0" w:line="316" w:lineRule="auto"/>
        <w:jc w:val="left"/>
        <w:sectPr>
          <w:pgSz w:w="11910" w:h="16840"/>
          <w:pgMar w:header="87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七、合并财务报表项目注释" w:id="209"/>
      <w:bookmarkEnd w:id="209"/>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货币资金" w:id="210"/>
      <w:bookmarkEnd w:id="210"/>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882,572.73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245,264.40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833,843,122.59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277,087,845.53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15,040,570.78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9,854,474.50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849,766,266.10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287,187,584.43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pStyle w:val="BodyText"/>
        <w:spacing w:line="357" w:lineRule="auto" w:before="51"/>
        <w:ind w:right="-19"/>
        <w:jc w:val="left"/>
      </w:pPr>
      <w:r>
        <w:rPr/>
        <w:t>其他说明 其中受限制的货币资金明细如下：</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2855" w:space="5975"/>
            <w:col w:w="2100"/>
          </w:cols>
        </w:sectPr>
      </w:pPr>
    </w:p>
    <w:p>
      <w:pPr>
        <w:spacing w:line="240" w:lineRule="auto" w:before="6"/>
        <w:rPr>
          <w:rFonts w:ascii="宋体" w:hAnsi="宋体" w:cs="宋体" w:eastAsia="宋体" w:hint="default"/>
          <w:sz w:val="8"/>
          <w:szCs w:val="8"/>
        </w:rPr>
      </w:pPr>
    </w:p>
    <w:tbl>
      <w:tblPr>
        <w:tblW w:w="0" w:type="auto"/>
        <w:jc w:val="left"/>
        <w:tblInd w:w="141" w:type="dxa"/>
        <w:tblLayout w:type="fixed"/>
        <w:tblCellMar>
          <w:top w:w="0" w:type="dxa"/>
          <w:left w:w="0" w:type="dxa"/>
          <w:bottom w:w="0" w:type="dxa"/>
          <w:right w:w="0" w:type="dxa"/>
        </w:tblCellMar>
        <w:tblLook w:val="01E0"/>
      </w:tblPr>
      <w:tblGrid>
        <w:gridCol w:w="3269"/>
        <w:gridCol w:w="3120"/>
        <w:gridCol w:w="3268"/>
      </w:tblGrid>
      <w:tr>
        <w:trPr>
          <w:trHeight w:val="416" w:hRule="exact"/>
        </w:trPr>
        <w:tc>
          <w:tcPr>
            <w:tcW w:w="32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422" w:hRule="exact"/>
        </w:trPr>
        <w:tc>
          <w:tcPr>
            <w:tcW w:w="32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312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4,000.00</w:t>
            </w:r>
          </w:p>
        </w:tc>
        <w:tc>
          <w:tcPr>
            <w:tcW w:w="3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4,000.00</w:t>
            </w:r>
          </w:p>
        </w:tc>
      </w:tr>
      <w:tr>
        <w:trPr>
          <w:trHeight w:val="422" w:hRule="exact"/>
        </w:trPr>
        <w:tc>
          <w:tcPr>
            <w:tcW w:w="32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312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14,467,710.04</w:t>
            </w:r>
          </w:p>
        </w:tc>
        <w:tc>
          <w:tcPr>
            <w:tcW w:w="3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9,850,474.50</w:t>
            </w:r>
          </w:p>
        </w:tc>
      </w:tr>
      <w:tr>
        <w:trPr>
          <w:trHeight w:val="422" w:hRule="exact"/>
        </w:trPr>
        <w:tc>
          <w:tcPr>
            <w:tcW w:w="32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2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14,471,710.04</w:t>
            </w:r>
          </w:p>
        </w:tc>
        <w:tc>
          <w:tcPr>
            <w:tcW w:w="3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9,854,474.50</w:t>
            </w:r>
          </w:p>
        </w:tc>
      </w:tr>
    </w:tbl>
    <w:p>
      <w:pPr>
        <w:pStyle w:val="BodyText"/>
        <w:spacing w:line="309" w:lineRule="auto" w:before="10"/>
        <w:ind w:right="1118"/>
        <w:jc w:val="left"/>
      </w:pPr>
      <w:r>
        <w:rPr/>
        <w:t>货币资金说明： </w:t>
      </w:r>
      <w:r>
        <w:rPr>
          <w:spacing w:val="-1"/>
        </w:rPr>
        <w:t>截至</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日，其他货币资金中人民币</w:t>
      </w:r>
      <w:r>
        <w:rPr>
          <w:rFonts w:ascii="Times New Roman" w:hAnsi="Times New Roman" w:cs="Times New Roman" w:eastAsia="Times New Roman" w:hint="default"/>
          <w:spacing w:val="-1"/>
        </w:rPr>
        <w:t>14,471,710.04</w:t>
      </w:r>
      <w:r>
        <w:rPr>
          <w:spacing w:val="-1"/>
        </w:rPr>
        <w:t>元为本公司向银行申请开具无条件、不可撤销的担保函所存入的</w:t>
      </w:r>
      <w:r>
        <w:rPr>
          <w:spacing w:val="-64"/>
        </w:rPr>
        <w:t> </w:t>
      </w:r>
      <w:r>
        <w:rPr>
          <w:spacing w:val="-64"/>
        </w:rPr>
      </w:r>
      <w:r>
        <w:rPr/>
        <w:t>保证金存款。</w:t>
      </w:r>
    </w:p>
    <w:p>
      <w:pPr>
        <w:spacing w:line="240" w:lineRule="auto" w:before="12"/>
        <w:rPr>
          <w:rFonts w:ascii="宋体" w:hAnsi="宋体" w:cs="宋体" w:eastAsia="宋体" w:hint="default"/>
          <w:sz w:val="22"/>
          <w:szCs w:val="22"/>
        </w:rPr>
      </w:pPr>
    </w:p>
    <w:p>
      <w:pPr>
        <w:pStyle w:val="Heading3"/>
        <w:spacing w:line="240" w:lineRule="auto"/>
        <w:ind w:left="153" w:right="0"/>
        <w:jc w:val="left"/>
        <w:rPr>
          <w:b w:val="0"/>
          <w:bCs w:val="0"/>
        </w:rPr>
      </w:pPr>
      <w:bookmarkStart w:name="2、以公允价值计量且其变动计入当期损益的金融资产" w:id="211"/>
      <w:bookmarkEnd w:id="211"/>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83"/>
              <w:jc w:val="left"/>
              <w:rPr>
                <w:rFonts w:ascii="宋体" w:hAnsi="宋体" w:cs="宋体" w:eastAsia="宋体" w:hint="default"/>
                <w:sz w:val="18"/>
                <w:szCs w:val="18"/>
              </w:rPr>
            </w:pPr>
            <w:r>
              <w:rPr>
                <w:rFonts w:ascii="宋体" w:hAnsi="宋体" w:cs="宋体" w:eastAsia="宋体" w:hint="default"/>
                <w:sz w:val="18"/>
                <w:szCs w:val="18"/>
              </w:rPr>
              <w:t>指定以公允价值计量且其变动计入当期 损益的金融资产</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50,799,905.59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50,799,905.59</w:t>
            </w:r>
          </w:p>
        </w:tc>
      </w:tr>
    </w:tbl>
    <w:p>
      <w:pPr>
        <w:pStyle w:val="BodyText"/>
        <w:spacing w:line="338" w:lineRule="auto" w:before="51"/>
        <w:ind w:right="1118"/>
        <w:jc w:val="left"/>
      </w:pPr>
      <w:r>
        <w:rPr/>
        <w:t>其他说明： </w:t>
      </w:r>
      <w:r>
        <w:rPr>
          <w:spacing w:val="-2"/>
        </w:rPr>
        <w:t>期末无以公允价值计量且变动计入当期损益的金融资产，本期持有的以公允价值计量且变动计入当期损益的金融资产已全部</w:t>
      </w:r>
      <w:r>
        <w:rPr>
          <w:spacing w:val="-64"/>
        </w:rPr>
        <w:t> </w:t>
      </w:r>
      <w:r>
        <w:rPr>
          <w:spacing w:val="-64"/>
        </w:rPr>
      </w:r>
      <w:r>
        <w:rPr/>
        <w:t>出售。</w:t>
      </w:r>
    </w:p>
    <w:p>
      <w:pPr>
        <w:spacing w:line="240" w:lineRule="auto" w:before="4"/>
        <w:rPr>
          <w:rFonts w:ascii="宋体" w:hAnsi="宋体" w:cs="宋体" w:eastAsia="宋体" w:hint="default"/>
          <w:sz w:val="21"/>
          <w:szCs w:val="21"/>
        </w:rPr>
      </w:pPr>
    </w:p>
    <w:p>
      <w:pPr>
        <w:pStyle w:val="Heading3"/>
        <w:spacing w:line="240" w:lineRule="auto"/>
        <w:ind w:right="0"/>
        <w:jc w:val="left"/>
        <w:rPr>
          <w:b w:val="0"/>
          <w:bCs w:val="0"/>
        </w:rPr>
      </w:pPr>
      <w:bookmarkStart w:name="3、应收票据" w:id="212"/>
      <w:bookmarkEnd w:id="212"/>
      <w:r>
        <w:rPr>
          <w:b w:val="0"/>
          <w:bCs w:val="0"/>
        </w:rPr>
      </w:r>
      <w:r>
        <w:rPr>
          <w:rFonts w:ascii="Times New Roman" w:hAnsi="Times New Roman" w:cs="Times New Roman" w:eastAsia="Times New Roman" w:hint="default"/>
        </w:rPr>
        <w:t>3</w:t>
      </w:r>
      <w:r>
        <w:rPr/>
        <w:t>、应收票据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票据分类列示" w:id="213"/>
      <w:bookmarkEnd w:id="213"/>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8"/>
        <w:gridCol w:w="3191"/>
        <w:gridCol w:w="3190"/>
      </w:tblGrid>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2,474,783.60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245,235.00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2,474,783.60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245,235.00</w:t>
            </w:r>
          </w:p>
        </w:tc>
      </w:tr>
    </w:tbl>
    <w:p>
      <w:pPr>
        <w:pStyle w:val="BodyText"/>
        <w:spacing w:line="240" w:lineRule="auto" w:before="51"/>
        <w:ind w:left="154" w:right="0"/>
        <w:jc w:val="left"/>
      </w:pPr>
      <w:r>
        <w:rPr/>
        <w:t>期末已贴现或质押的商业承兑票据的说明：</w:t>
      </w:r>
    </w:p>
    <w:p>
      <w:pPr>
        <w:pStyle w:val="BodyText"/>
        <w:spacing w:line="240" w:lineRule="auto" w:before="117"/>
        <w:ind w:left="154" w:right="0"/>
        <w:jc w:val="left"/>
      </w:pPr>
      <w:r>
        <w:rPr/>
        <w:t>截至</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日，本公司不存在用于贴现的商业承兑票据。</w:t>
      </w:r>
    </w:p>
    <w:p>
      <w:pPr>
        <w:pStyle w:val="BodyText"/>
        <w:spacing w:line="348" w:lineRule="auto" w:before="103"/>
        <w:ind w:left="154" w:right="5448"/>
        <w:jc w:val="left"/>
      </w:pPr>
      <w:r>
        <w:rPr/>
        <w:t>截至</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日，本公司不存在用于质押的商业承兑票据。 期末公司无已背书或贴现且在资产负债表日尚未到期的应收票据 期末公司无因出票人未履约而将其转为应收账款的票据</w:t>
      </w:r>
    </w:p>
    <w:p>
      <w:pPr>
        <w:spacing w:line="240" w:lineRule="auto" w:before="7"/>
        <w:rPr>
          <w:rFonts w:ascii="宋体" w:hAnsi="宋体" w:cs="宋体" w:eastAsia="宋体" w:hint="default"/>
          <w:sz w:val="20"/>
          <w:szCs w:val="20"/>
        </w:rPr>
      </w:pPr>
    </w:p>
    <w:p>
      <w:pPr>
        <w:pStyle w:val="Heading3"/>
        <w:spacing w:line="240" w:lineRule="auto"/>
        <w:ind w:right="0"/>
        <w:jc w:val="left"/>
        <w:rPr>
          <w:b w:val="0"/>
          <w:bCs w:val="0"/>
        </w:rPr>
      </w:pPr>
      <w:bookmarkStart w:name="4、应收账款" w:id="214"/>
      <w:bookmarkEnd w:id="214"/>
      <w:r>
        <w:rPr>
          <w:b w:val="0"/>
          <w:bCs w:val="0"/>
        </w:rPr>
      </w:r>
      <w:r>
        <w:rPr>
          <w:rFonts w:ascii="Times New Roman" w:hAnsi="Times New Roman" w:cs="Times New Roman" w:eastAsia="Times New Roman" w:hint="default"/>
        </w:rPr>
        <w:t>4</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收账款分类披露" w:id="215"/>
      <w:bookmarkEnd w:id="215"/>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1146"/>
        <w:gridCol w:w="1008"/>
        <w:gridCol w:w="422"/>
        <w:gridCol w:w="846"/>
        <w:gridCol w:w="707"/>
        <w:gridCol w:w="1063"/>
        <w:gridCol w:w="1090"/>
        <w:gridCol w:w="701"/>
        <w:gridCol w:w="1000"/>
        <w:gridCol w:w="702"/>
        <w:gridCol w:w="1074"/>
      </w:tblGrid>
      <w:tr>
        <w:trPr>
          <w:trHeight w:val="403" w:hRule="exact"/>
        </w:trPr>
        <w:tc>
          <w:tcPr>
            <w:tcW w:w="1146" w:type="dxa"/>
            <w:vMerge w:val="restart"/>
            <w:tcBorders>
              <w:top w:val="single" w:sz="4" w:space="0" w:color="000000"/>
              <w:left w:val="single" w:sz="13" w:space="0" w:color="FFFFFF"/>
              <w:right w:val="single" w:sz="4" w:space="0" w:color="000000"/>
            </w:tcBorders>
            <w:shd w:val="clear" w:color="auto" w:fill="D2D2D2"/>
          </w:tcPr>
          <w:p>
            <w:pPr/>
          </w:p>
        </w:tc>
        <w:tc>
          <w:tcPr>
            <w:tcW w:w="404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56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146" w:type="dxa"/>
            <w:vMerge/>
            <w:tcBorders>
              <w:left w:val="single" w:sz="13" w:space="0" w:color="FFFFFF"/>
              <w:bottom w:val="nil" w:sz="6" w:space="0" w:color="auto"/>
              <w:right w:val="single" w:sz="4" w:space="0" w:color="000000"/>
            </w:tcBorders>
            <w:shd w:val="clear" w:color="auto" w:fill="D2D2D2"/>
          </w:tcPr>
          <w:p>
            <w:pPr/>
          </w:p>
        </w:tc>
        <w:tc>
          <w:tcPr>
            <w:tcW w:w="14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5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5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63" w:type="dxa"/>
            <w:vMerge w:val="restart"/>
            <w:tcBorders>
              <w:top w:val="single" w:sz="4" w:space="0" w:color="000000"/>
              <w:left w:val="single" w:sz="4" w:space="0" w:color="000000"/>
              <w:right w:val="single" w:sz="4" w:space="0" w:color="000000"/>
            </w:tcBorders>
            <w:shd w:val="clear" w:color="auto" w:fill="D2D2D2"/>
          </w:tcPr>
          <w:p>
            <w:pPr/>
          </w:p>
        </w:tc>
        <w:tc>
          <w:tcPr>
            <w:tcW w:w="179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3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0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8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74"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146" w:type="dxa"/>
            <w:vMerge w:val="restart"/>
            <w:tcBorders>
              <w:top w:val="nil" w:sz="6" w:space="0" w:color="auto"/>
              <w:left w:val="single" w:sz="13" w:space="0" w:color="FFFFFF"/>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430" w:type="dxa"/>
            <w:gridSpan w:val="2"/>
            <w:vMerge/>
            <w:tcBorders>
              <w:left w:val="single" w:sz="4" w:space="0" w:color="000000"/>
              <w:bottom w:val="single" w:sz="4" w:space="0" w:color="000000"/>
              <w:right w:val="single" w:sz="4" w:space="0" w:color="000000"/>
            </w:tcBorders>
            <w:shd w:val="clear" w:color="auto" w:fill="D2D2D2"/>
          </w:tcPr>
          <w:p>
            <w:pPr/>
          </w:p>
        </w:tc>
        <w:tc>
          <w:tcPr>
            <w:tcW w:w="1553" w:type="dxa"/>
            <w:gridSpan w:val="2"/>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c>
          <w:tcPr>
            <w:tcW w:w="1790" w:type="dxa"/>
            <w:gridSpan w:val="2"/>
            <w:vMerge/>
            <w:tcBorders>
              <w:left w:val="single" w:sz="4" w:space="0" w:color="000000"/>
              <w:bottom w:val="single" w:sz="4" w:space="0" w:color="000000"/>
              <w:right w:val="single" w:sz="4" w:space="0" w:color="000000"/>
            </w:tcBorders>
            <w:shd w:val="clear" w:color="auto" w:fill="D2D2D2"/>
          </w:tcPr>
          <w:p>
            <w:pPr/>
          </w:p>
        </w:tc>
        <w:tc>
          <w:tcPr>
            <w:tcW w:w="1702" w:type="dxa"/>
            <w:gridSpan w:val="2"/>
            <w:vMerge/>
            <w:tcBorders>
              <w:left w:val="single" w:sz="4" w:space="0" w:color="000000"/>
              <w:bottom w:val="single" w:sz="4" w:space="0" w:color="000000"/>
              <w:right w:val="single" w:sz="4" w:space="0" w:color="000000"/>
            </w:tcBorders>
            <w:shd w:val="clear" w:color="auto" w:fill="D2D2D2"/>
          </w:tcPr>
          <w:p>
            <w:pPr/>
          </w:p>
        </w:tc>
        <w:tc>
          <w:tcPr>
            <w:tcW w:w="107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146" w:type="dxa"/>
            <w:vMerge/>
            <w:tcBorders>
              <w:left w:val="single" w:sz="13" w:space="0" w:color="FFFFFF"/>
              <w:bottom w:val="nil" w:sz="6" w:space="0" w:color="auto"/>
              <w:right w:val="single" w:sz="4" w:space="0" w:color="000000"/>
            </w:tcBorders>
            <w:shd w:val="clear" w:color="auto" w:fill="D2D2D2"/>
          </w:tcPr>
          <w:p>
            <w:pPr/>
          </w:p>
        </w:tc>
        <w:tc>
          <w:tcPr>
            <w:tcW w:w="1008" w:type="dxa"/>
            <w:tcBorders>
              <w:top w:val="single" w:sz="4" w:space="0" w:color="000000"/>
              <w:left w:val="single" w:sz="4" w:space="0" w:color="000000"/>
              <w:bottom w:val="nil" w:sz="6" w:space="0" w:color="auto"/>
              <w:right w:val="single" w:sz="4" w:space="0" w:color="000000"/>
            </w:tcBorders>
            <w:shd w:val="clear" w:color="auto" w:fill="D2D2D2"/>
          </w:tcPr>
          <w:p>
            <w:pPr/>
          </w:p>
        </w:tc>
        <w:tc>
          <w:tcPr>
            <w:tcW w:w="4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57" w:right="77"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9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56" w:right="7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0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7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1" w:hRule="exact"/>
        </w:trPr>
        <w:tc>
          <w:tcPr>
            <w:tcW w:w="1146" w:type="dxa"/>
            <w:vMerge w:val="restart"/>
            <w:tcBorders>
              <w:top w:val="nil" w:sz="6" w:space="0" w:color="auto"/>
              <w:left w:val="single" w:sz="13" w:space="0" w:color="FFFFFF"/>
              <w:right w:val="single" w:sz="4" w:space="0" w:color="000000"/>
            </w:tcBorders>
            <w:shd w:val="clear" w:color="auto" w:fill="D2D2D2"/>
          </w:tcPr>
          <w:p>
            <w:pPr/>
          </w:p>
        </w:tc>
        <w:tc>
          <w:tcPr>
            <w:tcW w:w="10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4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07" w:type="dxa"/>
            <w:vMerge/>
            <w:tcBorders>
              <w:left w:val="single" w:sz="4" w:space="0" w:color="000000"/>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c>
          <w:tcPr>
            <w:tcW w:w="10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02" w:type="dxa"/>
            <w:vMerge/>
            <w:tcBorders>
              <w:left w:val="single" w:sz="4" w:space="0" w:color="000000"/>
              <w:right w:val="single" w:sz="4" w:space="0" w:color="000000"/>
            </w:tcBorders>
            <w:shd w:val="clear" w:color="auto" w:fill="D2D2D2"/>
          </w:tcPr>
          <w:p>
            <w:pPr/>
          </w:p>
        </w:tc>
        <w:tc>
          <w:tcPr>
            <w:tcW w:w="1074"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146" w:type="dxa"/>
            <w:vMerge/>
            <w:tcBorders>
              <w:left w:val="single" w:sz="13" w:space="0" w:color="FFFFFF"/>
              <w:right w:val="single" w:sz="4" w:space="0" w:color="000000"/>
            </w:tcBorders>
            <w:shd w:val="clear" w:color="auto" w:fill="D2D2D2"/>
          </w:tcPr>
          <w:p>
            <w:pPr/>
          </w:p>
        </w:tc>
        <w:tc>
          <w:tcPr>
            <w:tcW w:w="1008" w:type="dxa"/>
            <w:vMerge/>
            <w:tcBorders>
              <w:left w:val="single" w:sz="4" w:space="0" w:color="000000"/>
              <w:bottom w:val="nil" w:sz="6" w:space="0" w:color="auto"/>
              <w:right w:val="single" w:sz="4" w:space="0" w:color="000000"/>
            </w:tcBorders>
            <w:shd w:val="clear" w:color="auto" w:fill="D2D2D2"/>
          </w:tcPr>
          <w:p>
            <w:pPr/>
          </w:p>
        </w:tc>
        <w:tc>
          <w:tcPr>
            <w:tcW w:w="422" w:type="dxa"/>
            <w:vMerge/>
            <w:tcBorders>
              <w:left w:val="single" w:sz="4" w:space="0" w:color="000000"/>
              <w:bottom w:val="nil" w:sz="6" w:space="0" w:color="auto"/>
              <w:right w:val="single" w:sz="4" w:space="0" w:color="000000"/>
            </w:tcBorders>
            <w:shd w:val="clear" w:color="auto" w:fill="D2D2D2"/>
          </w:tcPr>
          <w:p>
            <w:pPr/>
          </w:p>
        </w:tc>
        <w:tc>
          <w:tcPr>
            <w:tcW w:w="846" w:type="dxa"/>
            <w:vMerge/>
            <w:tcBorders>
              <w:left w:val="single" w:sz="4" w:space="0" w:color="000000"/>
              <w:bottom w:val="nil" w:sz="6" w:space="0" w:color="auto"/>
              <w:right w:val="single" w:sz="4" w:space="0" w:color="000000"/>
            </w:tcBorders>
            <w:shd w:val="clear" w:color="auto" w:fill="D2D2D2"/>
          </w:tcPr>
          <w:p>
            <w:pPr/>
          </w:p>
        </w:tc>
        <w:tc>
          <w:tcPr>
            <w:tcW w:w="707" w:type="dxa"/>
            <w:vMerge/>
            <w:tcBorders>
              <w:left w:val="single" w:sz="4" w:space="0" w:color="000000"/>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
        </w:tc>
        <w:tc>
          <w:tcPr>
            <w:tcW w:w="1090" w:type="dxa"/>
            <w:vMerge/>
            <w:tcBorders>
              <w:left w:val="single" w:sz="4" w:space="0" w:color="000000"/>
              <w:bottom w:val="nil" w:sz="6" w:space="0" w:color="auto"/>
              <w:right w:val="single" w:sz="4" w:space="0" w:color="000000"/>
            </w:tcBorders>
            <w:shd w:val="clear" w:color="auto" w:fill="D2D2D2"/>
          </w:tcPr>
          <w:p>
            <w:pPr/>
          </w:p>
        </w:tc>
        <w:tc>
          <w:tcPr>
            <w:tcW w:w="701" w:type="dxa"/>
            <w:vMerge/>
            <w:tcBorders>
              <w:left w:val="single" w:sz="4" w:space="0" w:color="000000"/>
              <w:bottom w:val="nil" w:sz="6" w:space="0" w:color="auto"/>
              <w:right w:val="single" w:sz="4" w:space="0" w:color="000000"/>
            </w:tcBorders>
            <w:shd w:val="clear" w:color="auto" w:fill="D2D2D2"/>
          </w:tcPr>
          <w:p>
            <w:pPr/>
          </w:p>
        </w:tc>
        <w:tc>
          <w:tcPr>
            <w:tcW w:w="1000" w:type="dxa"/>
            <w:vMerge/>
            <w:tcBorders>
              <w:left w:val="single" w:sz="4" w:space="0" w:color="000000"/>
              <w:bottom w:val="nil" w:sz="6" w:space="0" w:color="auto"/>
              <w:right w:val="single" w:sz="4" w:space="0" w:color="000000"/>
            </w:tcBorders>
            <w:shd w:val="clear" w:color="auto" w:fill="D2D2D2"/>
          </w:tcPr>
          <w:p>
            <w:pPr/>
          </w:p>
        </w:tc>
        <w:tc>
          <w:tcPr>
            <w:tcW w:w="702" w:type="dxa"/>
            <w:vMerge/>
            <w:tcBorders>
              <w:left w:val="single" w:sz="4" w:space="0" w:color="000000"/>
              <w:right w:val="single" w:sz="4" w:space="0" w:color="000000"/>
            </w:tcBorders>
            <w:shd w:val="clear" w:color="auto" w:fill="D2D2D2"/>
          </w:tcPr>
          <w:p>
            <w:pPr/>
          </w:p>
        </w:tc>
        <w:tc>
          <w:tcPr>
            <w:tcW w:w="1074"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146" w:type="dxa"/>
            <w:vMerge/>
            <w:tcBorders>
              <w:left w:val="single" w:sz="13" w:space="0" w:color="FFFFFF"/>
              <w:bottom w:val="single" w:sz="4" w:space="0" w:color="000000"/>
              <w:right w:val="single" w:sz="4" w:space="0" w:color="000000"/>
            </w:tcBorders>
            <w:shd w:val="clear" w:color="auto" w:fill="D2D2D2"/>
          </w:tcPr>
          <w:p>
            <w:pPr/>
          </w:p>
        </w:tc>
        <w:tc>
          <w:tcPr>
            <w:tcW w:w="1008" w:type="dxa"/>
            <w:tcBorders>
              <w:top w:val="nil" w:sz="6" w:space="0" w:color="auto"/>
              <w:left w:val="single" w:sz="4" w:space="0" w:color="000000"/>
              <w:bottom w:val="single" w:sz="4" w:space="0" w:color="000000"/>
              <w:right w:val="single" w:sz="4" w:space="0" w:color="000000"/>
            </w:tcBorders>
            <w:shd w:val="clear" w:color="auto" w:fill="D2D2D2"/>
          </w:tcPr>
          <w:p>
            <w:pPr/>
          </w:p>
        </w:tc>
        <w:tc>
          <w:tcPr>
            <w:tcW w:w="4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6" w:type="dxa"/>
            <w:tcBorders>
              <w:top w:val="nil" w:sz="6" w:space="0" w:color="auto"/>
              <w:left w:val="single" w:sz="4" w:space="0" w:color="000000"/>
              <w:bottom w:val="single" w:sz="4" w:space="0" w:color="000000"/>
              <w:right w:val="single" w:sz="4" w:space="0" w:color="000000"/>
            </w:tcBorders>
            <w:shd w:val="clear" w:color="auto" w:fill="D2D2D2"/>
          </w:tcPr>
          <w:p>
            <w:pPr/>
          </w:p>
        </w:tc>
        <w:tc>
          <w:tcPr>
            <w:tcW w:w="707"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9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2" w:type="dxa"/>
            <w:vMerge/>
            <w:tcBorders>
              <w:left w:val="single" w:sz="4" w:space="0" w:color="000000"/>
              <w:bottom w:val="single" w:sz="4" w:space="0" w:color="000000"/>
              <w:right w:val="single" w:sz="4" w:space="0" w:color="000000"/>
            </w:tcBorders>
            <w:shd w:val="clear" w:color="auto" w:fill="D2D2D2"/>
          </w:tcPr>
          <w:p>
            <w:pPr/>
          </w:p>
        </w:tc>
        <w:tc>
          <w:tcPr>
            <w:tcW w:w="1074"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1146" w:type="dxa"/>
            <w:tcBorders>
              <w:top w:val="single" w:sz="4" w:space="0" w:color="000000"/>
              <w:left w:val="single" w:sz="13" w:space="0" w:color="FFFFFF"/>
              <w:bottom w:val="single" w:sz="4" w:space="0" w:color="000000"/>
              <w:right w:val="single" w:sz="4" w:space="0" w:color="000000"/>
            </w:tcBorders>
            <w:shd w:val="clear" w:color="auto" w:fill="D2D2D2"/>
          </w:tcPr>
          <w:p>
            <w:pPr>
              <w:pStyle w:val="TableParagraph"/>
              <w:spacing w:line="316" w:lineRule="auto" w:before="52"/>
              <w:ind w:right="42"/>
              <w:jc w:val="both"/>
              <w:rPr>
                <w:rFonts w:ascii="宋体" w:hAnsi="宋体" w:cs="宋体" w:eastAsia="宋体" w:hint="default"/>
                <w:sz w:val="18"/>
                <w:szCs w:val="18"/>
              </w:rPr>
            </w:pPr>
            <w:r>
              <w:rPr>
                <w:rFonts w:ascii="宋体" w:hAnsi="宋体" w:cs="宋体" w:eastAsia="宋体" w:hint="default"/>
                <w:sz w:val="18"/>
                <w:szCs w:val="18"/>
              </w:rPr>
              <w:t>按信用风险特 征组合计提坏 账准备的应收 账款</w:t>
            </w:r>
          </w:p>
        </w:tc>
        <w:tc>
          <w:tcPr>
            <w:tcW w:w="10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190,754,088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.90</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98.9</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5%</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3,923,628.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22</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186,830,460.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68</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66,724,523.6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96.69%</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1,497,364.7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2.24%</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65,227,158.9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r>
      <w:tr>
        <w:trPr>
          <w:trHeight w:val="1338" w:hRule="exact"/>
        </w:trPr>
        <w:tc>
          <w:tcPr>
            <w:tcW w:w="1146" w:type="dxa"/>
            <w:tcBorders>
              <w:top w:val="single" w:sz="4" w:space="0" w:color="000000"/>
              <w:left w:val="single" w:sz="13" w:space="0" w:color="FFFFFF"/>
              <w:bottom w:val="single" w:sz="4" w:space="0" w:color="000000"/>
              <w:right w:val="single" w:sz="4" w:space="0" w:color="000000"/>
            </w:tcBorders>
            <w:shd w:val="clear" w:color="auto" w:fill="D2D2D2"/>
          </w:tcPr>
          <w:p>
            <w:pPr>
              <w:pStyle w:val="TableParagraph"/>
              <w:spacing w:line="316" w:lineRule="auto" w:before="53"/>
              <w:ind w:right="42"/>
              <w:jc w:val="both"/>
              <w:rPr>
                <w:rFonts w:ascii="宋体" w:hAnsi="宋体" w:cs="宋体" w:eastAsia="宋体" w:hint="default"/>
                <w:sz w:val="18"/>
                <w:szCs w:val="18"/>
              </w:rPr>
            </w:pPr>
            <w:r>
              <w:rPr>
                <w:rFonts w:ascii="宋体" w:hAnsi="宋体" w:cs="宋体" w:eastAsia="宋体" w:hint="default"/>
                <w:sz w:val="18"/>
                <w:szCs w:val="18"/>
              </w:rPr>
              <w:t>单项金额不重 大但单独计提 坏账准备的应 收账款</w:t>
            </w:r>
          </w:p>
        </w:tc>
        <w:tc>
          <w:tcPr>
            <w:tcW w:w="10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2,019,144.0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1.05</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2,019,144.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2,283,644.00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3.31%</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2,283,644.0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074"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146" w:type="dxa"/>
            <w:tcBorders>
              <w:top w:val="single" w:sz="4" w:space="0" w:color="000000"/>
              <w:left w:val="single" w:sz="13" w:space="0" w:color="FFFFFF"/>
              <w:bottom w:val="nil" w:sz="6" w:space="0" w:color="auto"/>
              <w:right w:val="single" w:sz="4" w:space="0" w:color="000000"/>
            </w:tcBorders>
            <w:shd w:val="clear" w:color="auto" w:fill="D2D2D2"/>
          </w:tcPr>
          <w:p>
            <w:pPr/>
          </w:p>
        </w:tc>
        <w:tc>
          <w:tcPr>
            <w:tcW w:w="1008" w:type="dxa"/>
            <w:vMerge w:val="restart"/>
            <w:tcBorders>
              <w:top w:val="single" w:sz="4" w:space="0" w:color="000000"/>
              <w:left w:val="single" w:sz="10"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192,773,232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.90</w:t>
            </w:r>
          </w:p>
        </w:tc>
        <w:tc>
          <w:tcPr>
            <w:tcW w:w="422" w:type="dxa"/>
            <w:vMerge w:val="restart"/>
            <w:tcBorders>
              <w:top w:val="single" w:sz="4" w:space="0" w:color="000000"/>
              <w:left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5"/>
              <w:ind w:left="58" w:right="0"/>
              <w:jc w:val="left"/>
              <w:rPr>
                <w:rFonts w:ascii="Times New Roman" w:hAnsi="Times New Roman" w:cs="Times New Roman" w:eastAsia="Times New Roman" w:hint="default"/>
                <w:sz w:val="18"/>
                <w:szCs w:val="18"/>
              </w:rPr>
            </w:pPr>
            <w:r>
              <w:rPr>
                <w:rFonts w:ascii="Times New Roman"/>
                <w:sz w:val="18"/>
              </w:rPr>
              <w:t>00%</w:t>
            </w:r>
          </w:p>
        </w:tc>
        <w:tc>
          <w:tcPr>
            <w:tcW w:w="846"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5,942,772.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22</w:t>
            </w:r>
          </w:p>
        </w:tc>
        <w:tc>
          <w:tcPr>
            <w:tcW w:w="70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3.08%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186,830,460.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68</w:t>
            </w:r>
          </w:p>
        </w:tc>
        <w:tc>
          <w:tcPr>
            <w:tcW w:w="1090"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69,008,167.6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01"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1000"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3,781,008.7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0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5.48%</w:t>
            </w:r>
          </w:p>
        </w:tc>
        <w:tc>
          <w:tcPr>
            <w:tcW w:w="1074"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65,227,158.9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r>
      <w:tr>
        <w:trPr>
          <w:trHeight w:val="391" w:hRule="exact"/>
        </w:trPr>
        <w:tc>
          <w:tcPr>
            <w:tcW w:w="1146" w:type="dxa"/>
            <w:tcBorders>
              <w:top w:val="nil" w:sz="6" w:space="0" w:color="auto"/>
              <w:left w:val="single" w:sz="13" w:space="0" w:color="FFFFFF"/>
              <w:bottom w:val="nil" w:sz="6" w:space="0" w:color="auto"/>
              <w:right w:val="single" w:sz="4" w:space="0" w:color="000000"/>
            </w:tcBorders>
            <w:shd w:val="clear" w:color="auto" w:fill="D2D2D2"/>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08" w:type="dxa"/>
            <w:vMerge/>
            <w:tcBorders>
              <w:left w:val="single" w:sz="10" w:space="0" w:color="D2D2D2"/>
              <w:right w:val="single" w:sz="4" w:space="0" w:color="000000"/>
            </w:tcBorders>
          </w:tcPr>
          <w:p>
            <w:pPr/>
          </w:p>
        </w:tc>
        <w:tc>
          <w:tcPr>
            <w:tcW w:w="422" w:type="dxa"/>
            <w:vMerge/>
            <w:tcBorders>
              <w:left w:val="single" w:sz="4" w:space="0" w:color="000000"/>
              <w:right w:val="single" w:sz="4" w:space="0" w:color="000000"/>
            </w:tcBorders>
          </w:tcPr>
          <w:p>
            <w:pPr/>
          </w:p>
        </w:tc>
        <w:tc>
          <w:tcPr>
            <w:tcW w:w="846" w:type="dxa"/>
            <w:vMerge/>
            <w:tcBorders>
              <w:left w:val="single" w:sz="4" w:space="0" w:color="000000"/>
              <w:right w:val="single" w:sz="4" w:space="0" w:color="000000"/>
            </w:tcBorders>
          </w:tcPr>
          <w:p>
            <w:pPr/>
          </w:p>
        </w:tc>
        <w:tc>
          <w:tcPr>
            <w:tcW w:w="707"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90" w:type="dxa"/>
            <w:vMerge/>
            <w:tcBorders>
              <w:left w:val="single" w:sz="4" w:space="0" w:color="000000"/>
              <w:right w:val="single" w:sz="4" w:space="0" w:color="000000"/>
            </w:tcBorders>
          </w:tcPr>
          <w:p>
            <w:pPr/>
          </w:p>
        </w:tc>
        <w:tc>
          <w:tcPr>
            <w:tcW w:w="701" w:type="dxa"/>
            <w:vMerge/>
            <w:tcBorders>
              <w:left w:val="single" w:sz="4" w:space="0" w:color="000000"/>
              <w:right w:val="single" w:sz="4" w:space="0" w:color="000000"/>
            </w:tcBorders>
          </w:tcPr>
          <w:p>
            <w:pPr/>
          </w:p>
        </w:tc>
        <w:tc>
          <w:tcPr>
            <w:tcW w:w="1000" w:type="dxa"/>
            <w:vMerge/>
            <w:tcBorders>
              <w:left w:val="single" w:sz="4" w:space="0" w:color="000000"/>
              <w:right w:val="single" w:sz="4" w:space="0" w:color="000000"/>
            </w:tcBorders>
          </w:tcPr>
          <w:p>
            <w:pPr/>
          </w:p>
        </w:tc>
        <w:tc>
          <w:tcPr>
            <w:tcW w:w="702" w:type="dxa"/>
            <w:vMerge/>
            <w:tcBorders>
              <w:left w:val="single" w:sz="4" w:space="0" w:color="000000"/>
              <w:right w:val="single" w:sz="4" w:space="0" w:color="000000"/>
            </w:tcBorders>
          </w:tcPr>
          <w:p>
            <w:pPr/>
          </w:p>
        </w:tc>
        <w:tc>
          <w:tcPr>
            <w:tcW w:w="1074" w:type="dxa"/>
            <w:vMerge/>
            <w:tcBorders>
              <w:left w:val="single" w:sz="4" w:space="0" w:color="000000"/>
              <w:right w:val="single" w:sz="4" w:space="0" w:color="000000"/>
            </w:tcBorders>
          </w:tcPr>
          <w:p>
            <w:pPr/>
          </w:p>
        </w:tc>
      </w:tr>
      <w:tr>
        <w:trPr>
          <w:trHeight w:val="162" w:hRule="exact"/>
        </w:trPr>
        <w:tc>
          <w:tcPr>
            <w:tcW w:w="1146" w:type="dxa"/>
            <w:tcBorders>
              <w:top w:val="nil" w:sz="6" w:space="0" w:color="auto"/>
              <w:left w:val="single" w:sz="13" w:space="0" w:color="FFFFFF"/>
              <w:bottom w:val="single" w:sz="4" w:space="0" w:color="000000"/>
              <w:right w:val="single" w:sz="4" w:space="0" w:color="000000"/>
            </w:tcBorders>
            <w:shd w:val="clear" w:color="auto" w:fill="D2D2D2"/>
          </w:tcPr>
          <w:p>
            <w:pPr/>
          </w:p>
        </w:tc>
        <w:tc>
          <w:tcPr>
            <w:tcW w:w="1008" w:type="dxa"/>
            <w:vMerge/>
            <w:tcBorders>
              <w:left w:val="single" w:sz="10" w:space="0" w:color="D2D2D2"/>
              <w:bottom w:val="single" w:sz="4" w:space="0" w:color="000000"/>
              <w:right w:val="single" w:sz="4" w:space="0" w:color="000000"/>
            </w:tcBorders>
          </w:tcPr>
          <w:p>
            <w:pPr/>
          </w:p>
        </w:tc>
        <w:tc>
          <w:tcPr>
            <w:tcW w:w="422" w:type="dxa"/>
            <w:vMerge/>
            <w:tcBorders>
              <w:left w:val="single" w:sz="4" w:space="0" w:color="000000"/>
              <w:bottom w:val="single" w:sz="4" w:space="0" w:color="000000"/>
              <w:right w:val="single" w:sz="4" w:space="0" w:color="000000"/>
            </w:tcBorders>
          </w:tcPr>
          <w:p>
            <w:pPr/>
          </w:p>
        </w:tc>
        <w:tc>
          <w:tcPr>
            <w:tcW w:w="846" w:type="dxa"/>
            <w:vMerge/>
            <w:tcBorders>
              <w:left w:val="single" w:sz="4" w:space="0" w:color="000000"/>
              <w:bottom w:val="single" w:sz="4" w:space="0" w:color="000000"/>
              <w:right w:val="single" w:sz="4" w:space="0" w:color="000000"/>
            </w:tcBorders>
          </w:tcPr>
          <w:p>
            <w:pPr/>
          </w:p>
        </w:tc>
        <w:tc>
          <w:tcPr>
            <w:tcW w:w="707"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90" w:type="dxa"/>
            <w:vMerge/>
            <w:tcBorders>
              <w:left w:val="single" w:sz="4" w:space="0" w:color="000000"/>
              <w:bottom w:val="single" w:sz="4" w:space="0" w:color="000000"/>
              <w:right w:val="single" w:sz="4" w:space="0" w:color="000000"/>
            </w:tcBorders>
          </w:tcPr>
          <w:p>
            <w:pPr/>
          </w:p>
        </w:tc>
        <w:tc>
          <w:tcPr>
            <w:tcW w:w="701" w:type="dxa"/>
            <w:vMerge/>
            <w:tcBorders>
              <w:left w:val="single" w:sz="4" w:space="0" w:color="000000"/>
              <w:bottom w:val="single" w:sz="4" w:space="0" w:color="000000"/>
              <w:right w:val="single" w:sz="4" w:space="0" w:color="000000"/>
            </w:tcBorders>
          </w:tcPr>
          <w:p>
            <w:pPr/>
          </w:p>
        </w:tc>
        <w:tc>
          <w:tcPr>
            <w:tcW w:w="1000" w:type="dxa"/>
            <w:vMerge/>
            <w:tcBorders>
              <w:left w:val="single" w:sz="4" w:space="0" w:color="000000"/>
              <w:bottom w:val="single" w:sz="4" w:space="0" w:color="000000"/>
              <w:right w:val="single" w:sz="4" w:space="0" w:color="000000"/>
            </w:tcBorders>
          </w:tcPr>
          <w:p>
            <w:pPr/>
          </w:p>
        </w:tc>
        <w:tc>
          <w:tcPr>
            <w:tcW w:w="702" w:type="dxa"/>
            <w:vMerge/>
            <w:tcBorders>
              <w:left w:val="single" w:sz="4" w:space="0" w:color="000000"/>
              <w:bottom w:val="single" w:sz="4" w:space="0" w:color="000000"/>
              <w:right w:val="single" w:sz="4" w:space="0" w:color="000000"/>
            </w:tcBorders>
          </w:tcPr>
          <w:p>
            <w:pPr/>
          </w:p>
        </w:tc>
        <w:tc>
          <w:tcPr>
            <w:tcW w:w="1074"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pStyle w:val="BodyText"/>
        <w:spacing w:line="240" w:lineRule="auto" w:before="51"/>
        <w:ind w:left="154" w:right="-20"/>
        <w:jc w:val="left"/>
      </w:pPr>
      <w:r>
        <w:rPr/>
        <w:t>期末单项金额重大并单项计提坏账准备的应收账款：</w:t>
      </w:r>
    </w:p>
    <w:p>
      <w:pPr>
        <w:pStyle w:val="BodyText"/>
        <w:spacing w:line="340" w:lineRule="auto" w:before="116"/>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0"/>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155,982,731.80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12,719,285.90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635,964.30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168,702,017.70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635,964.30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13,059,248.03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1,305,924.80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4,095,661.00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614,349.15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4,412,215.25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882,443.05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484,946.92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484,946.92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190,754,088.90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3,923,628.22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2.06%</w:t>
            </w:r>
          </w:p>
        </w:tc>
      </w:tr>
    </w:tbl>
    <w:p>
      <w:pPr>
        <w:pStyle w:val="BodyText"/>
        <w:spacing w:line="240" w:lineRule="auto" w:before="51"/>
        <w:ind w:left="154" w:right="0"/>
        <w:jc w:val="left"/>
      </w:pPr>
      <w:r>
        <w:rPr/>
        <w:t>组合中，采用余额百分比法计提坏账准备的应收账款：</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本期计提、收回或转回的坏账准备情况" w:id="216"/>
      <w:bookmarkEnd w:id="216"/>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本期计提坏账准备金额</w:t>
      </w:r>
      <w:r>
        <w:rPr>
          <w:spacing w:val="-46"/>
        </w:rPr>
        <w:t> </w:t>
      </w:r>
      <w:r>
        <w:rPr>
          <w:rFonts w:ascii="Times New Roman" w:hAnsi="Times New Roman" w:cs="Times New Roman" w:eastAsia="Times New Roman" w:hint="default"/>
        </w:rPr>
        <w:t>157,385.32</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3）按欠款方归集的期末余额前五名的应收账款情况" w:id="217"/>
      <w:bookmarkEnd w:id="217"/>
      <w:r>
        <w:rPr>
          <w:b w:val="0"/>
          <w:bCs w:val="0"/>
        </w:rPr>
      </w: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39" w:type="dxa"/>
        <w:tblLayout w:type="fixed"/>
        <w:tblCellMar>
          <w:top w:w="0" w:type="dxa"/>
          <w:left w:w="0" w:type="dxa"/>
          <w:bottom w:w="0" w:type="dxa"/>
          <w:right w:w="0" w:type="dxa"/>
        </w:tblCellMar>
        <w:tblLook w:val="01E0"/>
      </w:tblPr>
      <w:tblGrid>
        <w:gridCol w:w="1868"/>
        <w:gridCol w:w="2537"/>
        <w:gridCol w:w="2395"/>
        <w:gridCol w:w="2859"/>
      </w:tblGrid>
      <w:tr>
        <w:trPr>
          <w:trHeight w:val="383" w:hRule="exact"/>
        </w:trPr>
        <w:tc>
          <w:tcPr>
            <w:tcW w:w="1868"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6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7791"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21" w:hRule="exact"/>
        </w:trPr>
        <w:tc>
          <w:tcPr>
            <w:tcW w:w="1868" w:type="dxa"/>
            <w:vMerge/>
            <w:tcBorders>
              <w:left w:val="single" w:sz="4" w:space="0" w:color="000000"/>
              <w:bottom w:val="single" w:sz="4" w:space="0" w:color="000000"/>
              <w:right w:val="single" w:sz="4" w:space="0" w:color="000000"/>
            </w:tcBorders>
            <w:shd w:val="clear" w:color="auto" w:fill="D9D9D9"/>
          </w:tcPr>
          <w:p>
            <w:pPr/>
          </w:p>
        </w:tc>
        <w:tc>
          <w:tcPr>
            <w:tcW w:w="25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right="66"/>
              <w:jc w:val="righ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占应收账款合计数的比例</w:t>
            </w:r>
            <w:r>
              <w:rPr>
                <w:rFonts w:ascii="Times New Roman" w:hAnsi="Times New Roman" w:cs="Times New Roman" w:eastAsia="Times New Roman" w:hint="default"/>
                <w:sz w:val="18"/>
                <w:szCs w:val="18"/>
              </w:rPr>
              <w:t>(%)</w:t>
            </w:r>
          </w:p>
        </w:tc>
        <w:tc>
          <w:tcPr>
            <w:tcW w:w="28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422"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13,278,193.48</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6.89</w:t>
            </w:r>
          </w:p>
        </w:tc>
        <w:tc>
          <w:tcPr>
            <w:tcW w:w="2859" w:type="dxa"/>
            <w:tcBorders>
              <w:top w:val="single" w:sz="4" w:space="0" w:color="000000"/>
              <w:left w:val="single" w:sz="4" w:space="0" w:color="000000"/>
              <w:bottom w:val="single" w:sz="4" w:space="0" w:color="000000"/>
              <w:right w:val="single" w:sz="4" w:space="0" w:color="000000"/>
            </w:tcBorders>
          </w:tcPr>
          <w:p>
            <w:pPr/>
          </w:p>
        </w:tc>
      </w:tr>
      <w:tr>
        <w:trPr>
          <w:trHeight w:val="422"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9,007,600.00</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4.67</w:t>
            </w:r>
          </w:p>
        </w:tc>
        <w:tc>
          <w:tcPr>
            <w:tcW w:w="2859" w:type="dxa"/>
            <w:tcBorders>
              <w:top w:val="single" w:sz="4" w:space="0" w:color="000000"/>
              <w:left w:val="single" w:sz="4" w:space="0" w:color="000000"/>
              <w:bottom w:val="single" w:sz="4" w:space="0" w:color="000000"/>
              <w:right w:val="single" w:sz="4" w:space="0" w:color="000000"/>
            </w:tcBorders>
          </w:tcPr>
          <w:p>
            <w:pPr/>
          </w:p>
        </w:tc>
      </w:tr>
      <w:tr>
        <w:trPr>
          <w:trHeight w:val="421"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8,829,166.03</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4.58</w:t>
            </w:r>
          </w:p>
        </w:tc>
        <w:tc>
          <w:tcPr>
            <w:tcW w:w="2859" w:type="dxa"/>
            <w:tcBorders>
              <w:top w:val="single" w:sz="4" w:space="0" w:color="000000"/>
              <w:left w:val="single" w:sz="4" w:space="0" w:color="000000"/>
              <w:bottom w:val="single" w:sz="4" w:space="0" w:color="000000"/>
              <w:right w:val="single" w:sz="4" w:space="0" w:color="000000"/>
            </w:tcBorders>
          </w:tcPr>
          <w:p>
            <w:pPr/>
          </w:p>
        </w:tc>
      </w:tr>
      <w:tr>
        <w:trPr>
          <w:trHeight w:val="42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7,152,034.00</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3.71</w:t>
            </w:r>
          </w:p>
        </w:tc>
        <w:tc>
          <w:tcPr>
            <w:tcW w:w="2859" w:type="dxa"/>
            <w:tcBorders>
              <w:top w:val="single" w:sz="4" w:space="0" w:color="000000"/>
              <w:left w:val="single" w:sz="4" w:space="0" w:color="000000"/>
              <w:bottom w:val="single" w:sz="4" w:space="0" w:color="000000"/>
              <w:right w:val="single" w:sz="4" w:space="0" w:color="000000"/>
            </w:tcBorders>
          </w:tcPr>
          <w:p>
            <w:pPr/>
          </w:p>
        </w:tc>
      </w:tr>
      <w:tr>
        <w:trPr>
          <w:trHeight w:val="422"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3,520,780.00</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1.83</w:t>
            </w:r>
          </w:p>
        </w:tc>
        <w:tc>
          <w:tcPr>
            <w:tcW w:w="2859" w:type="dxa"/>
            <w:tcBorders>
              <w:top w:val="single" w:sz="4" w:space="0" w:color="000000"/>
              <w:left w:val="single" w:sz="4" w:space="0" w:color="000000"/>
              <w:bottom w:val="single" w:sz="4" w:space="0" w:color="000000"/>
              <w:right w:val="single" w:sz="4" w:space="0" w:color="000000"/>
            </w:tcBorders>
          </w:tcPr>
          <w:p>
            <w:pPr/>
          </w:p>
        </w:tc>
      </w:tr>
      <w:tr>
        <w:trPr>
          <w:trHeight w:val="422" w:hRule="exact"/>
        </w:trPr>
        <w:tc>
          <w:tcPr>
            <w:tcW w:w="18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41,787,773.51</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21.68</w:t>
            </w:r>
          </w:p>
        </w:tc>
        <w:tc>
          <w:tcPr>
            <w:tcW w:w="285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right="0"/>
        <w:jc w:val="left"/>
        <w:rPr>
          <w:b w:val="0"/>
          <w:bCs w:val="0"/>
        </w:rPr>
      </w:pPr>
      <w:bookmarkStart w:name="5、预付款项" w:id="218"/>
      <w:bookmarkEnd w:id="218"/>
      <w:r>
        <w:rPr>
          <w:b w:val="0"/>
          <w:bCs w:val="0"/>
        </w:rPr>
      </w:r>
      <w:r>
        <w:rPr>
          <w:rFonts w:ascii="Times New Roman" w:hAnsi="Times New Roman" w:cs="Times New Roman" w:eastAsia="Times New Roman" w:hint="default"/>
        </w:rPr>
        <w:t>5</w:t>
      </w:r>
      <w:r>
        <w:rPr/>
        <w:t>、预付款项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预付款项按账龄列示" w:id="219"/>
      <w:bookmarkEnd w:id="219"/>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26,641,066.53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99.37%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7,100,216.34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99.43%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123,451.00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5,142.00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9,832.00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36,020.00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0.50%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26,810,369.53</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7,141,358.34</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按预付对象归集的期末余额前五名的预付款情况" w:id="220"/>
      <w:bookmarkEnd w:id="220"/>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39" w:type="dxa"/>
        <w:tblLayout w:type="fixed"/>
        <w:tblCellMar>
          <w:top w:w="0" w:type="dxa"/>
          <w:left w:w="0" w:type="dxa"/>
          <w:bottom w:w="0" w:type="dxa"/>
          <w:right w:w="0" w:type="dxa"/>
        </w:tblCellMar>
        <w:tblLook w:val="01E0"/>
      </w:tblPr>
      <w:tblGrid>
        <w:gridCol w:w="3831"/>
        <w:gridCol w:w="2896"/>
        <w:gridCol w:w="2932"/>
      </w:tblGrid>
      <w:tr>
        <w:trPr>
          <w:trHeight w:val="654" w:hRule="exact"/>
        </w:trPr>
        <w:tc>
          <w:tcPr>
            <w:tcW w:w="383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预付对象</w:t>
            </w:r>
          </w:p>
        </w:tc>
        <w:tc>
          <w:tcPr>
            <w:tcW w:w="28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20"/>
              <w:ind w:left="666" w:right="665" w:firstLine="74"/>
              <w:jc w:val="left"/>
              <w:rPr>
                <w:rFonts w:ascii="宋体" w:hAnsi="宋体" w:cs="宋体" w:eastAsia="宋体" w:hint="default"/>
                <w:sz w:val="18"/>
                <w:szCs w:val="18"/>
              </w:rPr>
            </w:pPr>
            <w:r>
              <w:rPr>
                <w:rFonts w:ascii="宋体" w:hAnsi="宋体" w:cs="宋体" w:eastAsia="宋体" w:hint="default"/>
                <w:sz w:val="18"/>
                <w:szCs w:val="18"/>
              </w:rPr>
              <w:t>占预付款期末余额 合计数的比例（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22" w:hRule="exact"/>
        </w:trPr>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4,180,000.00</w:t>
            </w:r>
          </w:p>
        </w:tc>
        <w:tc>
          <w:tcPr>
            <w:tcW w:w="2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15.59</w:t>
            </w:r>
          </w:p>
        </w:tc>
      </w:tr>
      <w:tr>
        <w:trPr>
          <w:trHeight w:val="422" w:hRule="exact"/>
        </w:trPr>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3,000,000.00</w:t>
            </w:r>
          </w:p>
        </w:tc>
        <w:tc>
          <w:tcPr>
            <w:tcW w:w="2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11.19</w:t>
            </w:r>
          </w:p>
        </w:tc>
      </w:tr>
      <w:tr>
        <w:trPr>
          <w:trHeight w:val="421" w:hRule="exact"/>
        </w:trPr>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2,800,000.00</w:t>
            </w:r>
          </w:p>
        </w:tc>
        <w:tc>
          <w:tcPr>
            <w:tcW w:w="2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10.44</w:t>
            </w:r>
          </w:p>
        </w:tc>
      </w:tr>
      <w:tr>
        <w:trPr>
          <w:trHeight w:val="422" w:hRule="exact"/>
        </w:trPr>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2,689,000.00</w:t>
            </w:r>
          </w:p>
        </w:tc>
        <w:tc>
          <w:tcPr>
            <w:tcW w:w="2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10.03</w:t>
            </w:r>
          </w:p>
        </w:tc>
      </w:tr>
      <w:tr>
        <w:trPr>
          <w:trHeight w:val="422" w:hRule="exact"/>
        </w:trPr>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2,280,105.23</w:t>
            </w:r>
          </w:p>
        </w:tc>
        <w:tc>
          <w:tcPr>
            <w:tcW w:w="2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8.5</w:t>
            </w:r>
          </w:p>
        </w:tc>
      </w:tr>
      <w:tr>
        <w:trPr>
          <w:trHeight w:val="422" w:hRule="exact"/>
        </w:trPr>
        <w:tc>
          <w:tcPr>
            <w:tcW w:w="383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14,949,105.23</w:t>
            </w:r>
          </w:p>
        </w:tc>
        <w:tc>
          <w:tcPr>
            <w:tcW w:w="2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55.75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其他应收款" w:id="221"/>
      <w:bookmarkEnd w:id="221"/>
      <w:r>
        <w:rPr>
          <w:b w:val="0"/>
          <w:bCs w:val="0"/>
        </w:rPr>
      </w:r>
      <w:r>
        <w:rPr>
          <w:rFonts w:ascii="Times New Roman" w:hAnsi="Times New Roman" w:cs="Times New Roman" w:eastAsia="Times New Roman" w:hint="default"/>
        </w:rPr>
        <w:t>6</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分类披露" w:id="222"/>
      <w:bookmarkEnd w:id="222"/>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861"/>
        <w:gridCol w:w="1103"/>
        <w:gridCol w:w="701"/>
        <w:gridCol w:w="1001"/>
        <w:gridCol w:w="521"/>
        <w:gridCol w:w="1091"/>
        <w:gridCol w:w="1091"/>
        <w:gridCol w:w="702"/>
        <w:gridCol w:w="1001"/>
        <w:gridCol w:w="521"/>
        <w:gridCol w:w="1091"/>
      </w:tblGrid>
      <w:tr>
        <w:trPr>
          <w:trHeight w:val="403" w:hRule="exact"/>
        </w:trPr>
        <w:tc>
          <w:tcPr>
            <w:tcW w:w="861" w:type="dxa"/>
            <w:vMerge w:val="restart"/>
            <w:tcBorders>
              <w:top w:val="single" w:sz="4" w:space="0" w:color="000000"/>
              <w:left w:val="single" w:sz="4" w:space="0" w:color="000000"/>
              <w:right w:val="single" w:sz="4" w:space="0" w:color="000000"/>
            </w:tcBorders>
            <w:shd w:val="clear" w:color="auto" w:fill="D2D2D2"/>
          </w:tcPr>
          <w:p>
            <w:pPr/>
          </w:p>
        </w:tc>
        <w:tc>
          <w:tcPr>
            <w:tcW w:w="441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0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861" w:type="dxa"/>
            <w:vMerge/>
            <w:tcBorders>
              <w:left w:val="single" w:sz="4" w:space="0" w:color="000000"/>
              <w:bottom w:val="nil" w:sz="6" w:space="0" w:color="auto"/>
              <w:right w:val="single" w:sz="4" w:space="0" w:color="000000"/>
            </w:tcBorders>
            <w:shd w:val="clear" w:color="auto" w:fill="D2D2D2"/>
          </w:tcPr>
          <w:p>
            <w:pPr/>
          </w:p>
        </w:tc>
        <w:tc>
          <w:tcPr>
            <w:tcW w:w="180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91" w:type="dxa"/>
            <w:vMerge w:val="restart"/>
            <w:tcBorders>
              <w:top w:val="single" w:sz="4" w:space="0" w:color="000000"/>
              <w:left w:val="single" w:sz="4" w:space="0" w:color="000000"/>
              <w:right w:val="single" w:sz="4" w:space="0" w:color="000000"/>
            </w:tcBorders>
            <w:shd w:val="clear" w:color="auto" w:fill="D2D2D2"/>
          </w:tcPr>
          <w:p>
            <w:pPr/>
          </w:p>
        </w:tc>
        <w:tc>
          <w:tcPr>
            <w:tcW w:w="179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3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91"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8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5"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1804" w:type="dxa"/>
            <w:gridSpan w:val="2"/>
            <w:vMerge/>
            <w:tcBorders>
              <w:left w:val="single" w:sz="4" w:space="0" w:color="000000"/>
              <w:bottom w:val="single" w:sz="4" w:space="0" w:color="000000"/>
              <w:right w:val="single" w:sz="4" w:space="0" w:color="000000"/>
            </w:tcBorders>
            <w:shd w:val="clear" w:color="auto" w:fill="D2D2D2"/>
          </w:tcPr>
          <w:p>
            <w:pPr/>
          </w:p>
        </w:tc>
        <w:tc>
          <w:tcPr>
            <w:tcW w:w="1522" w:type="dxa"/>
            <w:gridSpan w:val="2"/>
            <w:vMerge/>
            <w:tcBorders>
              <w:left w:val="single" w:sz="4" w:space="0" w:color="000000"/>
              <w:bottom w:val="single" w:sz="4" w:space="0" w:color="000000"/>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c>
          <w:tcPr>
            <w:tcW w:w="1793" w:type="dxa"/>
            <w:gridSpan w:val="2"/>
            <w:vMerge/>
            <w:tcBorders>
              <w:left w:val="single" w:sz="4" w:space="0" w:color="000000"/>
              <w:bottom w:val="single" w:sz="4" w:space="0" w:color="000000"/>
              <w:right w:val="single" w:sz="4" w:space="0" w:color="000000"/>
            </w:tcBorders>
            <w:shd w:val="clear" w:color="auto" w:fill="D2D2D2"/>
          </w:tcPr>
          <w:p>
            <w:pPr/>
          </w:p>
        </w:tc>
        <w:tc>
          <w:tcPr>
            <w:tcW w:w="1522" w:type="dxa"/>
            <w:gridSpan w:val="2"/>
            <w:vMerge/>
            <w:tcBorders>
              <w:left w:val="single" w:sz="4" w:space="0" w:color="000000"/>
              <w:bottom w:val="single" w:sz="4" w:space="0" w:color="000000"/>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r>
      <w:tr>
        <w:trPr>
          <w:trHeight w:val="162" w:hRule="exact"/>
        </w:trPr>
        <w:tc>
          <w:tcPr>
            <w:tcW w:w="861" w:type="dxa"/>
            <w:vMerge/>
            <w:tcBorders>
              <w:left w:val="single" w:sz="4" w:space="0" w:color="000000"/>
              <w:bottom w:val="nil" w:sz="6" w:space="0" w:color="auto"/>
              <w:right w:val="single" w:sz="4" w:space="0" w:color="000000"/>
            </w:tcBorders>
            <w:shd w:val="clear" w:color="auto" w:fill="D2D2D2"/>
          </w:tcPr>
          <w:p>
            <w:pPr/>
          </w:p>
        </w:tc>
        <w:tc>
          <w:tcPr>
            <w:tcW w:w="1103" w:type="dxa"/>
            <w:tcBorders>
              <w:top w:val="single" w:sz="4" w:space="0" w:color="000000"/>
              <w:left w:val="single" w:sz="4" w:space="0" w:color="000000"/>
              <w:bottom w:val="nil" w:sz="6" w:space="0" w:color="auto"/>
              <w:right w:val="single" w:sz="4" w:space="0" w:color="000000"/>
            </w:tcBorders>
            <w:shd w:val="clear" w:color="auto" w:fill="D2D2D2"/>
          </w:tcPr>
          <w:p>
            <w:pPr/>
          </w:p>
        </w:tc>
        <w:tc>
          <w:tcPr>
            <w:tcW w:w="7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52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75" w:right="75"/>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0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8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91" w:type="dxa"/>
            <w:tcBorders>
              <w:top w:val="single" w:sz="4" w:space="0" w:color="000000"/>
              <w:left w:val="single" w:sz="4" w:space="0" w:color="000000"/>
              <w:bottom w:val="nil" w:sz="6" w:space="0" w:color="auto"/>
              <w:right w:val="single" w:sz="4" w:space="0" w:color="000000"/>
            </w:tcBorders>
            <w:shd w:val="clear" w:color="auto" w:fill="D2D2D2"/>
          </w:tcPr>
          <w:p>
            <w:pPr/>
          </w:p>
        </w:tc>
        <w:tc>
          <w:tcPr>
            <w:tcW w:w="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52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75" w:right="73"/>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0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8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1" w:hRule="exact"/>
        </w:trPr>
        <w:tc>
          <w:tcPr>
            <w:tcW w:w="861" w:type="dxa"/>
            <w:vMerge w:val="restart"/>
            <w:tcBorders>
              <w:top w:val="nil" w:sz="6" w:space="0" w:color="auto"/>
              <w:left w:val="single" w:sz="4" w:space="0" w:color="000000"/>
              <w:right w:val="single" w:sz="4" w:space="0" w:color="000000"/>
            </w:tcBorders>
            <w:shd w:val="clear" w:color="auto" w:fill="D2D2D2"/>
          </w:tcPr>
          <w:p>
            <w:pPr/>
          </w:p>
        </w:tc>
        <w:tc>
          <w:tcPr>
            <w:tcW w:w="11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21"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5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21"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861" w:type="dxa"/>
            <w:vMerge/>
            <w:tcBorders>
              <w:left w:val="single" w:sz="4" w:space="0" w:color="000000"/>
              <w:right w:val="single" w:sz="4" w:space="0" w:color="000000"/>
            </w:tcBorders>
            <w:shd w:val="clear" w:color="auto" w:fill="D2D2D2"/>
          </w:tcPr>
          <w:p>
            <w:pPr/>
          </w:p>
        </w:tc>
        <w:tc>
          <w:tcPr>
            <w:tcW w:w="1103" w:type="dxa"/>
            <w:vMerge/>
            <w:tcBorders>
              <w:left w:val="single" w:sz="4" w:space="0" w:color="000000"/>
              <w:bottom w:val="nil" w:sz="6" w:space="0" w:color="auto"/>
              <w:right w:val="single" w:sz="4" w:space="0" w:color="000000"/>
            </w:tcBorders>
            <w:shd w:val="clear" w:color="auto" w:fill="D2D2D2"/>
          </w:tcPr>
          <w:p>
            <w:pPr/>
          </w:p>
        </w:tc>
        <w:tc>
          <w:tcPr>
            <w:tcW w:w="701" w:type="dxa"/>
            <w:vMerge/>
            <w:tcBorders>
              <w:left w:val="single" w:sz="4" w:space="0" w:color="000000"/>
              <w:bottom w:val="nil" w:sz="6" w:space="0" w:color="auto"/>
              <w:right w:val="single" w:sz="4" w:space="0" w:color="000000"/>
            </w:tcBorders>
            <w:shd w:val="clear" w:color="auto" w:fill="D2D2D2"/>
          </w:tcPr>
          <w:p>
            <w:pPr/>
          </w:p>
        </w:tc>
        <w:tc>
          <w:tcPr>
            <w:tcW w:w="1001" w:type="dxa"/>
            <w:vMerge/>
            <w:tcBorders>
              <w:left w:val="single" w:sz="4" w:space="0" w:color="000000"/>
              <w:bottom w:val="nil" w:sz="6" w:space="0" w:color="auto"/>
              <w:right w:val="single" w:sz="4" w:space="0" w:color="000000"/>
            </w:tcBorders>
            <w:shd w:val="clear" w:color="auto" w:fill="D2D2D2"/>
          </w:tcPr>
          <w:p>
            <w:pPr/>
          </w:p>
        </w:tc>
        <w:tc>
          <w:tcPr>
            <w:tcW w:w="521" w:type="dxa"/>
            <w:vMerge/>
            <w:tcBorders>
              <w:left w:val="single" w:sz="4" w:space="0" w:color="000000"/>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c>
          <w:tcPr>
            <w:tcW w:w="702" w:type="dxa"/>
            <w:vMerge/>
            <w:tcBorders>
              <w:left w:val="single" w:sz="4" w:space="0" w:color="000000"/>
              <w:bottom w:val="nil" w:sz="6" w:space="0" w:color="auto"/>
              <w:right w:val="single" w:sz="4" w:space="0" w:color="000000"/>
            </w:tcBorders>
            <w:shd w:val="clear" w:color="auto" w:fill="D2D2D2"/>
          </w:tcPr>
          <w:p>
            <w:pPr/>
          </w:p>
        </w:tc>
        <w:tc>
          <w:tcPr>
            <w:tcW w:w="1001" w:type="dxa"/>
            <w:vMerge/>
            <w:tcBorders>
              <w:left w:val="single" w:sz="4" w:space="0" w:color="000000"/>
              <w:bottom w:val="nil" w:sz="6" w:space="0" w:color="auto"/>
              <w:right w:val="single" w:sz="4" w:space="0" w:color="000000"/>
            </w:tcBorders>
            <w:shd w:val="clear" w:color="auto" w:fill="D2D2D2"/>
          </w:tcPr>
          <w:p>
            <w:pPr/>
          </w:p>
        </w:tc>
        <w:tc>
          <w:tcPr>
            <w:tcW w:w="521" w:type="dxa"/>
            <w:vMerge/>
            <w:tcBorders>
              <w:left w:val="single" w:sz="4" w:space="0" w:color="000000"/>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861" w:type="dxa"/>
            <w:vMerge/>
            <w:tcBorders>
              <w:left w:val="single" w:sz="4" w:space="0" w:color="000000"/>
              <w:bottom w:val="single" w:sz="4" w:space="0" w:color="000000"/>
              <w:right w:val="single" w:sz="4" w:space="0" w:color="000000"/>
            </w:tcBorders>
            <w:shd w:val="clear" w:color="auto" w:fill="D2D2D2"/>
          </w:tcPr>
          <w:p>
            <w:pPr/>
          </w:p>
        </w:tc>
        <w:tc>
          <w:tcPr>
            <w:tcW w:w="1103" w:type="dxa"/>
            <w:tcBorders>
              <w:top w:val="nil" w:sz="6" w:space="0" w:color="auto"/>
              <w:left w:val="single" w:sz="4" w:space="0" w:color="000000"/>
              <w:bottom w:val="single" w:sz="4" w:space="0" w:color="000000"/>
              <w:right w:val="single" w:sz="4" w:space="0" w:color="000000"/>
            </w:tcBorders>
            <w:shd w:val="clear" w:color="auto" w:fill="D2D2D2"/>
          </w:tcPr>
          <w:p>
            <w:pPr/>
          </w:p>
        </w:tc>
        <w:tc>
          <w:tcPr>
            <w:tcW w:w="7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521" w:type="dxa"/>
            <w:vMerge/>
            <w:tcBorders>
              <w:left w:val="single" w:sz="4" w:space="0" w:color="000000"/>
              <w:bottom w:val="single" w:sz="4" w:space="0" w:color="000000"/>
              <w:right w:val="single" w:sz="4" w:space="0" w:color="000000"/>
            </w:tcBorders>
            <w:shd w:val="clear" w:color="auto" w:fill="D2D2D2"/>
          </w:tcPr>
          <w:p>
            <w:pPr/>
          </w:p>
        </w:tc>
        <w:tc>
          <w:tcPr>
            <w:tcW w:w="1091" w:type="dxa"/>
            <w:vMerge/>
            <w:tcBorders>
              <w:left w:val="single" w:sz="4" w:space="0" w:color="000000"/>
              <w:bottom w:val="single" w:sz="4" w:space="0" w:color="000000"/>
              <w:right w:val="single" w:sz="4" w:space="0" w:color="000000"/>
            </w:tcBorders>
            <w:shd w:val="clear" w:color="auto" w:fill="D2D2D2"/>
          </w:tcPr>
          <w:p>
            <w:pPr/>
          </w:p>
        </w:tc>
        <w:tc>
          <w:tcPr>
            <w:tcW w:w="1091" w:type="dxa"/>
            <w:tcBorders>
              <w:top w:val="nil" w:sz="6" w:space="0" w:color="auto"/>
              <w:left w:val="single" w:sz="4" w:space="0" w:color="000000"/>
              <w:bottom w:val="single" w:sz="4" w:space="0" w:color="000000"/>
              <w:right w:val="single" w:sz="4" w:space="0" w:color="000000"/>
            </w:tcBorders>
            <w:shd w:val="clear" w:color="auto" w:fill="D2D2D2"/>
          </w:tcPr>
          <w:p>
            <w:pPr/>
          </w:p>
        </w:tc>
        <w:tc>
          <w:tcPr>
            <w:tcW w:w="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521" w:type="dxa"/>
            <w:vMerge/>
            <w:tcBorders>
              <w:left w:val="single" w:sz="4" w:space="0" w:color="000000"/>
              <w:bottom w:val="single" w:sz="4" w:space="0" w:color="000000"/>
              <w:right w:val="single" w:sz="4" w:space="0" w:color="000000"/>
            </w:tcBorders>
            <w:shd w:val="clear" w:color="auto" w:fill="D2D2D2"/>
          </w:tcPr>
          <w:p>
            <w:pPr/>
          </w:p>
        </w:tc>
        <w:tc>
          <w:tcPr>
            <w:tcW w:w="1091" w:type="dxa"/>
            <w:vMerge/>
            <w:tcBorders>
              <w:left w:val="single" w:sz="4" w:space="0" w:color="000000"/>
              <w:bottom w:val="single" w:sz="4" w:space="0" w:color="000000"/>
              <w:right w:val="single" w:sz="4" w:space="0" w:color="000000"/>
            </w:tcBorders>
            <w:shd w:val="clear" w:color="auto" w:fill="D2D2D2"/>
          </w:tcPr>
          <w:p>
            <w:pPr/>
          </w:p>
        </w:tc>
      </w:tr>
      <w:tr>
        <w:trPr>
          <w:trHeight w:val="1962" w:hRule="exact"/>
        </w:trPr>
        <w:tc>
          <w:tcPr>
            <w:tcW w:w="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17"/>
              <w:jc w:val="both"/>
              <w:rPr>
                <w:rFonts w:ascii="宋体" w:hAnsi="宋体" w:cs="宋体" w:eastAsia="宋体" w:hint="default"/>
                <w:sz w:val="18"/>
                <w:szCs w:val="18"/>
              </w:rPr>
            </w:pPr>
            <w:r>
              <w:rPr>
                <w:rFonts w:ascii="宋体" w:hAnsi="宋体" w:cs="宋体" w:eastAsia="宋体" w:hint="default"/>
                <w:sz w:val="18"/>
                <w:szCs w:val="18"/>
              </w:rPr>
              <w:t>按信用风 险特征组 合计提坏 账准备的 其他应收 款</w:t>
            </w:r>
          </w:p>
        </w:tc>
        <w:tc>
          <w:tcPr>
            <w:tcW w:w="11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44,438,767.43</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1,913,733.43</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4.31%</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42,525,034.00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20,818,405.60</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1,194,689.10</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5.74%</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19,623,716.50</w:t>
            </w:r>
          </w:p>
        </w:tc>
      </w:tr>
      <w:tr>
        <w:trPr>
          <w:trHeight w:val="403" w:hRule="exact"/>
        </w:trPr>
        <w:tc>
          <w:tcPr>
            <w:tcW w:w="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5" w:right="0"/>
              <w:jc w:val="left"/>
              <w:rPr>
                <w:rFonts w:ascii="Times New Roman" w:hAnsi="Times New Roman" w:cs="Times New Roman" w:eastAsia="Times New Roman" w:hint="default"/>
                <w:sz w:val="18"/>
                <w:szCs w:val="18"/>
              </w:rPr>
            </w:pPr>
            <w:r>
              <w:rPr>
                <w:rFonts w:ascii="Times New Roman"/>
                <w:sz w:val="18"/>
              </w:rPr>
              <w:t>44,438,767.43</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100.00%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1,913,733.43</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4.31%</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42,525,034.00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20,818,405.60</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100.00%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1,194,689.10</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5.74%</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19,623,716.50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pStyle w:val="BodyText"/>
        <w:spacing w:line="240" w:lineRule="auto" w:before="51"/>
        <w:ind w:left="154" w:right="-20"/>
        <w:jc w:val="left"/>
      </w:pPr>
      <w:r>
        <w:rPr/>
        <w:t>期末单项金额重大并单项计提坏账准备的其他应收款：</w:t>
      </w:r>
    </w:p>
    <w:p>
      <w:pPr>
        <w:pStyle w:val="BodyText"/>
        <w:spacing w:line="340" w:lineRule="auto" w:before="116"/>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0"/>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23,217,248.23</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5,985,235.59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49" w:right="0"/>
              <w:jc w:val="left"/>
              <w:rPr>
                <w:rFonts w:ascii="Times New Roman" w:hAnsi="Times New Roman" w:cs="Times New Roman" w:eastAsia="Times New Roman" w:hint="default"/>
                <w:sz w:val="18"/>
                <w:szCs w:val="18"/>
              </w:rPr>
            </w:pPr>
            <w:r>
              <w:rPr>
                <w:rFonts w:ascii="Times New Roman"/>
                <w:sz w:val="18"/>
              </w:rPr>
              <w:t>299,261.78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1"/>
        <w:gridCol w:w="2394"/>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29,202,483.82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299,261.78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4,365,699.02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436,569.90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3,058,167.20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458,725.08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1,615,163.34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323,032.67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396,144.00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396,144.00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38,637,657.38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1,913,733.43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4.95%</w:t>
            </w:r>
          </w:p>
        </w:tc>
      </w:tr>
    </w:tbl>
    <w:p>
      <w:pPr>
        <w:pStyle w:val="BodyText"/>
        <w:spacing w:line="240" w:lineRule="auto" w:before="51"/>
        <w:ind w:left="154" w:right="0"/>
        <w:jc w:val="left"/>
      </w:pPr>
      <w:r>
        <w:rPr/>
        <w:t>组合中，采用余额百分比法计提坏账准备的其他应收款：</w:t>
      </w:r>
    </w:p>
    <w:p>
      <w:pPr>
        <w:pStyle w:val="BodyText"/>
        <w:spacing w:line="338" w:lineRule="auto" w:before="117"/>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3"/>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本期计提、收回或转回的坏账准备情况" w:id="223"/>
      <w:bookmarkEnd w:id="223"/>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本期计提坏账准备金额</w:t>
      </w:r>
      <w:r>
        <w:rPr>
          <w:spacing w:val="-46"/>
        </w:rPr>
        <w:t> </w:t>
      </w:r>
      <w:r>
        <w:rPr>
          <w:rFonts w:ascii="Times New Roman" w:hAnsi="Times New Roman" w:cs="Times New Roman" w:eastAsia="Times New Roman" w:hint="default"/>
        </w:rPr>
        <w:t>621,436.56</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3）其他应收款按款项性质分类情况" w:id="224"/>
      <w:bookmarkEnd w:id="224"/>
      <w:r>
        <w:rPr>
          <w:b w:val="0"/>
          <w:bCs w:val="0"/>
        </w:rPr>
      </w: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押金、保证金等</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31,817,814.02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11,366,942.42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6,314,095.77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5,171,860.27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6,306,857.64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4,279,602.91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44,438,767.43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20,818,405.60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按欠款方归集的期末余额前五名的其他应收款情况" w:id="225"/>
      <w:bookmarkEnd w:id="225"/>
      <w:r>
        <w:rPr>
          <w:b w:val="0"/>
          <w:bCs w:val="0"/>
        </w:rPr>
      </w: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招投标保证金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2,245,527.70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109,967.79</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2,177,040.00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326,556.00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1,827,034.00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4.11%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45,241.70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1,213,500.00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个月、</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23,765.00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1,039,850.00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个月、</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12,970.00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8,502,951.70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19.13%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518,500.49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7、存货" w:id="226"/>
      <w:bookmarkEnd w:id="226"/>
      <w:r>
        <w:rPr>
          <w:b w:val="0"/>
          <w:bCs w:val="0"/>
        </w:rPr>
      </w:r>
      <w:r>
        <w:rPr>
          <w:rFonts w:ascii="Times New Roman" w:hAnsi="Times New Roman" w:cs="Times New Roman" w:eastAsia="Times New Roman" w:hint="default"/>
        </w:rPr>
        <w:t>7</w:t>
      </w:r>
      <w:r>
        <w:rPr/>
        <w:t>、存货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存货分类" w:id="227"/>
      <w:bookmarkEnd w:id="227"/>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1,405,593.38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1,405,593.38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1,547,123.40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1,547,123.40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6,653,316.41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6,653,316.41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71,665.90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71,665.90</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77,754,658.89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77,754,658.89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10,576.27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10,576.27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87,371,268.35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87,371,268.35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71,665.90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71,665.90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8、其他流动资产" w:id="228"/>
      <w:bookmarkEnd w:id="228"/>
      <w:r>
        <w:rPr>
          <w:b w:val="0"/>
          <w:bCs w:val="0"/>
        </w:rPr>
      </w:r>
      <w:r>
        <w:rPr>
          <w:rFonts w:ascii="Times New Roman" w:hAnsi="Times New Roman" w:cs="Times New Roman" w:eastAsia="Times New Roman" w:hint="default"/>
        </w:rPr>
        <w:t>8</w:t>
      </w:r>
      <w:r>
        <w:rPr/>
        <w:t>、其他流动资产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预交企业所得税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71,260.01</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未抵扣的进项税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18,683,564.36</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18,754,824.37</w:t>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9、持有至到期投资" w:id="229"/>
      <w:bookmarkEnd w:id="229"/>
      <w:r>
        <w:rPr>
          <w:b w:val="0"/>
          <w:bCs w:val="0"/>
        </w:rPr>
      </w:r>
      <w:r>
        <w:rPr>
          <w:rFonts w:ascii="Times New Roman" w:hAnsi="Times New Roman" w:cs="Times New Roman" w:eastAsia="Times New Roman" w:hint="default"/>
        </w:rPr>
        <w:t>9</w:t>
      </w:r>
      <w:r>
        <w:rPr/>
        <w:t>、持有至到期投资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持有至到期投资情况" w:id="230"/>
      <w:bookmarkEnd w:id="230"/>
      <w:r>
        <w:rPr>
          <w:b w:val="0"/>
          <w:bCs w:val="0"/>
        </w:rPr>
      </w:r>
      <w:r>
        <w:rPr/>
        <w:t>（</w:t>
      </w:r>
      <w:r>
        <w:rPr>
          <w:rFonts w:ascii="Times New Roman" w:hAnsi="Times New Roman" w:cs="Times New Roman" w:eastAsia="Times New Roman" w:hint="default"/>
        </w:rPr>
        <w:t>1</w:t>
      </w:r>
      <w:r>
        <w:rPr/>
        <w:t>）持有至到期投资情况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9"/>
              <w:jc w:val="both"/>
              <w:rPr>
                <w:rFonts w:ascii="宋体" w:hAnsi="宋体" w:cs="宋体" w:eastAsia="宋体" w:hint="default"/>
                <w:sz w:val="18"/>
                <w:szCs w:val="18"/>
              </w:rPr>
            </w:pPr>
            <w:r>
              <w:rPr>
                <w:rFonts w:ascii="宋体" w:hAnsi="宋体" w:cs="宋体" w:eastAsia="宋体" w:hint="default"/>
                <w:sz w:val="18"/>
                <w:szCs w:val="18"/>
              </w:rPr>
              <w:t>四川信托汇证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号集合资金信托 计划</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1" w:right="0"/>
              <w:jc w:val="left"/>
              <w:rPr>
                <w:rFonts w:ascii="Times New Roman" w:hAnsi="Times New Roman" w:cs="Times New Roman" w:eastAsia="Times New Roman" w:hint="default"/>
                <w:sz w:val="18"/>
                <w:szCs w:val="18"/>
              </w:rPr>
            </w:pPr>
            <w:r>
              <w:rPr>
                <w:rFonts w:ascii="Times New Roman"/>
                <w:sz w:val="18"/>
              </w:rPr>
              <w:t>30,802,849.32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30,802,849.32</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59"/>
              <w:jc w:val="both"/>
              <w:rPr>
                <w:rFonts w:ascii="宋体" w:hAnsi="宋体" w:cs="宋体" w:eastAsia="宋体" w:hint="default"/>
                <w:sz w:val="18"/>
                <w:szCs w:val="18"/>
              </w:rPr>
            </w:pPr>
            <w:r>
              <w:rPr>
                <w:rFonts w:ascii="宋体" w:hAnsi="宋体" w:cs="宋体" w:eastAsia="宋体" w:hint="default"/>
                <w:sz w:val="18"/>
                <w:szCs w:val="18"/>
              </w:rPr>
              <w:t>长江财富</w:t>
            </w:r>
            <w:r>
              <w:rPr>
                <w:rFonts w:ascii="Times New Roman" w:hAnsi="Times New Roman" w:cs="Times New Roman" w:eastAsia="Times New Roman" w:hint="default"/>
                <w:sz w:val="18"/>
                <w:szCs w:val="18"/>
              </w:rPr>
              <w:t>-</w:t>
            </w:r>
            <w:r>
              <w:rPr>
                <w:rFonts w:ascii="宋体" w:hAnsi="宋体" w:cs="宋体" w:eastAsia="宋体" w:hint="default"/>
                <w:sz w:val="18"/>
                <w:szCs w:val="18"/>
              </w:rPr>
              <w:t>中百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号专项资产管理 计划</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1" w:right="0"/>
              <w:jc w:val="left"/>
              <w:rPr>
                <w:rFonts w:ascii="Times New Roman" w:hAnsi="Times New Roman" w:cs="Times New Roman" w:eastAsia="Times New Roman" w:hint="default"/>
                <w:sz w:val="18"/>
                <w:szCs w:val="18"/>
              </w:rPr>
            </w:pPr>
            <w:r>
              <w:rPr>
                <w:rFonts w:ascii="Times New Roman"/>
                <w:sz w:val="18"/>
              </w:rPr>
              <w:t>50,131,095.90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50,131,095.90</w:t>
            </w:r>
          </w:p>
        </w:tc>
      </w:tr>
      <w:tr>
        <w:trPr>
          <w:trHeight w:val="133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9"/>
              <w:jc w:val="both"/>
              <w:rPr>
                <w:rFonts w:ascii="宋体" w:hAnsi="宋体" w:cs="宋体" w:eastAsia="宋体" w:hint="default"/>
                <w:sz w:val="18"/>
                <w:szCs w:val="18"/>
              </w:rPr>
            </w:pPr>
            <w:r>
              <w:rPr>
                <w:rFonts w:ascii="宋体" w:hAnsi="宋体" w:cs="宋体" w:eastAsia="宋体" w:hint="default"/>
                <w:sz w:val="18"/>
                <w:szCs w:val="18"/>
              </w:rPr>
              <w:t>中航信托天惠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 </w:t>
            </w:r>
            <w:r>
              <w:rPr>
                <w:rFonts w:ascii="宋体" w:hAnsi="宋体" w:cs="宋体" w:eastAsia="宋体" w:hint="default"/>
                <w:sz w:val="18"/>
                <w:szCs w:val="18"/>
              </w:rPr>
              <w:t>号信贷及车贷结 构化集合资金信 托（优先级）</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01" w:right="0"/>
              <w:jc w:val="left"/>
              <w:rPr>
                <w:rFonts w:ascii="Times New Roman" w:hAnsi="Times New Roman" w:cs="Times New Roman" w:eastAsia="Times New Roman" w:hint="default"/>
                <w:sz w:val="18"/>
                <w:szCs w:val="18"/>
              </w:rPr>
            </w:pPr>
            <w:r>
              <w:rPr>
                <w:rFonts w:ascii="Times New Roman"/>
                <w:sz w:val="18"/>
              </w:rPr>
              <w:t>10,226,849.32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10,226,849.32</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33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9"/>
              <w:jc w:val="both"/>
              <w:rPr>
                <w:rFonts w:ascii="宋体" w:hAnsi="宋体" w:cs="宋体" w:eastAsia="宋体" w:hint="default"/>
                <w:sz w:val="18"/>
                <w:szCs w:val="18"/>
              </w:rPr>
            </w:pPr>
            <w:r>
              <w:rPr>
                <w:rFonts w:ascii="宋体" w:hAnsi="宋体" w:cs="宋体" w:eastAsia="宋体" w:hint="default"/>
                <w:sz w:val="18"/>
                <w:szCs w:val="18"/>
              </w:rPr>
              <w:t>中航信托天惠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 </w:t>
            </w:r>
            <w:r>
              <w:rPr>
                <w:rFonts w:ascii="宋体" w:hAnsi="宋体" w:cs="宋体" w:eastAsia="宋体" w:hint="default"/>
                <w:sz w:val="18"/>
                <w:szCs w:val="18"/>
              </w:rPr>
              <w:t>号信贷及车贷结 构化集合资金信 托（优先级）</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10,261,369.86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10,261,369.86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101,422,164.40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101,422,164.40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0、长期股权投资" w:id="231"/>
      <w:bookmarkEnd w:id="231"/>
      <w:r>
        <w:rPr>
          <w:b w:val="0"/>
          <w:bCs w:val="0"/>
        </w:rPr>
      </w:r>
      <w:r>
        <w:rPr>
          <w:rFonts w:ascii="Times New Roman" w:hAnsi="Times New Roman" w:cs="Times New Roman" w:eastAsia="Times New Roman" w:hint="default"/>
        </w:rPr>
        <w:t>10</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704"/>
        <w:gridCol w:w="1086"/>
        <w:gridCol w:w="704"/>
        <w:gridCol w:w="707"/>
        <w:gridCol w:w="1001"/>
        <w:gridCol w:w="708"/>
        <w:gridCol w:w="865"/>
        <w:gridCol w:w="707"/>
        <w:gridCol w:w="708"/>
        <w:gridCol w:w="708"/>
        <w:gridCol w:w="1092"/>
        <w:gridCol w:w="704"/>
      </w:tblGrid>
      <w:tr>
        <w:trPr>
          <w:trHeight w:val="402" w:hRule="exact"/>
        </w:trPr>
        <w:tc>
          <w:tcPr>
            <w:tcW w:w="7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166" w:right="75" w:hanging="90"/>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10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109"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0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76" w:right="77"/>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1338" w:hRule="exact"/>
        </w:trPr>
        <w:tc>
          <w:tcPr>
            <w:tcW w:w="704" w:type="dxa"/>
            <w:vMerge/>
            <w:tcBorders>
              <w:left w:val="single" w:sz="4" w:space="0" w:color="000000"/>
              <w:bottom w:val="single" w:sz="4" w:space="0" w:color="000000"/>
              <w:right w:val="single" w:sz="4" w:space="0" w:color="000000"/>
            </w:tcBorders>
            <w:shd w:val="clear" w:color="auto" w:fill="D2D2D2"/>
          </w:tcPr>
          <w:p>
            <w:pPr/>
          </w:p>
        </w:tc>
        <w:tc>
          <w:tcPr>
            <w:tcW w:w="1086" w:type="dxa"/>
            <w:vMerge/>
            <w:tcBorders>
              <w:left w:val="single" w:sz="4" w:space="0" w:color="000000"/>
              <w:bottom w:val="single" w:sz="4" w:space="0" w:color="000000"/>
              <w:right w:val="single" w:sz="4" w:space="0" w:color="000000"/>
            </w:tcBorders>
            <w:shd w:val="clear" w:color="auto" w:fill="D2D2D2"/>
          </w:tcPr>
          <w:p>
            <w:pPr/>
          </w:p>
        </w:tc>
        <w:tc>
          <w:tcPr>
            <w:tcW w:w="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6" w:right="77" w:hanging="180"/>
              <w:jc w:val="left"/>
              <w:rPr>
                <w:rFonts w:ascii="宋体" w:hAnsi="宋体" w:cs="宋体" w:eastAsia="宋体" w:hint="default"/>
                <w:sz w:val="18"/>
                <w:szCs w:val="18"/>
              </w:rPr>
            </w:pPr>
            <w:r>
              <w:rPr>
                <w:rFonts w:ascii="宋体" w:hAnsi="宋体" w:cs="宋体" w:eastAsia="宋体" w:hint="default"/>
                <w:sz w:val="18"/>
                <w:szCs w:val="18"/>
              </w:rPr>
              <w:t>追加投 资</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8" w:right="77" w:hanging="180"/>
              <w:jc w:val="left"/>
              <w:rPr>
                <w:rFonts w:ascii="宋体" w:hAnsi="宋体" w:cs="宋体" w:eastAsia="宋体" w:hint="default"/>
                <w:sz w:val="18"/>
                <w:szCs w:val="18"/>
              </w:rPr>
            </w:pPr>
            <w:r>
              <w:rPr>
                <w:rFonts w:ascii="宋体" w:hAnsi="宋体" w:cs="宋体" w:eastAsia="宋体" w:hint="default"/>
                <w:sz w:val="18"/>
                <w:szCs w:val="18"/>
              </w:rPr>
              <w:t>减少投 资</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5" w:right="45"/>
              <w:jc w:val="center"/>
              <w:rPr>
                <w:rFonts w:ascii="宋体" w:hAnsi="宋体" w:cs="宋体" w:eastAsia="宋体" w:hint="default"/>
                <w:sz w:val="18"/>
                <w:szCs w:val="18"/>
              </w:rPr>
            </w:pPr>
            <w:r>
              <w:rPr>
                <w:rFonts w:ascii="宋体" w:hAnsi="宋体" w:cs="宋体" w:eastAsia="宋体" w:hint="default"/>
                <w:sz w:val="18"/>
                <w:szCs w:val="18"/>
              </w:rPr>
              <w:t>权益法下确 认的投资损 益</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9" w:right="77"/>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7" w:right="66"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8" w:right="77"/>
              <w:jc w:val="both"/>
              <w:rPr>
                <w:rFonts w:ascii="宋体" w:hAnsi="宋体" w:cs="宋体" w:eastAsia="宋体" w:hint="default"/>
                <w:sz w:val="18"/>
                <w:szCs w:val="18"/>
              </w:rPr>
            </w:pPr>
            <w:r>
              <w:rPr>
                <w:rFonts w:ascii="宋体" w:hAnsi="宋体" w:cs="宋体" w:eastAsia="宋体" w:hint="default"/>
                <w:sz w:val="18"/>
                <w:szCs w:val="18"/>
              </w:rPr>
              <w:t>宣告发 放现金 股利或 利润</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9" w:right="77"/>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92" w:type="dxa"/>
            <w:vMerge/>
            <w:tcBorders>
              <w:left w:val="single" w:sz="4" w:space="0" w:color="000000"/>
              <w:bottom w:val="single" w:sz="4" w:space="0" w:color="000000"/>
              <w:right w:val="single" w:sz="4" w:space="0" w:color="000000"/>
            </w:tcBorders>
            <w:shd w:val="clear" w:color="auto" w:fill="D2D2D2"/>
          </w:tcPr>
          <w:p>
            <w:pPr/>
          </w:p>
        </w:tc>
        <w:tc>
          <w:tcPr>
            <w:tcW w:w="70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69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69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广东同 望科技 股份有 限公司</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53,208,911.08</w:t>
            </w:r>
          </w:p>
        </w:tc>
        <w:tc>
          <w:tcPr>
            <w:tcW w:w="704"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1,572,147.20</w:t>
            </w:r>
          </w:p>
        </w:tc>
        <w:tc>
          <w:tcPr>
            <w:tcW w:w="708"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519,740.00</w:t>
            </w:r>
          </w:p>
        </w:tc>
        <w:tc>
          <w:tcPr>
            <w:tcW w:w="70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55,300,798.28</w:t>
            </w:r>
          </w:p>
        </w:tc>
        <w:tc>
          <w:tcPr>
            <w:tcW w:w="7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53,208,911.08</w:t>
            </w:r>
          </w:p>
        </w:tc>
        <w:tc>
          <w:tcPr>
            <w:tcW w:w="704"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1,572,147.20</w:t>
            </w:r>
          </w:p>
        </w:tc>
        <w:tc>
          <w:tcPr>
            <w:tcW w:w="708"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519,740.00</w:t>
            </w:r>
          </w:p>
        </w:tc>
        <w:tc>
          <w:tcPr>
            <w:tcW w:w="70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55,300,798.28</w:t>
            </w:r>
          </w:p>
        </w:tc>
        <w:tc>
          <w:tcPr>
            <w:tcW w:w="7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53,208,911.08</w:t>
            </w:r>
          </w:p>
        </w:tc>
        <w:tc>
          <w:tcPr>
            <w:tcW w:w="704"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1,572,147.20</w:t>
            </w:r>
          </w:p>
        </w:tc>
        <w:tc>
          <w:tcPr>
            <w:tcW w:w="708"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519,740.00</w:t>
            </w:r>
          </w:p>
        </w:tc>
        <w:tc>
          <w:tcPr>
            <w:tcW w:w="70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55,300,798.28</w:t>
            </w:r>
          </w:p>
        </w:tc>
        <w:tc>
          <w:tcPr>
            <w:tcW w:w="70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1、投资性房地产" w:id="232"/>
      <w:bookmarkEnd w:id="232"/>
      <w:r>
        <w:rPr>
          <w:b w:val="0"/>
          <w:bCs w:val="0"/>
        </w:rPr>
      </w:r>
      <w:r>
        <w:rPr>
          <w:rFonts w:ascii="Times New Roman" w:hAnsi="Times New Roman" w:cs="Times New Roman" w:eastAsia="Times New Roman" w:hint="default"/>
        </w:rPr>
        <w:t>11</w:t>
      </w:r>
      <w:r>
        <w:rPr/>
        <w:t>、投资性房地产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采用成本计量模式的投资性房地产" w:id="233"/>
      <w:bookmarkEnd w:id="233"/>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35,438,827.01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35,438,827.01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9"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4" w:right="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）企业合并增加</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35,438,827.01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35,438,827.01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35,438,827.01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35,438,827.01</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4,116,607.97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4,116,607.97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77,773.41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77,773.41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）企业合并增加</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4,038,834.56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4,038,834.56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4,116,607.97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4,116,607.97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31,322,219.04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31,322,219.04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2、固定资产" w:id="234"/>
      <w:bookmarkEnd w:id="234"/>
      <w:r>
        <w:rPr>
          <w:b w:val="0"/>
          <w:bCs w:val="0"/>
        </w:rPr>
      </w:r>
      <w:r>
        <w:rPr>
          <w:rFonts w:ascii="Times New Roman" w:hAnsi="Times New Roman" w:cs="Times New Roman" w:eastAsia="Times New Roman" w:hint="default"/>
        </w:rPr>
        <w:t>12</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固定资产情况" w:id="235"/>
      <w:bookmarkEnd w:id="235"/>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616"/>
        <w:gridCol w:w="1616"/>
        <w:gridCol w:w="1617"/>
        <w:gridCol w:w="1615"/>
        <w:gridCol w:w="1616"/>
        <w:gridCol w:w="1615"/>
      </w:tblGrid>
      <w:tr>
        <w:trPr>
          <w:trHeight w:val="402" w:hRule="exact"/>
        </w:trPr>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6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6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61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6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615" w:type="dxa"/>
            <w:tcBorders>
              <w:top w:val="single" w:sz="4" w:space="0" w:color="000000"/>
              <w:left w:val="single" w:sz="13" w:space="0" w:color="D9D9D9"/>
              <w:bottom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16" w:type="dxa"/>
            <w:tcBorders>
              <w:top w:val="single" w:sz="4" w:space="0" w:color="000000"/>
              <w:left w:val="single" w:sz="4" w:space="0" w:color="000000"/>
              <w:bottom w:val="single" w:sz="4" w:space="0" w:color="000000"/>
              <w:right w:val="single" w:sz="4" w:space="0" w:color="000000"/>
            </w:tcBorders>
          </w:tcPr>
          <w:p>
            <w:pPr/>
          </w:p>
        </w:tc>
        <w:tc>
          <w:tcPr>
            <w:tcW w:w="1617"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149,394,499.34</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10,619,893.77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25,408,733.29</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1,903,592.89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187,326,719.29</w:t>
            </w:r>
          </w:p>
        </w:tc>
      </w:tr>
      <w:tr>
        <w:trPr>
          <w:trHeight w:val="402" w:hRule="exact"/>
        </w:trPr>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80,100,534.32</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5,889,705.15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9,012,172.57</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3,826,988.88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98,829,400.92</w:t>
            </w:r>
          </w:p>
        </w:tc>
      </w:tr>
      <w:tr>
        <w:trPr>
          <w:trHeight w:val="402" w:hRule="exact"/>
        </w:trPr>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3,809,568.69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6,309,851.49</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294,015.09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10,413,435.27</w:t>
            </w:r>
          </w:p>
        </w:tc>
      </w:tr>
      <w:tr>
        <w:trPr>
          <w:trHeight w:val="714" w:hRule="exact"/>
        </w:trPr>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0"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 转入</w:t>
            </w:r>
          </w:p>
        </w:tc>
        <w:tc>
          <w:tcPr>
            <w:tcW w:w="1616" w:type="dxa"/>
            <w:tcBorders>
              <w:top w:val="single" w:sz="4" w:space="0" w:color="000000"/>
              <w:left w:val="single" w:sz="4" w:space="0" w:color="000000"/>
              <w:bottom w:val="single" w:sz="4" w:space="0" w:color="000000"/>
              <w:right w:val="single" w:sz="4" w:space="0" w:color="000000"/>
            </w:tcBorders>
          </w:tcPr>
          <w:p>
            <w:pPr/>
          </w:p>
        </w:tc>
        <w:tc>
          <w:tcPr>
            <w:tcW w:w="1617"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21" w:type="dxa"/>
        <w:tblLayout w:type="fixed"/>
        <w:tblCellMar>
          <w:top w:w="0" w:type="dxa"/>
          <w:left w:w="0" w:type="dxa"/>
          <w:bottom w:w="0" w:type="dxa"/>
          <w:right w:w="0" w:type="dxa"/>
        </w:tblCellMar>
        <w:tblLook w:val="01E0"/>
      </w:tblPr>
      <w:tblGrid>
        <w:gridCol w:w="1616"/>
        <w:gridCol w:w="1616"/>
        <w:gridCol w:w="1617"/>
        <w:gridCol w:w="1615"/>
        <w:gridCol w:w="1616"/>
        <w:gridCol w:w="1615"/>
      </w:tblGrid>
      <w:tr>
        <w:trPr>
          <w:trHeight w:val="714" w:hRule="exact"/>
        </w:trPr>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0"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 增加</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80,100,534.32</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2,080,136.46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2,702,321.08</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3,532,973.79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88,415,965.65</w:t>
            </w:r>
          </w:p>
        </w:tc>
      </w:tr>
      <w:tr>
        <w:trPr>
          <w:trHeight w:val="402" w:hRule="exact"/>
        </w:trPr>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8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118,700.00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3,927,065.18</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4,046,565.18</w:t>
            </w:r>
          </w:p>
        </w:tc>
      </w:tr>
      <w:tr>
        <w:trPr>
          <w:trHeight w:val="714" w:hRule="exact"/>
        </w:trPr>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118,700.00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3,927,065.18</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4,046,565.18</w:t>
            </w:r>
          </w:p>
        </w:tc>
      </w:tr>
      <w:tr>
        <w:trPr>
          <w:trHeight w:val="402" w:hRule="exact"/>
        </w:trPr>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229,495,033.66</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16,390,898.92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30,493,840.68</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5,729,781.77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282,109,555.03</w:t>
            </w:r>
          </w:p>
        </w:tc>
      </w:tr>
      <w:tr>
        <w:trPr>
          <w:trHeight w:val="402" w:hRule="exact"/>
        </w:trPr>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616" w:type="dxa"/>
            <w:tcBorders>
              <w:top w:val="single" w:sz="4" w:space="0" w:color="000000"/>
              <w:left w:val="single" w:sz="4" w:space="0" w:color="000000"/>
              <w:bottom w:val="single" w:sz="4" w:space="0" w:color="000000"/>
              <w:right w:val="single" w:sz="4" w:space="0" w:color="000000"/>
            </w:tcBorders>
          </w:tcPr>
          <w:p>
            <w:pPr/>
          </w:p>
        </w:tc>
        <w:tc>
          <w:tcPr>
            <w:tcW w:w="1617"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21,523,024.34</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7,369,217.96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14,100,950.21</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1,274,074.45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44,267,266.96</w:t>
            </w:r>
          </w:p>
        </w:tc>
      </w:tr>
      <w:tr>
        <w:trPr>
          <w:trHeight w:val="402" w:hRule="exact"/>
        </w:trPr>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8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8,206,044.46</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1,877,398.65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5,824,957.39</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2,348,873.60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18,257,274.10</w:t>
            </w:r>
          </w:p>
        </w:tc>
      </w:tr>
      <w:tr>
        <w:trPr>
          <w:trHeight w:val="402" w:hRule="exact"/>
        </w:trPr>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3,731,249.56</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1,121,130.06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4,815,563.48</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386,068.50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10,054,011.60</w:t>
            </w:r>
          </w:p>
        </w:tc>
      </w:tr>
      <w:tr>
        <w:trPr>
          <w:trHeight w:val="714" w:hRule="exact"/>
        </w:trPr>
        <w:tc>
          <w:tcPr>
            <w:tcW w:w="16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2" w:lineRule="auto" w:before="51"/>
              <w:ind w:left="22" w:right="50"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 增加</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4,474,794.90</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756,268.59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1,009,393.92</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1,962,805.09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8,203,262.50</w:t>
            </w:r>
          </w:p>
        </w:tc>
      </w:tr>
      <w:tr>
        <w:trPr>
          <w:trHeight w:val="402" w:hRule="exact"/>
        </w:trPr>
        <w:tc>
          <w:tcPr>
            <w:tcW w:w="16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8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48,160.24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3,542,527.33</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760.00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3,591,447.57</w:t>
            </w:r>
          </w:p>
        </w:tc>
      </w:tr>
      <w:tr>
        <w:trPr>
          <w:trHeight w:val="714" w:hRule="exact"/>
        </w:trPr>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48,160.24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3,542,527.33</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760.00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3,591,447.57</w:t>
            </w:r>
          </w:p>
        </w:tc>
      </w:tr>
      <w:tr>
        <w:trPr>
          <w:trHeight w:val="402" w:hRule="exact"/>
        </w:trPr>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29,729,068.80</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9,198,456.37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16,383,380.27</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3,622,188.05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58,933,093.49</w:t>
            </w:r>
          </w:p>
        </w:tc>
      </w:tr>
      <w:tr>
        <w:trPr>
          <w:trHeight w:val="402" w:hRule="exact"/>
        </w:trPr>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16" w:type="dxa"/>
            <w:tcBorders>
              <w:top w:val="single" w:sz="4" w:space="0" w:color="000000"/>
              <w:left w:val="single" w:sz="4" w:space="0" w:color="000000"/>
              <w:bottom w:val="single" w:sz="4" w:space="0" w:color="000000"/>
              <w:right w:val="single" w:sz="4" w:space="0" w:color="000000"/>
            </w:tcBorders>
          </w:tcPr>
          <w:p>
            <w:pPr/>
          </w:p>
        </w:tc>
        <w:tc>
          <w:tcPr>
            <w:tcW w:w="1617"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16" w:type="dxa"/>
            <w:tcBorders>
              <w:top w:val="single" w:sz="4" w:space="0" w:color="000000"/>
              <w:left w:val="single" w:sz="4" w:space="0" w:color="000000"/>
              <w:bottom w:val="single" w:sz="4" w:space="0" w:color="000000"/>
              <w:right w:val="single" w:sz="4" w:space="0" w:color="000000"/>
            </w:tcBorders>
          </w:tcPr>
          <w:p>
            <w:pPr/>
          </w:p>
        </w:tc>
        <w:tc>
          <w:tcPr>
            <w:tcW w:w="1617"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8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16" w:type="dxa"/>
            <w:tcBorders>
              <w:top w:val="single" w:sz="4" w:space="0" w:color="000000"/>
              <w:left w:val="single" w:sz="4" w:space="0" w:color="000000"/>
              <w:bottom w:val="single" w:sz="4" w:space="0" w:color="000000"/>
              <w:right w:val="single" w:sz="4" w:space="0" w:color="000000"/>
            </w:tcBorders>
          </w:tcPr>
          <w:p>
            <w:pPr/>
          </w:p>
        </w:tc>
        <w:tc>
          <w:tcPr>
            <w:tcW w:w="1617"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16" w:type="dxa"/>
            <w:tcBorders>
              <w:top w:val="single" w:sz="4" w:space="0" w:color="000000"/>
              <w:left w:val="single" w:sz="4" w:space="0" w:color="000000"/>
              <w:bottom w:val="single" w:sz="4" w:space="0" w:color="000000"/>
              <w:right w:val="single" w:sz="4" w:space="0" w:color="000000"/>
            </w:tcBorders>
          </w:tcPr>
          <w:p>
            <w:pPr/>
          </w:p>
        </w:tc>
        <w:tc>
          <w:tcPr>
            <w:tcW w:w="1617"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8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16" w:type="dxa"/>
            <w:tcBorders>
              <w:top w:val="single" w:sz="4" w:space="0" w:color="000000"/>
              <w:left w:val="single" w:sz="4" w:space="0" w:color="000000"/>
              <w:bottom w:val="single" w:sz="4" w:space="0" w:color="000000"/>
              <w:right w:val="single" w:sz="4" w:space="0" w:color="000000"/>
            </w:tcBorders>
          </w:tcPr>
          <w:p>
            <w:pPr/>
          </w:p>
        </w:tc>
        <w:tc>
          <w:tcPr>
            <w:tcW w:w="1617"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16" w:type="dxa"/>
            <w:tcBorders>
              <w:top w:val="single" w:sz="4" w:space="0" w:color="000000"/>
              <w:left w:val="single" w:sz="4" w:space="0" w:color="000000"/>
              <w:bottom w:val="single" w:sz="4" w:space="0" w:color="000000"/>
              <w:right w:val="single" w:sz="4" w:space="0" w:color="000000"/>
            </w:tcBorders>
          </w:tcPr>
          <w:p>
            <w:pPr/>
          </w:p>
        </w:tc>
        <w:tc>
          <w:tcPr>
            <w:tcW w:w="1617"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16" w:type="dxa"/>
            <w:tcBorders>
              <w:top w:val="single" w:sz="4" w:space="0" w:color="000000"/>
              <w:left w:val="single" w:sz="4" w:space="0" w:color="000000"/>
              <w:bottom w:val="single" w:sz="4" w:space="0" w:color="000000"/>
              <w:right w:val="single" w:sz="4" w:space="0" w:color="000000"/>
            </w:tcBorders>
          </w:tcPr>
          <w:p>
            <w:pPr/>
          </w:p>
        </w:tc>
        <w:tc>
          <w:tcPr>
            <w:tcW w:w="1617"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16" w:type="dxa"/>
            <w:tcBorders>
              <w:top w:val="single" w:sz="4" w:space="0" w:color="000000"/>
              <w:left w:val="single" w:sz="4" w:space="0" w:color="000000"/>
              <w:bottom w:val="single" w:sz="4" w:space="0" w:color="000000"/>
              <w:right w:val="single" w:sz="4" w:space="0" w:color="000000"/>
            </w:tcBorders>
          </w:tcPr>
          <w:p>
            <w:pPr/>
          </w:p>
        </w:tc>
        <w:tc>
          <w:tcPr>
            <w:tcW w:w="1617"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8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199,765,964.86</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7,192,442.55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14,110,460.41</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2,107,593.72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223,176,461.54</w:t>
            </w:r>
          </w:p>
        </w:tc>
      </w:tr>
      <w:tr>
        <w:trPr>
          <w:trHeight w:val="402" w:hRule="exact"/>
        </w:trPr>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8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127,871,475.00</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3,250,675.81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11,307,783.08</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629,518.44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143,059,452.33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3、无形资产" w:id="236"/>
      <w:bookmarkEnd w:id="236"/>
      <w:r>
        <w:rPr>
          <w:b w:val="0"/>
          <w:bCs w:val="0"/>
        </w:rPr>
      </w:r>
      <w:r>
        <w:rPr>
          <w:rFonts w:ascii="Times New Roman" w:hAnsi="Times New Roman" w:cs="Times New Roman" w:eastAsia="Times New Roman" w:hint="default"/>
        </w:rPr>
        <w:t>13</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无形资产情况" w:id="237"/>
      <w:bookmarkEnd w:id="237"/>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1832"/>
        <w:gridCol w:w="1134"/>
        <w:gridCol w:w="1134"/>
        <w:gridCol w:w="662"/>
        <w:gridCol w:w="1207"/>
        <w:gridCol w:w="1197"/>
        <w:gridCol w:w="1196"/>
        <w:gridCol w:w="1195"/>
      </w:tblGrid>
      <w:tr>
        <w:trPr>
          <w:trHeight w:val="161" w:hRule="exact"/>
        </w:trPr>
        <w:tc>
          <w:tcPr>
            <w:tcW w:w="1832"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51" w:right="48" w:hanging="90"/>
              <w:jc w:val="left"/>
              <w:rPr>
                <w:rFonts w:ascii="宋体" w:hAnsi="宋体" w:cs="宋体" w:eastAsia="宋体" w:hint="default"/>
                <w:sz w:val="18"/>
                <w:szCs w:val="18"/>
              </w:rPr>
            </w:pPr>
            <w:r>
              <w:rPr>
                <w:rFonts w:ascii="宋体" w:hAnsi="宋体" w:cs="宋体" w:eastAsia="宋体" w:hint="default"/>
                <w:sz w:val="18"/>
                <w:szCs w:val="18"/>
              </w:rPr>
              <w:t>非专利 技术</w:t>
            </w:r>
          </w:p>
        </w:tc>
        <w:tc>
          <w:tcPr>
            <w:tcW w:w="1207" w:type="dxa"/>
            <w:vMerge w:val="restart"/>
            <w:tcBorders>
              <w:top w:val="single" w:sz="4" w:space="0" w:color="000000"/>
              <w:left w:val="single" w:sz="13" w:space="0" w:color="D2D2D2"/>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外购软件</w:t>
            </w:r>
          </w:p>
        </w:tc>
        <w:tc>
          <w:tcPr>
            <w:tcW w:w="1197"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自主研发</w:t>
            </w:r>
          </w:p>
        </w:tc>
        <w:tc>
          <w:tcPr>
            <w:tcW w:w="1196"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92" w:hRule="exact"/>
        </w:trPr>
        <w:tc>
          <w:tcPr>
            <w:tcW w:w="18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737"/>
              <w:jc w:val="right"/>
              <w:rPr>
                <w:rFonts w:ascii="宋体" w:hAnsi="宋体" w:cs="宋体" w:eastAsia="宋体" w:hint="default"/>
                <w:sz w:val="18"/>
                <w:szCs w:val="18"/>
              </w:rPr>
            </w:pPr>
            <w:r>
              <w:rPr>
                <w:rFonts w:ascii="宋体" w:hAnsi="宋体" w:cs="宋体" w:eastAsia="宋体" w:hint="default"/>
                <w:sz w:val="18"/>
                <w:szCs w:val="18"/>
              </w:rPr>
              <w:t>项目</w:t>
            </w:r>
          </w:p>
        </w:tc>
        <w:tc>
          <w:tcPr>
            <w:tcW w:w="11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1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9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662" w:type="dxa"/>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shd w:val="clear" w:color="auto" w:fill="D9D9D9"/>
          </w:tcPr>
          <w:p>
            <w:pPr/>
          </w:p>
        </w:tc>
        <w:tc>
          <w:tcPr>
            <w:tcW w:w="1197" w:type="dxa"/>
            <w:vMerge/>
            <w:tcBorders>
              <w:left w:val="single" w:sz="4" w:space="0" w:color="000000"/>
              <w:right w:val="single" w:sz="4" w:space="0" w:color="000000"/>
            </w:tcBorders>
            <w:shd w:val="clear" w:color="auto" w:fill="D9D9D9"/>
          </w:tcPr>
          <w:p>
            <w:pPr/>
          </w:p>
        </w:tc>
        <w:tc>
          <w:tcPr>
            <w:tcW w:w="1196" w:type="dxa"/>
            <w:vMerge/>
            <w:tcBorders>
              <w:left w:val="single" w:sz="4" w:space="0" w:color="000000"/>
              <w:right w:val="single" w:sz="4" w:space="0" w:color="000000"/>
            </w:tcBorders>
            <w:shd w:val="clear" w:color="auto" w:fill="D9D9D9"/>
          </w:tcPr>
          <w:p>
            <w:pPr/>
          </w:p>
        </w:tc>
        <w:tc>
          <w:tcPr>
            <w:tcW w:w="1195" w:type="dxa"/>
            <w:vMerge/>
            <w:tcBorders>
              <w:left w:val="single" w:sz="4" w:space="0" w:color="000000"/>
              <w:right w:val="single" w:sz="4" w:space="0" w:color="000000"/>
            </w:tcBorders>
            <w:shd w:val="clear" w:color="auto" w:fill="D2D2D2"/>
          </w:tcPr>
          <w:p>
            <w:pPr/>
          </w:p>
        </w:tc>
      </w:tr>
      <w:tr>
        <w:trPr>
          <w:trHeight w:val="161" w:hRule="exact"/>
        </w:trPr>
        <w:tc>
          <w:tcPr>
            <w:tcW w:w="183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2" w:type="dxa"/>
            <w:vMerge/>
            <w:tcBorders>
              <w:left w:val="single" w:sz="4" w:space="0" w:color="000000"/>
              <w:bottom w:val="single" w:sz="4" w:space="0" w:color="000000"/>
              <w:right w:val="single" w:sz="4" w:space="0" w:color="000000"/>
            </w:tcBorders>
            <w:shd w:val="clear" w:color="auto" w:fill="D2D2D2"/>
          </w:tcPr>
          <w:p>
            <w:pPr/>
          </w:p>
        </w:tc>
        <w:tc>
          <w:tcPr>
            <w:tcW w:w="1207" w:type="dxa"/>
            <w:vMerge/>
            <w:tcBorders>
              <w:left w:val="single" w:sz="13" w:space="0" w:color="D2D2D2"/>
              <w:bottom w:val="single" w:sz="4" w:space="0" w:color="000000"/>
              <w:right w:val="single" w:sz="4" w:space="0" w:color="000000"/>
            </w:tcBorders>
            <w:shd w:val="clear" w:color="auto" w:fill="D9D9D9"/>
          </w:tcPr>
          <w:p>
            <w:pPr/>
          </w:p>
        </w:tc>
        <w:tc>
          <w:tcPr>
            <w:tcW w:w="1197" w:type="dxa"/>
            <w:vMerge/>
            <w:tcBorders>
              <w:left w:val="single" w:sz="4" w:space="0" w:color="000000"/>
              <w:bottom w:val="single" w:sz="4" w:space="0" w:color="000000"/>
              <w:right w:val="single" w:sz="4" w:space="0" w:color="000000"/>
            </w:tcBorders>
            <w:shd w:val="clear" w:color="auto" w:fill="D9D9D9"/>
          </w:tcPr>
          <w:p>
            <w:pPr/>
          </w:p>
        </w:tc>
        <w:tc>
          <w:tcPr>
            <w:tcW w:w="1196" w:type="dxa"/>
            <w:vMerge/>
            <w:tcBorders>
              <w:left w:val="single" w:sz="4" w:space="0" w:color="000000"/>
              <w:bottom w:val="single" w:sz="4" w:space="0" w:color="000000"/>
              <w:right w:val="single" w:sz="4" w:space="0" w:color="000000"/>
            </w:tcBorders>
            <w:shd w:val="clear" w:color="auto" w:fill="D9D9D9"/>
          </w:tcPr>
          <w:p>
            <w:pPr/>
          </w:p>
        </w:tc>
        <w:tc>
          <w:tcPr>
            <w:tcW w:w="119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29"/>
              <w:jc w:val="right"/>
              <w:rPr>
                <w:rFonts w:ascii="宋体" w:hAnsi="宋体" w:cs="宋体" w:eastAsia="宋体" w:hint="default"/>
                <w:sz w:val="18"/>
                <w:szCs w:val="18"/>
              </w:rPr>
            </w:pPr>
            <w:r>
              <w:rPr>
                <w:rFonts w:ascii="宋体" w:hAnsi="宋体" w:cs="宋体" w:eastAsia="宋体" w:hint="default"/>
                <w:sz w:val="18"/>
                <w:szCs w:val="18"/>
              </w:rPr>
              <w:t>一、账面原值</w:t>
            </w:r>
          </w:p>
        </w:tc>
        <w:tc>
          <w:tcPr>
            <w:tcW w:w="1134" w:type="dxa"/>
            <w:tcBorders>
              <w:top w:val="single" w:sz="4" w:space="0" w:color="000000"/>
              <w:left w:val="single" w:sz="13" w:space="0" w:color="D2D2D2"/>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844"/>
        <w:gridCol w:w="1134"/>
        <w:gridCol w:w="1134"/>
        <w:gridCol w:w="673"/>
        <w:gridCol w:w="1195"/>
        <w:gridCol w:w="1197"/>
        <w:gridCol w:w="1196"/>
        <w:gridCol w:w="1195"/>
      </w:tblGrid>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20,786,156.00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18,112,568.59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68,377,704.05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107,276,428.64</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521,277.90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400,000.00</w:t>
            </w:r>
          </w:p>
        </w:tc>
        <w:tc>
          <w:tcPr>
            <w:tcW w:w="67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4,773,788.33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28,170,370.77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16,220,000.00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50,085,437.00</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521,277.90</w:t>
            </w:r>
          </w:p>
        </w:tc>
        <w:tc>
          <w:tcPr>
            <w:tcW w:w="113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2,420,838.20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2,942,116.10</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28,170,370.77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28,170,370.77</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400,000.00</w:t>
            </w:r>
          </w:p>
        </w:tc>
        <w:tc>
          <w:tcPr>
            <w:tcW w:w="67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2,352,950.13</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16,220,000.00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18,972,950.13</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21,307,433.90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400,000.00</w:t>
            </w:r>
          </w:p>
        </w:tc>
        <w:tc>
          <w:tcPr>
            <w:tcW w:w="67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22,886,356.92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96,548,074.82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16,220,000.00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157,361,865.64</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696,303.52</w:t>
            </w:r>
          </w:p>
        </w:tc>
        <w:tc>
          <w:tcPr>
            <w:tcW w:w="113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9,883,961.88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21,217,443.89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31,797,709.29</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428,764.56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273,333.23</w:t>
            </w:r>
          </w:p>
        </w:tc>
        <w:tc>
          <w:tcPr>
            <w:tcW w:w="67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2,160,874.81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7,542,029.67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3,244,000.00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13,649,002.27</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428,764.56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6,666.67</w:t>
            </w:r>
          </w:p>
        </w:tc>
        <w:tc>
          <w:tcPr>
            <w:tcW w:w="67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1,108,382.78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7,542,029.67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270,333.33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9,356,177.01</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合并增加</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266,666.56</w:t>
            </w:r>
          </w:p>
        </w:tc>
        <w:tc>
          <w:tcPr>
            <w:tcW w:w="67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1,052,492.03</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2,973,666.67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4,292,825.26</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1,125,068.08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273,333.23</w:t>
            </w:r>
          </w:p>
        </w:tc>
        <w:tc>
          <w:tcPr>
            <w:tcW w:w="67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12,044,836.69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28,759,473.56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3,244,000.00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45,446,711.56</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20,182,365.82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126,666.77</w:t>
            </w:r>
          </w:p>
        </w:tc>
        <w:tc>
          <w:tcPr>
            <w:tcW w:w="67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10,841,520.23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67,788,601.26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12,976,000.00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111,915,154.08</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20,089,852.48</w:t>
            </w:r>
          </w:p>
        </w:tc>
        <w:tc>
          <w:tcPr>
            <w:tcW w:w="113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8,228,606.71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47,160,260.16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75,478,719.35</w:t>
            </w:r>
          </w:p>
        </w:tc>
      </w:tr>
    </w:tbl>
    <w:p>
      <w:pPr>
        <w:pStyle w:val="BodyText"/>
        <w:spacing w:line="240" w:lineRule="auto" w:before="51"/>
        <w:ind w:left="154" w:right="0"/>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60.57%</w:t>
      </w:r>
      <w:r>
        <w:rPr/>
        <w:t>。</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14、开发支出" w:id="238"/>
      <w:bookmarkEnd w:id="238"/>
      <w:r>
        <w:rPr>
          <w:b w:val="0"/>
          <w:bCs w:val="0"/>
        </w:rPr>
      </w:r>
      <w:r>
        <w:rPr>
          <w:rFonts w:ascii="Times New Roman" w:hAnsi="Times New Roman" w:cs="Times New Roman" w:eastAsia="Times New Roman" w:hint="default"/>
        </w:rPr>
        <w:t>14</w:t>
      </w:r>
      <w:r>
        <w:rPr/>
        <w:t>、开发支出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1730"/>
        <w:gridCol w:w="1229"/>
        <w:gridCol w:w="1181"/>
        <w:gridCol w:w="710"/>
        <w:gridCol w:w="522"/>
        <w:gridCol w:w="1098"/>
        <w:gridCol w:w="1181"/>
        <w:gridCol w:w="1024"/>
        <w:gridCol w:w="1020"/>
      </w:tblGrid>
      <w:tr>
        <w:trPr>
          <w:trHeight w:val="402" w:hRule="exact"/>
        </w:trPr>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41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6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3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本期减少金额</w:t>
            </w:r>
          </w:p>
        </w:tc>
        <w:tc>
          <w:tcPr>
            <w:tcW w:w="1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财务共享服务中心</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7" w:right="0"/>
              <w:jc w:val="center"/>
              <w:rPr>
                <w:rFonts w:ascii="Times New Roman" w:hAnsi="Times New Roman" w:cs="Times New Roman" w:eastAsia="Times New Roman" w:hint="default"/>
                <w:sz w:val="18"/>
                <w:szCs w:val="18"/>
              </w:rPr>
            </w:pPr>
            <w:r>
              <w:rPr>
                <w:rFonts w:ascii="Times New Roman"/>
                <w:sz w:val="18"/>
              </w:rPr>
              <w:t>17,645,325.16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center"/>
              <w:rPr>
                <w:rFonts w:ascii="Times New Roman" w:hAnsi="Times New Roman" w:cs="Times New Roman" w:eastAsia="Times New Roman" w:hint="default"/>
                <w:sz w:val="18"/>
                <w:szCs w:val="18"/>
              </w:rPr>
            </w:pPr>
            <w:r>
              <w:rPr>
                <w:rFonts w:ascii="Times New Roman"/>
                <w:sz w:val="18"/>
              </w:rPr>
              <w:t>10,525,045.61</w:t>
            </w:r>
          </w:p>
        </w:tc>
        <w:tc>
          <w:tcPr>
            <w:tcW w:w="710" w:type="dxa"/>
            <w:tcBorders>
              <w:top w:val="single" w:sz="4" w:space="0" w:color="000000"/>
              <w:left w:val="single" w:sz="4" w:space="0" w:color="000000"/>
              <w:bottom w:val="single" w:sz="4" w:space="0" w:color="000000"/>
              <w:right w:val="single" w:sz="4" w:space="0" w:color="000000"/>
            </w:tcBorders>
          </w:tcPr>
          <w:p>
            <w:pPr/>
          </w:p>
        </w:tc>
        <w:tc>
          <w:tcPr>
            <w:tcW w:w="522"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28,170,370.77</w:t>
            </w:r>
          </w:p>
        </w:tc>
        <w:tc>
          <w:tcPr>
            <w:tcW w:w="1181"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久其报表管理系统</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center"/>
              <w:rPr>
                <w:rFonts w:ascii="Times New Roman" w:hAnsi="Times New Roman" w:cs="Times New Roman" w:eastAsia="Times New Roman" w:hint="default"/>
                <w:sz w:val="18"/>
                <w:szCs w:val="18"/>
              </w:rPr>
            </w:pPr>
            <w:r>
              <w:rPr>
                <w:rFonts w:ascii="Times New Roman"/>
                <w:sz w:val="18"/>
              </w:rPr>
              <w:t>25,777,282.76</w:t>
            </w:r>
          </w:p>
        </w:tc>
        <w:tc>
          <w:tcPr>
            <w:tcW w:w="710" w:type="dxa"/>
            <w:tcBorders>
              <w:top w:val="single" w:sz="4" w:space="0" w:color="000000"/>
              <w:left w:val="single" w:sz="4" w:space="0" w:color="000000"/>
              <w:bottom w:val="single" w:sz="4" w:space="0" w:color="000000"/>
              <w:right w:val="single" w:sz="4" w:space="0" w:color="000000"/>
            </w:tcBorders>
          </w:tcPr>
          <w:p>
            <w:pPr/>
          </w:p>
        </w:tc>
        <w:tc>
          <w:tcPr>
            <w:tcW w:w="522"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25,777,282.76</w:t>
            </w:r>
          </w:p>
        </w:tc>
        <w:tc>
          <w:tcPr>
            <w:tcW w:w="1024"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21" w:type="dxa"/>
        <w:tblLayout w:type="fixed"/>
        <w:tblCellMar>
          <w:top w:w="0" w:type="dxa"/>
          <w:left w:w="0" w:type="dxa"/>
          <w:bottom w:w="0" w:type="dxa"/>
          <w:right w:w="0" w:type="dxa"/>
        </w:tblCellMar>
        <w:tblLook w:val="01E0"/>
      </w:tblPr>
      <w:tblGrid>
        <w:gridCol w:w="1730"/>
        <w:gridCol w:w="1229"/>
        <w:gridCol w:w="1181"/>
        <w:gridCol w:w="710"/>
        <w:gridCol w:w="522"/>
        <w:gridCol w:w="1098"/>
        <w:gridCol w:w="1181"/>
        <w:gridCol w:w="1024"/>
        <w:gridCol w:w="1020"/>
      </w:tblGrid>
      <w:tr>
        <w:trPr>
          <w:trHeight w:val="714"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14"/>
              <w:jc w:val="left"/>
              <w:rPr>
                <w:rFonts w:ascii="宋体" w:hAnsi="宋体" w:cs="宋体" w:eastAsia="宋体" w:hint="default"/>
                <w:sz w:val="18"/>
                <w:szCs w:val="18"/>
              </w:rPr>
            </w:pPr>
            <w:r>
              <w:rPr>
                <w:rFonts w:ascii="宋体" w:hAnsi="宋体" w:cs="宋体" w:eastAsia="宋体" w:hint="default"/>
                <w:sz w:val="18"/>
                <w:szCs w:val="18"/>
              </w:rPr>
              <w:t>久其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GMC </w:t>
            </w:r>
            <w:r>
              <w:rPr>
                <w:rFonts w:ascii="宋体" w:hAnsi="宋体" w:cs="宋体" w:eastAsia="宋体" w:hint="default"/>
                <w:sz w:val="18"/>
                <w:szCs w:val="18"/>
              </w:rPr>
              <w:t>集团管控 平台</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40,115,321.78</w:t>
            </w:r>
          </w:p>
        </w:tc>
        <w:tc>
          <w:tcPr>
            <w:tcW w:w="710" w:type="dxa"/>
            <w:tcBorders>
              <w:top w:val="single" w:sz="4" w:space="0" w:color="000000"/>
              <w:left w:val="single" w:sz="4" w:space="0" w:color="000000"/>
              <w:bottom w:val="single" w:sz="4" w:space="0" w:color="000000"/>
              <w:right w:val="single" w:sz="4" w:space="0" w:color="000000"/>
            </w:tcBorders>
          </w:tcPr>
          <w:p>
            <w:pPr/>
          </w:p>
        </w:tc>
        <w:tc>
          <w:tcPr>
            <w:tcW w:w="522"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40,115,321.78</w:t>
            </w:r>
          </w:p>
        </w:tc>
        <w:tc>
          <w:tcPr>
            <w:tcW w:w="1024"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34"/>
              <w:jc w:val="left"/>
              <w:rPr>
                <w:rFonts w:ascii="宋体" w:hAnsi="宋体" w:cs="宋体" w:eastAsia="宋体" w:hint="default"/>
                <w:sz w:val="18"/>
                <w:szCs w:val="18"/>
              </w:rPr>
            </w:pPr>
            <w:r>
              <w:rPr>
                <w:rFonts w:ascii="宋体" w:hAnsi="宋体" w:cs="宋体" w:eastAsia="宋体" w:hint="default"/>
                <w:sz w:val="18"/>
                <w:szCs w:val="18"/>
              </w:rPr>
              <w:t>久其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GMS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政府管理 服务平台</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27,470,044.19</w:t>
            </w:r>
          </w:p>
        </w:tc>
        <w:tc>
          <w:tcPr>
            <w:tcW w:w="710" w:type="dxa"/>
            <w:tcBorders>
              <w:top w:val="single" w:sz="4" w:space="0" w:color="000000"/>
              <w:left w:val="single" w:sz="4" w:space="0" w:color="000000"/>
              <w:bottom w:val="single" w:sz="4" w:space="0" w:color="000000"/>
              <w:right w:val="single" w:sz="4" w:space="0" w:color="000000"/>
            </w:tcBorders>
          </w:tcPr>
          <w:p>
            <w:pPr/>
          </w:p>
        </w:tc>
        <w:tc>
          <w:tcPr>
            <w:tcW w:w="522"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27,470,044.19</w:t>
            </w:r>
          </w:p>
        </w:tc>
        <w:tc>
          <w:tcPr>
            <w:tcW w:w="1024"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智慧物流公共服务平 台</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11,950,955.20</w:t>
            </w:r>
          </w:p>
        </w:tc>
        <w:tc>
          <w:tcPr>
            <w:tcW w:w="710" w:type="dxa"/>
            <w:tcBorders>
              <w:top w:val="single" w:sz="4" w:space="0" w:color="000000"/>
              <w:left w:val="single" w:sz="4" w:space="0" w:color="000000"/>
              <w:bottom w:val="single" w:sz="4" w:space="0" w:color="000000"/>
              <w:right w:val="single" w:sz="4" w:space="0" w:color="000000"/>
            </w:tcBorders>
          </w:tcPr>
          <w:p>
            <w:pPr/>
          </w:p>
        </w:tc>
        <w:tc>
          <w:tcPr>
            <w:tcW w:w="522"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11,950,955.20</w:t>
            </w:r>
          </w:p>
        </w:tc>
        <w:tc>
          <w:tcPr>
            <w:tcW w:w="1024"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大数据预测预警</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11,278,893.95</w:t>
            </w:r>
          </w:p>
        </w:tc>
        <w:tc>
          <w:tcPr>
            <w:tcW w:w="710" w:type="dxa"/>
            <w:tcBorders>
              <w:top w:val="single" w:sz="4" w:space="0" w:color="000000"/>
              <w:left w:val="single" w:sz="4" w:space="0" w:color="000000"/>
              <w:bottom w:val="single" w:sz="4" w:space="0" w:color="000000"/>
              <w:right w:val="single" w:sz="4" w:space="0" w:color="000000"/>
            </w:tcBorders>
          </w:tcPr>
          <w:p>
            <w:pPr/>
          </w:p>
        </w:tc>
        <w:tc>
          <w:tcPr>
            <w:tcW w:w="522"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11,278,893.95</w:t>
            </w:r>
          </w:p>
        </w:tc>
        <w:tc>
          <w:tcPr>
            <w:tcW w:w="1024"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数字法庭音视频综合 应用系统</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3,806,857.07</w:t>
            </w:r>
          </w:p>
        </w:tc>
        <w:tc>
          <w:tcPr>
            <w:tcW w:w="710" w:type="dxa"/>
            <w:tcBorders>
              <w:top w:val="single" w:sz="4" w:space="0" w:color="000000"/>
              <w:left w:val="single" w:sz="4" w:space="0" w:color="000000"/>
              <w:bottom w:val="single" w:sz="4" w:space="0" w:color="000000"/>
              <w:right w:val="single" w:sz="4" w:space="0" w:color="000000"/>
            </w:tcBorders>
          </w:tcPr>
          <w:p>
            <w:pPr/>
          </w:p>
        </w:tc>
        <w:tc>
          <w:tcPr>
            <w:tcW w:w="522"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3,806,857.07</w:t>
            </w:r>
          </w:p>
        </w:tc>
        <w:tc>
          <w:tcPr>
            <w:tcW w:w="1024"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点入研发平台</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8,041,559.69</w:t>
            </w:r>
          </w:p>
        </w:tc>
        <w:tc>
          <w:tcPr>
            <w:tcW w:w="710" w:type="dxa"/>
            <w:tcBorders>
              <w:top w:val="single" w:sz="4" w:space="0" w:color="000000"/>
              <w:left w:val="single" w:sz="4" w:space="0" w:color="000000"/>
              <w:bottom w:val="single" w:sz="4" w:space="0" w:color="000000"/>
              <w:right w:val="single" w:sz="4" w:space="0" w:color="000000"/>
            </w:tcBorders>
          </w:tcPr>
          <w:p>
            <w:pPr/>
          </w:p>
        </w:tc>
        <w:tc>
          <w:tcPr>
            <w:tcW w:w="522"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8,041,559.69</w:t>
            </w:r>
          </w:p>
        </w:tc>
        <w:tc>
          <w:tcPr>
            <w:tcW w:w="1024"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外商投资企业财政登 记系统项目</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947,831.94</w:t>
            </w:r>
          </w:p>
        </w:tc>
        <w:tc>
          <w:tcPr>
            <w:tcW w:w="710" w:type="dxa"/>
            <w:tcBorders>
              <w:top w:val="single" w:sz="4" w:space="0" w:color="000000"/>
              <w:left w:val="single" w:sz="4" w:space="0" w:color="000000"/>
              <w:bottom w:val="single" w:sz="4" w:space="0" w:color="000000"/>
              <w:right w:val="single" w:sz="4" w:space="0" w:color="000000"/>
            </w:tcBorders>
          </w:tcPr>
          <w:p>
            <w:pPr/>
          </w:p>
        </w:tc>
        <w:tc>
          <w:tcPr>
            <w:tcW w:w="522"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947,831.94</w:t>
            </w:r>
          </w:p>
        </w:tc>
        <w:tc>
          <w:tcPr>
            <w:tcW w:w="1024"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集团财务信息管理</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841,462.23</w:t>
            </w:r>
          </w:p>
        </w:tc>
        <w:tc>
          <w:tcPr>
            <w:tcW w:w="710" w:type="dxa"/>
            <w:tcBorders>
              <w:top w:val="single" w:sz="4" w:space="0" w:color="000000"/>
              <w:left w:val="single" w:sz="4" w:space="0" w:color="000000"/>
              <w:bottom w:val="single" w:sz="4" w:space="0" w:color="000000"/>
              <w:right w:val="single" w:sz="4" w:space="0" w:color="000000"/>
            </w:tcBorders>
          </w:tcPr>
          <w:p>
            <w:pPr/>
          </w:p>
        </w:tc>
        <w:tc>
          <w:tcPr>
            <w:tcW w:w="522"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841,462.23</w:t>
            </w:r>
          </w:p>
        </w:tc>
        <w:tc>
          <w:tcPr>
            <w:tcW w:w="1024"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5"/>
                <w:sz w:val="18"/>
                <w:szCs w:val="18"/>
              </w:rPr>
              <w:t> </w:t>
            </w:r>
            <w:r>
              <w:rPr>
                <w:rFonts w:ascii="Times New Roman" w:hAnsi="Times New Roman" w:cs="Times New Roman" w:eastAsia="Times New Roman" w:hint="default"/>
                <w:spacing w:val="-12"/>
                <w:sz w:val="18"/>
                <w:szCs w:val="18"/>
              </w:rPr>
              <w:t>JAVA</w:t>
            </w:r>
            <w:r>
              <w:rPr>
                <w:rFonts w:ascii="Times New Roman" w:hAnsi="Times New Roman" w:cs="Times New Roman" w:eastAsia="Times New Roman" w:hint="default"/>
                <w:sz w:val="18"/>
                <w:szCs w:val="18"/>
              </w:rPr>
              <w:t> </w:t>
            </w:r>
            <w:r>
              <w:rPr>
                <w:rFonts w:ascii="宋体" w:hAnsi="宋体" w:cs="宋体" w:eastAsia="宋体" w:hint="default"/>
                <w:sz w:val="18"/>
                <w:szCs w:val="18"/>
              </w:rPr>
              <w:t>的电子政 务平台</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16,262,702.74</w:t>
            </w:r>
          </w:p>
        </w:tc>
        <w:tc>
          <w:tcPr>
            <w:tcW w:w="710" w:type="dxa"/>
            <w:tcBorders>
              <w:top w:val="single" w:sz="4" w:space="0" w:color="000000"/>
              <w:left w:val="single" w:sz="4" w:space="0" w:color="000000"/>
              <w:bottom w:val="single" w:sz="4" w:space="0" w:color="000000"/>
              <w:right w:val="single" w:sz="4" w:space="0" w:color="000000"/>
            </w:tcBorders>
          </w:tcPr>
          <w:p>
            <w:pPr/>
          </w:p>
        </w:tc>
        <w:tc>
          <w:tcPr>
            <w:tcW w:w="522"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16,262,702.74</w:t>
            </w:r>
          </w:p>
        </w:tc>
        <w:tc>
          <w:tcPr>
            <w:tcW w:w="1024"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智慧物流港</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4,579,660.13</w:t>
            </w:r>
          </w:p>
        </w:tc>
        <w:tc>
          <w:tcPr>
            <w:tcW w:w="710" w:type="dxa"/>
            <w:tcBorders>
              <w:top w:val="single" w:sz="4" w:space="0" w:color="000000"/>
              <w:left w:val="single" w:sz="4" w:space="0" w:color="000000"/>
              <w:bottom w:val="single" w:sz="4" w:space="0" w:color="000000"/>
              <w:right w:val="single" w:sz="4" w:space="0" w:color="000000"/>
            </w:tcBorders>
          </w:tcPr>
          <w:p>
            <w:pPr/>
          </w:p>
        </w:tc>
        <w:tc>
          <w:tcPr>
            <w:tcW w:w="522"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4,579,660.13</w:t>
            </w:r>
          </w:p>
        </w:tc>
        <w:tc>
          <w:tcPr>
            <w:tcW w:w="1024"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司机驿站</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923,057.04</w:t>
            </w:r>
          </w:p>
        </w:tc>
        <w:tc>
          <w:tcPr>
            <w:tcW w:w="710" w:type="dxa"/>
            <w:tcBorders>
              <w:top w:val="single" w:sz="4" w:space="0" w:color="000000"/>
              <w:left w:val="single" w:sz="4" w:space="0" w:color="000000"/>
              <w:bottom w:val="single" w:sz="4" w:space="0" w:color="000000"/>
              <w:right w:val="single" w:sz="4" w:space="0" w:color="000000"/>
            </w:tcBorders>
          </w:tcPr>
          <w:p>
            <w:pPr/>
          </w:p>
        </w:tc>
        <w:tc>
          <w:tcPr>
            <w:tcW w:w="522"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923,057.04</w:t>
            </w:r>
          </w:p>
        </w:tc>
        <w:tc>
          <w:tcPr>
            <w:tcW w:w="1024"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大数据分析</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3,588,287.73</w:t>
            </w:r>
          </w:p>
        </w:tc>
        <w:tc>
          <w:tcPr>
            <w:tcW w:w="710" w:type="dxa"/>
            <w:tcBorders>
              <w:top w:val="single" w:sz="4" w:space="0" w:color="000000"/>
              <w:left w:val="single" w:sz="4" w:space="0" w:color="000000"/>
              <w:bottom w:val="single" w:sz="4" w:space="0" w:color="000000"/>
              <w:right w:val="single" w:sz="4" w:space="0" w:color="000000"/>
            </w:tcBorders>
          </w:tcPr>
          <w:p>
            <w:pPr/>
          </w:p>
        </w:tc>
        <w:tc>
          <w:tcPr>
            <w:tcW w:w="522"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3,588,287.73</w:t>
            </w:r>
          </w:p>
        </w:tc>
        <w:tc>
          <w:tcPr>
            <w:tcW w:w="1024"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基于大数据技术的宏 观经济预测模型和方 法</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2,979,724.01</w:t>
            </w:r>
          </w:p>
        </w:tc>
        <w:tc>
          <w:tcPr>
            <w:tcW w:w="710" w:type="dxa"/>
            <w:tcBorders>
              <w:top w:val="single" w:sz="4" w:space="0" w:color="000000"/>
              <w:left w:val="single" w:sz="4" w:space="0" w:color="000000"/>
              <w:bottom w:val="single" w:sz="4" w:space="0" w:color="000000"/>
              <w:right w:val="single" w:sz="4" w:space="0" w:color="000000"/>
            </w:tcBorders>
          </w:tcPr>
          <w:p>
            <w:pPr/>
          </w:p>
        </w:tc>
        <w:tc>
          <w:tcPr>
            <w:tcW w:w="522"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2,979,724.01</w:t>
            </w:r>
          </w:p>
        </w:tc>
        <w:tc>
          <w:tcPr>
            <w:tcW w:w="1024"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0" w:right="0"/>
              <w:jc w:val="left"/>
              <w:rPr>
                <w:rFonts w:ascii="Times New Roman" w:hAnsi="Times New Roman" w:cs="Times New Roman" w:eastAsia="Times New Roman" w:hint="default"/>
                <w:sz w:val="18"/>
                <w:szCs w:val="18"/>
              </w:rPr>
            </w:pPr>
            <w:r>
              <w:rPr>
                <w:rFonts w:ascii="Times New Roman"/>
                <w:sz w:val="18"/>
              </w:rPr>
              <w:t>17,645,325.16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169,088,686.07</w:t>
            </w:r>
          </w:p>
        </w:tc>
        <w:tc>
          <w:tcPr>
            <w:tcW w:w="710" w:type="dxa"/>
            <w:tcBorders>
              <w:top w:val="single" w:sz="4" w:space="0" w:color="000000"/>
              <w:left w:val="single" w:sz="4" w:space="0" w:color="000000"/>
              <w:bottom w:val="single" w:sz="4" w:space="0" w:color="000000"/>
              <w:right w:val="single" w:sz="4" w:space="0" w:color="000000"/>
            </w:tcBorders>
          </w:tcPr>
          <w:p>
            <w:pPr/>
          </w:p>
        </w:tc>
        <w:tc>
          <w:tcPr>
            <w:tcW w:w="522"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28,170,370.77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158,563,640.46</w:t>
            </w:r>
          </w:p>
        </w:tc>
        <w:tc>
          <w:tcPr>
            <w:tcW w:w="1024"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both"/>
      </w:pPr>
      <w:r>
        <w:rPr/>
        <w:t>其他说明</w:t>
      </w:r>
    </w:p>
    <w:p>
      <w:pPr>
        <w:pStyle w:val="BodyText"/>
        <w:spacing w:line="300" w:lineRule="auto" w:before="116"/>
        <w:ind w:right="1132"/>
        <w:jc w:val="both"/>
      </w:pPr>
      <w:r>
        <w:rPr>
          <w:spacing w:val="10"/>
        </w:rPr>
        <w:t>公司</w:t>
      </w:r>
      <w:r>
        <w:rPr>
          <w:spacing w:val="-69"/>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3"/>
        </w:rPr>
        <w:t> </w:t>
      </w:r>
      <w:r>
        <w:rPr>
          <w:spacing w:val="10"/>
        </w:rPr>
        <w:t>年度</w:t>
      </w:r>
      <w:r>
        <w:rPr>
          <w:spacing w:val="-68"/>
        </w:rPr>
        <w:t> </w:t>
      </w:r>
      <w:r>
        <w:rPr>
          <w:spacing w:val="14"/>
        </w:rPr>
        <w:t>共发生</w:t>
      </w:r>
      <w:r>
        <w:rPr>
          <w:spacing w:val="-68"/>
        </w:rPr>
        <w:t> </w:t>
      </w:r>
      <w:r>
        <w:rPr>
          <w:spacing w:val="10"/>
        </w:rPr>
        <w:t>研究</w:t>
      </w:r>
      <w:r>
        <w:rPr>
          <w:spacing w:val="-68"/>
        </w:rPr>
        <w:t> </w:t>
      </w:r>
      <w:r>
        <w:rPr/>
        <w:t>开</w:t>
      </w:r>
      <w:r>
        <w:rPr>
          <w:spacing w:val="-68"/>
        </w:rPr>
        <w:t> </w:t>
      </w:r>
      <w:r>
        <w:rPr>
          <w:spacing w:val="14"/>
        </w:rPr>
        <w:t>发支出</w:t>
      </w:r>
      <w:r>
        <w:rPr>
          <w:spacing w:val="-67"/>
        </w:rPr>
        <w:t> </w:t>
      </w:r>
      <w:r>
        <w:rPr>
          <w:rFonts w:ascii="Times New Roman" w:hAnsi="Times New Roman" w:cs="Times New Roman" w:eastAsia="Times New Roman" w:hint="default"/>
        </w:rPr>
        <w:t>169,088,686.07</w:t>
      </w:r>
      <w:r>
        <w:rPr>
          <w:rFonts w:ascii="Times New Roman" w:hAnsi="Times New Roman" w:cs="Times New Roman" w:eastAsia="Times New Roman" w:hint="default"/>
          <w:spacing w:val="-23"/>
        </w:rPr>
        <w:t> </w:t>
      </w:r>
      <w:r>
        <w:rPr>
          <w:spacing w:val="10"/>
        </w:rPr>
        <w:t>元，</w:t>
      </w:r>
      <w:r>
        <w:rPr>
          <w:spacing w:val="-69"/>
        </w:rPr>
        <w:t> </w:t>
      </w:r>
      <w:r>
        <w:rPr/>
        <w:t>其</w:t>
      </w:r>
      <w:r>
        <w:rPr>
          <w:spacing w:val="-68"/>
        </w:rPr>
        <w:t> </w:t>
      </w:r>
      <w:r>
        <w:rPr>
          <w:spacing w:val="14"/>
        </w:rPr>
        <w:t>中资本</w:t>
      </w:r>
      <w:r>
        <w:rPr>
          <w:spacing w:val="-68"/>
        </w:rPr>
        <w:t> </w:t>
      </w:r>
      <w:r>
        <w:rPr>
          <w:spacing w:val="10"/>
        </w:rPr>
        <w:t>化支</w:t>
      </w:r>
      <w:r>
        <w:rPr>
          <w:spacing w:val="-68"/>
        </w:rPr>
        <w:t> </w:t>
      </w:r>
      <w:r>
        <w:rPr/>
        <w:t>出</w:t>
      </w:r>
      <w:r>
        <w:rPr>
          <w:spacing w:val="-66"/>
        </w:rPr>
        <w:t> </w:t>
      </w:r>
      <w:r>
        <w:rPr>
          <w:rFonts w:ascii="Times New Roman" w:hAnsi="Times New Roman" w:cs="Times New Roman" w:eastAsia="Times New Roman" w:hint="default"/>
        </w:rPr>
        <w:t>10,525,045.61</w:t>
      </w:r>
      <w:r>
        <w:rPr>
          <w:rFonts w:ascii="Times New Roman" w:hAnsi="Times New Roman" w:cs="Times New Roman" w:eastAsia="Times New Roman" w:hint="default"/>
          <w:spacing w:val="-23"/>
        </w:rPr>
        <w:t> </w:t>
      </w:r>
      <w:r>
        <w:rPr>
          <w:spacing w:val="14"/>
        </w:rPr>
        <w:t>元计入</w:t>
      </w:r>
      <w:r>
        <w:rPr>
          <w:spacing w:val="-68"/>
        </w:rPr>
        <w:t> </w:t>
      </w:r>
      <w:r>
        <w:rPr>
          <w:spacing w:val="14"/>
        </w:rPr>
        <w:t>开发支</w:t>
      </w:r>
      <w:r>
        <w:rPr>
          <w:spacing w:val="-68"/>
        </w:rPr>
        <w:t> </w:t>
      </w:r>
      <w:r>
        <w:rPr>
          <w:spacing w:val="10"/>
        </w:rPr>
        <w:t>出，</w:t>
      </w:r>
      <w:r>
        <w:rPr>
          <w:spacing w:val="-69"/>
        </w:rPr>
        <w:t> </w:t>
      </w:r>
      <w:r>
        <w:rPr/>
        <w:t>费</w:t>
      </w:r>
      <w:r>
        <w:rPr>
          <w:spacing w:val="-68"/>
        </w:rPr>
        <w:t> </w:t>
      </w:r>
      <w:r>
        <w:rPr>
          <w:spacing w:val="14"/>
        </w:rPr>
        <w:t>用化支</w:t>
      </w:r>
      <w:r>
        <w:rPr>
          <w:spacing w:val="-68"/>
        </w:rPr>
        <w:t> </w:t>
      </w:r>
      <w:r>
        <w:rPr/>
        <w:t>出</w:t>
      </w:r>
      <w:r>
        <w:rPr/>
        <w:t> </w:t>
      </w:r>
      <w:r>
        <w:rPr>
          <w:rFonts w:ascii="Times New Roman" w:hAnsi="Times New Roman" w:cs="Times New Roman" w:eastAsia="Times New Roman" w:hint="default"/>
          <w:spacing w:val="-1"/>
        </w:rPr>
        <w:t>158,563,640.46</w:t>
      </w:r>
      <w:r>
        <w:rPr>
          <w:spacing w:val="-1"/>
        </w:rPr>
        <w:t>元计入管理费用；本期资本化支出占本期研究开发项目支出总额的比例为</w:t>
      </w:r>
      <w:r>
        <w:rPr>
          <w:rFonts w:ascii="Times New Roman" w:hAnsi="Times New Roman" w:cs="Times New Roman" w:eastAsia="Times New Roman" w:hint="default"/>
          <w:spacing w:val="-1"/>
        </w:rPr>
        <w:t>6.22%</w:t>
      </w:r>
      <w:r>
        <w:rPr>
          <w:spacing w:val="-1"/>
        </w:rPr>
        <w:t>，通过公司内部研发形成的无</w:t>
      </w:r>
      <w:r>
        <w:rPr>
          <w:spacing w:val="-82"/>
        </w:rPr>
        <w:t> </w:t>
      </w:r>
      <w:r>
        <w:rPr>
          <w:spacing w:val="-82"/>
        </w:rPr>
      </w:r>
      <w:r>
        <w:rPr/>
        <w:t>形资产占无形资产期末账面价值的比例为</w:t>
      </w:r>
      <w:r>
        <w:rPr>
          <w:rFonts w:ascii="Times New Roman" w:hAnsi="Times New Roman" w:cs="Times New Roman" w:eastAsia="Times New Roman" w:hint="default"/>
        </w:rPr>
        <w:t>60.57%</w:t>
      </w:r>
      <w:r>
        <w:rPr/>
        <w:t>。</w:t>
      </w:r>
    </w:p>
    <w:p>
      <w:pPr>
        <w:spacing w:line="240" w:lineRule="auto" w:before="1"/>
        <w:rPr>
          <w:rFonts w:ascii="宋体" w:hAnsi="宋体" w:cs="宋体" w:eastAsia="宋体" w:hint="default"/>
          <w:sz w:val="22"/>
          <w:szCs w:val="22"/>
        </w:rPr>
      </w:pPr>
    </w:p>
    <w:p>
      <w:pPr>
        <w:pStyle w:val="Heading3"/>
        <w:spacing w:line="240" w:lineRule="auto"/>
        <w:ind w:right="0"/>
        <w:jc w:val="both"/>
        <w:rPr>
          <w:b w:val="0"/>
          <w:bCs w:val="0"/>
        </w:rPr>
      </w:pPr>
      <w:bookmarkStart w:name="15、商誉" w:id="239"/>
      <w:bookmarkEnd w:id="239"/>
      <w:r>
        <w:rPr>
          <w:b w:val="0"/>
          <w:bCs w:val="0"/>
        </w:rPr>
      </w:r>
      <w:r>
        <w:rPr>
          <w:rFonts w:ascii="Times New Roman" w:hAnsi="Times New Roman" w:cs="Times New Roman" w:eastAsia="Times New Roman" w:hint="default"/>
        </w:rPr>
        <w:t>15</w:t>
      </w:r>
      <w:r>
        <w:rPr/>
        <w:t>、商誉</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商誉账面原值" w:id="240"/>
      <w:bookmarkEnd w:id="240"/>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72"/>
              <w:jc w:val="both"/>
              <w:rPr>
                <w:rFonts w:ascii="宋体" w:hAnsi="宋体" w:cs="宋体" w:eastAsia="宋体" w:hint="default"/>
                <w:sz w:val="18"/>
                <w:szCs w:val="18"/>
              </w:rPr>
            </w:pPr>
            <w:r>
              <w:rPr>
                <w:rFonts w:ascii="宋体" w:hAnsi="宋体" w:cs="宋体" w:eastAsia="宋体" w:hint="default"/>
                <w:sz w:val="18"/>
                <w:szCs w:val="18"/>
              </w:rPr>
              <w:t>北京北邮中望信 息科技有限责任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5,627,588.30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89" w:right="0"/>
              <w:jc w:val="left"/>
              <w:rPr>
                <w:rFonts w:ascii="Times New Roman" w:hAnsi="Times New Roman" w:cs="Times New Roman" w:eastAsia="Times New Roman" w:hint="default"/>
                <w:sz w:val="18"/>
                <w:szCs w:val="18"/>
              </w:rPr>
            </w:pPr>
            <w:r>
              <w:rPr>
                <w:rFonts w:ascii="Times New Roman"/>
                <w:sz w:val="18"/>
              </w:rPr>
              <w:t>5,627,588.30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北京久其智通数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2,401,000.00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2,401,000.00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36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1"/>
              <w:jc w:val="center"/>
              <w:rPr>
                <w:rFonts w:ascii="宋体" w:hAnsi="宋体" w:cs="宋体" w:eastAsia="宋体" w:hint="default"/>
                <w:sz w:val="18"/>
                <w:szCs w:val="18"/>
              </w:rPr>
            </w:pPr>
            <w:r>
              <w:rPr>
                <w:rFonts w:ascii="宋体" w:hAnsi="宋体" w:cs="宋体" w:eastAsia="宋体" w:hint="default"/>
                <w:sz w:val="18"/>
                <w:szCs w:val="18"/>
              </w:rPr>
              <w:t>据科技有限公司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北京亿起联科技 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446,246,013.63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446,246,013.63</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北京华夏电通科 技有限公司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407,462,912.20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407,462,912.20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378" w:right="0"/>
              <w:jc w:val="left"/>
              <w:rPr>
                <w:rFonts w:ascii="Times New Roman" w:hAnsi="Times New Roman" w:cs="Times New Roman" w:eastAsia="Times New Roman" w:hint="default"/>
                <w:sz w:val="18"/>
                <w:szCs w:val="18"/>
              </w:rPr>
            </w:pPr>
            <w:r>
              <w:rPr>
                <w:rFonts w:ascii="Times New Roman"/>
                <w:sz w:val="18"/>
              </w:rPr>
              <w:t>8,028,588.30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853,708,925.83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9" w:right="0"/>
              <w:jc w:val="left"/>
              <w:rPr>
                <w:rFonts w:ascii="Times New Roman" w:hAnsi="Times New Roman" w:cs="Times New Roman" w:eastAsia="Times New Roman" w:hint="default"/>
                <w:sz w:val="18"/>
                <w:szCs w:val="18"/>
              </w:rPr>
            </w:pPr>
            <w:r>
              <w:rPr>
                <w:rFonts w:ascii="Times New Roman"/>
                <w:sz w:val="18"/>
              </w:rPr>
              <w:t>5,627,588.30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856,109,925.83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商誉减值准备" w:id="241"/>
      <w:bookmarkEnd w:id="241"/>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both"/>
              <w:rPr>
                <w:rFonts w:ascii="宋体" w:hAnsi="宋体" w:cs="宋体" w:eastAsia="宋体" w:hint="default"/>
                <w:sz w:val="18"/>
                <w:szCs w:val="18"/>
              </w:rPr>
            </w:pPr>
            <w:r>
              <w:rPr>
                <w:rFonts w:ascii="宋体" w:hAnsi="宋体" w:cs="宋体" w:eastAsia="宋体" w:hint="default"/>
                <w:sz w:val="18"/>
                <w:szCs w:val="18"/>
              </w:rPr>
              <w:t>北京北邮中望信 息科技有限责任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5,627,588.30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5,627,588.30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北京久其智通数 据科技有限公司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北京亿起联科技 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72"/>
              <w:jc w:val="left"/>
              <w:rPr>
                <w:rFonts w:ascii="宋体" w:hAnsi="宋体" w:cs="宋体" w:eastAsia="宋体" w:hint="default"/>
                <w:sz w:val="18"/>
                <w:szCs w:val="18"/>
              </w:rPr>
            </w:pPr>
            <w:r>
              <w:rPr>
                <w:rFonts w:ascii="宋体" w:hAnsi="宋体" w:cs="宋体" w:eastAsia="宋体" w:hint="default"/>
                <w:sz w:val="18"/>
                <w:szCs w:val="18"/>
              </w:rPr>
              <w:t>北京华夏电通科 技有限公司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5,627,588.30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5,627,588.30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0"/>
        <w:jc w:val="left"/>
      </w:pPr>
      <w:r>
        <w:rPr/>
        <w:t>说明商誉减值测试过程、参数及商誉减值损失的确认方法：</w:t>
      </w:r>
    </w:p>
    <w:p>
      <w:pPr>
        <w:pStyle w:val="BodyText"/>
        <w:spacing w:line="304" w:lineRule="auto" w:before="115"/>
        <w:ind w:right="1123"/>
        <w:jc w:val="left"/>
      </w:pP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2010-2012</w:t>
      </w:r>
      <w:r>
        <w:rPr>
          <w:spacing w:val="-1"/>
        </w:rPr>
        <w:t>年，控股子公司北京北邮中望信息科技有限责任公司经营情况不佳，盈利能力不稳定。</w:t>
      </w:r>
      <w:r>
        <w:rPr>
          <w:rFonts w:ascii="Times New Roman" w:hAnsi="Times New Roman" w:cs="Times New Roman" w:eastAsia="Times New Roman" w:hint="default"/>
          <w:spacing w:val="-1"/>
        </w:rPr>
        <w:t>2013</w:t>
      </w:r>
      <w:r>
        <w:rPr>
          <w:spacing w:val="-1"/>
        </w:rPr>
        <w:t>年北邮中望资不抵</w:t>
      </w:r>
      <w:r>
        <w:rPr>
          <w:spacing w:val="-84"/>
        </w:rPr>
        <w:t> </w:t>
      </w:r>
      <w:r>
        <w:rPr>
          <w:spacing w:val="-2"/>
        </w:rPr>
        <w:t>债的情况没有得到根本扭转，业务和人员规模更加萎缩，鉴于此，超额投资部分的经济价值没有得到体现，对其投资形成的</w:t>
      </w:r>
      <w:r>
        <w:rPr>
          <w:spacing w:val="-66"/>
        </w:rPr>
        <w:t> </w:t>
      </w:r>
      <w:r>
        <w:rPr>
          <w:spacing w:val="-66"/>
        </w:rPr>
      </w:r>
      <w:r>
        <w:rPr/>
        <w:t>商誉予以全额减值，金额为</w:t>
      </w:r>
      <w:r>
        <w:rPr>
          <w:rFonts w:ascii="Times New Roman" w:hAnsi="Times New Roman" w:cs="Times New Roman" w:eastAsia="Times New Roman" w:hint="default"/>
        </w:rPr>
        <w:t>5,627,588.30</w:t>
      </w:r>
      <w:r>
        <w:rPr/>
        <w:t>元；</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26</w:t>
      </w:r>
      <w:r>
        <w:rPr/>
        <w:t>日，公司董事会审议通过《关于出售控股子公司北京北邮中望信</w:t>
      </w:r>
      <w:r>
        <w:rPr>
          <w:spacing w:val="-49"/>
        </w:rPr>
        <w:t> </w:t>
      </w:r>
      <w:r>
        <w:rPr>
          <w:spacing w:val="-49"/>
        </w:rPr>
      </w:r>
      <w:r>
        <w:rPr/>
        <w:t>息科技有限责任公司股权的议案》，以协议方式出售公司所持北邮中望股股份，转让价格为人民币</w:t>
      </w:r>
      <w:r>
        <w:rPr>
          <w:rFonts w:ascii="Times New Roman" w:hAnsi="Times New Roman" w:cs="Times New Roman" w:eastAsia="Times New Roman" w:hint="default"/>
        </w:rPr>
        <w:t>256,068.10</w:t>
      </w:r>
      <w:r>
        <w:rPr/>
        <w:t>元，处置投资</w:t>
      </w:r>
      <w:r>
        <w:rPr>
          <w:spacing w:val="-84"/>
        </w:rPr>
        <w:t> </w:t>
      </w:r>
      <w:r>
        <w:rPr>
          <w:spacing w:val="-84"/>
        </w:rPr>
      </w:r>
      <w:r>
        <w:rPr/>
        <w:t>收益为</w:t>
      </w:r>
      <w:r>
        <w:rPr>
          <w:rFonts w:ascii="Times New Roman" w:hAnsi="Times New Roman" w:cs="Times New Roman" w:eastAsia="Times New Roman" w:hint="default"/>
        </w:rPr>
        <w:t>3,204,866.35</w:t>
      </w:r>
      <w:r>
        <w:rPr/>
        <w:t>元，商誉也一同进行了处置。 </w:t>
      </w:r>
      <w:r>
        <w:rPr>
          <w:rFonts w:ascii="Times New Roman" w:hAnsi="Times New Roman" w:cs="Times New Roman" w:eastAsia="Times New Roman" w:hint="default"/>
        </w:rPr>
        <w:t>2</w:t>
      </w:r>
      <w:r>
        <w:rPr/>
        <w:t>、控股子公司北京久其智通数据科技有限公司业务处于增长期，目前不考虑减值。</w:t>
      </w:r>
    </w:p>
    <w:p>
      <w:pPr>
        <w:pStyle w:val="BodyText"/>
        <w:spacing w:line="300" w:lineRule="auto" w:before="9"/>
        <w:ind w:right="0"/>
        <w:jc w:val="left"/>
      </w:pPr>
      <w:r>
        <w:rPr>
          <w:rFonts w:ascii="Times New Roman" w:hAnsi="Times New Roman" w:cs="Times New Roman" w:eastAsia="Times New Roman" w:hint="default"/>
        </w:rPr>
        <w:t>3</w:t>
      </w:r>
      <w:r>
        <w:rPr/>
        <w:t>、本公司因收购北京亿起联科技有限公司</w:t>
      </w:r>
      <w:r>
        <w:rPr>
          <w:rFonts w:ascii="Times New Roman" w:hAnsi="Times New Roman" w:cs="Times New Roman" w:eastAsia="Times New Roman" w:hint="default"/>
        </w:rPr>
        <w:t>100%</w:t>
      </w:r>
      <w:r>
        <w:rPr/>
        <w:t>股权并配套募集资金，于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月增发</w:t>
      </w:r>
      <w:r>
        <w:rPr>
          <w:rFonts w:ascii="Times New Roman" w:hAnsi="Times New Roman" w:cs="Times New Roman" w:eastAsia="Times New Roman" w:hint="default"/>
        </w:rPr>
        <w:t>22,403,432.00</w:t>
      </w:r>
      <w:r>
        <w:rPr/>
        <w:t>股股份，每股发行价</w:t>
      </w:r>
      <w:r>
        <w:rPr>
          <w:spacing w:val="-20"/>
        </w:rPr>
        <w:t> </w:t>
      </w:r>
      <w:r>
        <w:rPr>
          <w:spacing w:val="-20"/>
        </w:rPr>
      </w:r>
      <w:r>
        <w:rPr>
          <w:spacing w:val="-4"/>
        </w:rPr>
        <w:t>格</w:t>
      </w:r>
      <w:r>
        <w:rPr>
          <w:rFonts w:ascii="Times New Roman" w:hAnsi="Times New Roman" w:cs="Times New Roman" w:eastAsia="Times New Roman" w:hint="default"/>
          <w:spacing w:val="-4"/>
        </w:rPr>
        <w:t>23.30</w:t>
      </w:r>
      <w:r>
        <w:rPr>
          <w:spacing w:val="-4"/>
        </w:rPr>
        <w:t>元。收购交易总金额为</w:t>
      </w:r>
      <w:r>
        <w:rPr>
          <w:rFonts w:ascii="Times New Roman" w:hAnsi="Times New Roman" w:cs="Times New Roman" w:eastAsia="Times New Roman" w:hint="default"/>
          <w:spacing w:val="-4"/>
        </w:rPr>
        <w:t>48,000</w:t>
      </w:r>
      <w:r>
        <w:rPr>
          <w:spacing w:val="-4"/>
        </w:rPr>
        <w:t>万元，其中</w:t>
      </w:r>
      <w:r>
        <w:rPr>
          <w:rFonts w:ascii="Times New Roman" w:hAnsi="Times New Roman" w:cs="Times New Roman" w:eastAsia="Times New Roman" w:hint="default"/>
          <w:spacing w:val="-4"/>
        </w:rPr>
        <w:t>38,400</w:t>
      </w:r>
      <w:r>
        <w:rPr>
          <w:spacing w:val="-4"/>
        </w:rPr>
        <w:t>万元以发行股份方式支付，占全部交易总额的</w:t>
      </w:r>
      <w:r>
        <w:rPr>
          <w:rFonts w:ascii="Times New Roman" w:hAnsi="Times New Roman" w:cs="Times New Roman" w:eastAsia="Times New Roman" w:hint="default"/>
          <w:spacing w:val="-4"/>
        </w:rPr>
        <w:t>80%</w:t>
      </w:r>
      <w:r>
        <w:rPr>
          <w:spacing w:val="-4"/>
        </w:rPr>
        <w:t>，现金支付对价</w:t>
      </w:r>
      <w:r>
        <w:rPr>
          <w:rFonts w:ascii="Times New Roman" w:hAnsi="Times New Roman" w:cs="Times New Roman" w:eastAsia="Times New Roman" w:hint="default"/>
          <w:spacing w:val="-4"/>
        </w:rPr>
        <w:t>9,600</w:t>
      </w:r>
      <w:r>
        <w:rPr>
          <w:rFonts w:ascii="Times New Roman" w:hAnsi="Times New Roman" w:cs="Times New Roman" w:eastAsia="Times New Roman" w:hint="default"/>
          <w:spacing w:val="-10"/>
        </w:rPr>
        <w:t> </w:t>
      </w:r>
      <w:r>
        <w:rPr/>
        <w:t>万元。本次收购经中通诚资产评估有限公司评估，出具了中通评报字</w:t>
      </w:r>
      <w:r>
        <w:rPr>
          <w:rFonts w:ascii="Times New Roman" w:hAnsi="Times New Roman" w:cs="Times New Roman" w:eastAsia="Times New Roman" w:hint="default"/>
        </w:rPr>
        <w:t>[2014]</w:t>
      </w:r>
      <w:r>
        <w:rPr>
          <w:rFonts w:ascii="Times New Roman" w:hAnsi="Times New Roman" w:cs="Times New Roman" w:eastAsia="Times New Roman" w:hint="default"/>
          <w:spacing w:val="32"/>
        </w:rPr>
        <w:t> </w:t>
      </w:r>
      <w:r>
        <w:rPr/>
        <w:t>第</w:t>
      </w:r>
      <w:r>
        <w:rPr>
          <w:rFonts w:ascii="Times New Roman" w:hAnsi="Times New Roman" w:cs="Times New Roman" w:eastAsia="Times New Roman" w:hint="default"/>
        </w:rPr>
        <w:t>327</w:t>
      </w:r>
      <w:r>
        <w:rPr/>
        <w:t>号资产评估报告，合并成本超过北京亿起 </w:t>
      </w:r>
      <w:r>
        <w:rPr>
          <w:spacing w:val="-1"/>
        </w:rPr>
        <w:t>联科技有限公司可辨认资产、负债公允价值的差额人民币</w:t>
      </w:r>
      <w:r>
        <w:rPr>
          <w:rFonts w:ascii="Times New Roman" w:hAnsi="Times New Roman" w:cs="Times New Roman" w:eastAsia="Times New Roman" w:hint="default"/>
          <w:spacing w:val="-1"/>
        </w:rPr>
        <w:t>446,246,013.63</w:t>
      </w:r>
      <w:r>
        <w:rPr>
          <w:spacing w:val="-1"/>
        </w:rPr>
        <w:t>元，确认为与北京亿起联科技有限公司相关的商誉。</w:t>
      </w:r>
      <w:r>
        <w:rPr>
          <w:spacing w:val="-68"/>
        </w:rPr>
        <w:t> </w:t>
      </w:r>
      <w:r>
        <w:rPr>
          <w:spacing w:val="-68"/>
        </w:rPr>
      </w:r>
      <w:r>
        <w:rPr/>
        <w:t>北京亿起联科技有限公司</w:t>
      </w:r>
      <w:r>
        <w:rPr>
          <w:rFonts w:ascii="Times New Roman" w:hAnsi="Times New Roman" w:cs="Times New Roman" w:eastAsia="Times New Roman" w:hint="default"/>
        </w:rPr>
        <w:t>2015</w:t>
      </w:r>
      <w:r>
        <w:rPr/>
        <w:t>年度达到业绩预期，不存在商誉减值情况。 </w:t>
      </w:r>
      <w:r>
        <w:rPr>
          <w:rFonts w:ascii="Times New Roman" w:hAnsi="Times New Roman" w:cs="Times New Roman" w:eastAsia="Times New Roman" w:hint="default"/>
        </w:rPr>
        <w:t>4</w:t>
      </w:r>
      <w:r>
        <w:rPr/>
        <w:t>、本公司因收购北京华夏电通科技有限公司</w:t>
      </w:r>
      <w:r>
        <w:rPr>
          <w:rFonts w:ascii="Times New Roman" w:hAnsi="Times New Roman" w:cs="Times New Roman" w:eastAsia="Times New Roman" w:hint="default"/>
        </w:rPr>
        <w:t>100%</w:t>
      </w:r>
      <w:r>
        <w:rPr/>
        <w:t>股权并配套募集资金，于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月增发股票</w:t>
      </w:r>
      <w:r>
        <w:rPr>
          <w:rFonts w:ascii="Times New Roman" w:hAnsi="Times New Roman" w:cs="Times New Roman" w:eastAsia="Times New Roman" w:hint="default"/>
        </w:rPr>
        <w:t>18,785,940.00</w:t>
      </w:r>
      <w:r>
        <w:rPr/>
        <w:t>股，收购交易 </w:t>
      </w:r>
      <w:r>
        <w:rPr>
          <w:spacing w:val="-4"/>
        </w:rPr>
        <w:t>总对价为</w:t>
      </w:r>
      <w:r>
        <w:rPr>
          <w:rFonts w:ascii="Times New Roman" w:hAnsi="Times New Roman" w:cs="Times New Roman" w:eastAsia="Times New Roman" w:hint="default"/>
          <w:spacing w:val="-4"/>
        </w:rPr>
        <w:t>60,000</w:t>
      </w:r>
      <w:r>
        <w:rPr>
          <w:spacing w:val="-4"/>
        </w:rPr>
        <w:t>万元，其中以发行</w:t>
      </w:r>
      <w:r>
        <w:rPr>
          <w:rFonts w:ascii="Times New Roman" w:hAnsi="Times New Roman" w:cs="Times New Roman" w:eastAsia="Times New Roman" w:hint="default"/>
          <w:spacing w:val="-4"/>
        </w:rPr>
        <w:t>15,987,437.00</w:t>
      </w:r>
      <w:r>
        <w:rPr>
          <w:spacing w:val="-4"/>
        </w:rPr>
        <w:t>股股份支付对价</w:t>
      </w:r>
      <w:r>
        <w:rPr>
          <w:rFonts w:ascii="Times New Roman" w:hAnsi="Times New Roman" w:cs="Times New Roman" w:eastAsia="Times New Roman" w:hint="default"/>
          <w:spacing w:val="-4"/>
        </w:rPr>
        <w:t>51,000</w:t>
      </w:r>
      <w:r>
        <w:rPr>
          <w:spacing w:val="-4"/>
        </w:rPr>
        <w:t>万元，每股发行价格</w:t>
      </w:r>
      <w:r>
        <w:rPr>
          <w:rFonts w:ascii="Times New Roman" w:hAnsi="Times New Roman" w:cs="Times New Roman" w:eastAsia="Times New Roman" w:hint="default"/>
          <w:spacing w:val="-4"/>
        </w:rPr>
        <w:t>31.90</w:t>
      </w:r>
      <w:r>
        <w:rPr>
          <w:spacing w:val="-4"/>
        </w:rPr>
        <w:t>元，占全部交易总额比例</w:t>
      </w:r>
      <w:r>
        <w:rPr>
          <w:rFonts w:ascii="Times New Roman" w:hAnsi="Times New Roman" w:cs="Times New Roman" w:eastAsia="Times New Roman" w:hint="default"/>
          <w:spacing w:val="-4"/>
        </w:rPr>
        <w:t>85%</w:t>
      </w:r>
      <w:r>
        <w:rPr>
          <w:spacing w:val="-4"/>
        </w:rPr>
        <w:t>；</w:t>
      </w:r>
      <w:r>
        <w:rPr>
          <w:spacing w:val="-36"/>
        </w:rPr>
        <w:t> </w:t>
      </w:r>
      <w:r>
        <w:rPr/>
        <w:t>现金交易对价</w:t>
      </w:r>
      <w:r>
        <w:rPr>
          <w:rFonts w:ascii="Times New Roman" w:hAnsi="Times New Roman" w:cs="Times New Roman" w:eastAsia="Times New Roman" w:hint="default"/>
        </w:rPr>
        <w:t>9,000</w:t>
      </w:r>
      <w:r>
        <w:rPr/>
        <w:t>万元，占全部交易总额比例</w:t>
      </w:r>
      <w:r>
        <w:rPr>
          <w:rFonts w:ascii="Times New Roman" w:hAnsi="Times New Roman" w:cs="Times New Roman" w:eastAsia="Times New Roman" w:hint="default"/>
        </w:rPr>
        <w:t>15%</w:t>
      </w:r>
      <w:r>
        <w:rPr/>
        <w:t>，现金部分以发行</w:t>
      </w:r>
      <w:r>
        <w:rPr>
          <w:rFonts w:ascii="Times New Roman" w:hAnsi="Times New Roman" w:cs="Times New Roman" w:eastAsia="Times New Roman" w:hint="default"/>
        </w:rPr>
        <w:t>2,798,503.00</w:t>
      </w:r>
      <w:r>
        <w:rPr/>
        <w:t>股股份方式募集，每股发行价格</w:t>
      </w:r>
      <w:r>
        <w:rPr>
          <w:rFonts w:ascii="Times New Roman" w:hAnsi="Times New Roman" w:cs="Times New Roman" w:eastAsia="Times New Roman" w:hint="default"/>
        </w:rPr>
        <w:t>32.16</w:t>
      </w:r>
      <w:r>
        <w:rPr/>
        <w:t>元。</w:t>
      </w:r>
      <w:r>
        <w:rPr>
          <w:spacing w:val="1"/>
        </w:rPr>
        <w:t> </w:t>
      </w:r>
      <w:r>
        <w:rPr/>
        <w:t>本次收购经中通诚资产评估有限公司评估，出具了中通评报字</w:t>
      </w:r>
      <w:r>
        <w:rPr>
          <w:rFonts w:ascii="Times New Roman" w:hAnsi="Times New Roman" w:cs="Times New Roman" w:eastAsia="Times New Roman" w:hint="default"/>
        </w:rPr>
        <w:t>[2015]</w:t>
      </w:r>
      <w:r>
        <w:rPr>
          <w:rFonts w:ascii="Times New Roman" w:hAnsi="Times New Roman" w:cs="Times New Roman" w:eastAsia="Times New Roman" w:hint="default"/>
          <w:spacing w:val="22"/>
        </w:rPr>
        <w:t> </w:t>
      </w:r>
      <w:r>
        <w:rPr>
          <w:rFonts w:ascii="Times New Roman" w:hAnsi="Times New Roman" w:cs="Times New Roman" w:eastAsia="Times New Roman" w:hint="default"/>
        </w:rPr>
        <w:t>115</w:t>
      </w:r>
      <w:r>
        <w:rPr/>
        <w:t>号资产评估报告，合并成本超过北京华夏电通科技 有限公司可辨认资产、负债公允价值的差额人民币</w:t>
      </w:r>
      <w:r>
        <w:rPr>
          <w:rFonts w:ascii="Times New Roman" w:hAnsi="Times New Roman" w:cs="Times New Roman" w:eastAsia="Times New Roman" w:hint="default"/>
        </w:rPr>
        <w:t>407,462,912.20</w:t>
      </w:r>
      <w:r>
        <w:rPr/>
        <w:t>元，确认为与北京华夏电通科技有限公司相关的商誉。北</w:t>
      </w:r>
      <w:r>
        <w:rPr>
          <w:spacing w:val="-44"/>
        </w:rPr>
        <w:t> </w:t>
      </w:r>
      <w:r>
        <w:rPr>
          <w:spacing w:val="-44"/>
        </w:rPr>
      </w:r>
      <w:r>
        <w:rPr/>
        <w:t>京华夏电通科技有限公司</w:t>
      </w:r>
      <w:r>
        <w:rPr>
          <w:rFonts w:ascii="Times New Roman" w:hAnsi="Times New Roman" w:cs="Times New Roman" w:eastAsia="Times New Roman" w:hint="default"/>
        </w:rPr>
        <w:t>2015</w:t>
      </w:r>
      <w:r>
        <w:rPr/>
        <w:t>年度达到业绩预期，不存在商誉减值情况。</w:t>
      </w:r>
    </w:p>
    <w:p>
      <w:pPr>
        <w:spacing w:after="0" w:line="300" w:lineRule="auto"/>
        <w:jc w:val="left"/>
        <w:sectPr>
          <w:pgSz w:w="11910" w:h="16840"/>
          <w:pgMar w:header="87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16、长期待摊费用" w:id="242"/>
      <w:bookmarkEnd w:id="242"/>
      <w:r>
        <w:rPr>
          <w:b w:val="0"/>
          <w:bCs w:val="0"/>
        </w:rPr>
      </w:r>
      <w:r>
        <w:rPr>
          <w:rFonts w:ascii="Times New Roman" w:hAnsi="Times New Roman" w:cs="Times New Roman" w:eastAsia="Times New Roman" w:hint="default"/>
        </w:rPr>
        <w:t>16</w:t>
      </w:r>
      <w:r>
        <w:rPr/>
        <w:t>、长期待摊费用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国英一号装修费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30,475.80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30,475.80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亦庄研发楼装修费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277,016.84</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277,016.84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天津鼎泰装修费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35,466.53</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22,400.04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13,066.49</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重庆装修费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98,974.20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69,864.00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29,110.20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新疆装修费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44,095.11</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31,125.96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12,969.15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亿起联装修费</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493,049.95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137,138.77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355,911.18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企业邮箱服务费</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26,550.03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8,982.86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17,567.17</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486,028.48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519,599.98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577,004.27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428,624.19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7、递延所得税资产/递延所得税负债" w:id="243"/>
      <w:bookmarkEnd w:id="243"/>
      <w:r>
        <w:rPr>
          <w:b w:val="0"/>
          <w:bCs w:val="0"/>
        </w:rPr>
      </w:r>
      <w:r>
        <w:rPr>
          <w:rFonts w:ascii="Times New Roman" w:hAnsi="Times New Roman" w:cs="Times New Roman" w:eastAsia="Times New Roman" w:hint="default"/>
        </w:rPr>
        <w:t>17</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未经抵销的递延所得税资产" w:id="244"/>
      <w:bookmarkEnd w:id="244"/>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5"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7,844,225.47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1,191,793.81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4,955,502.10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534,862.86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1,472,022.82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220,803.42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20,579,685.30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3,086,952.80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1,212,833.76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121,283.38</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29,895,933.59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4,499,550.03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6,168,335.86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656,146.24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未经抵销的递延所得税负债" w:id="245"/>
      <w:bookmarkEnd w:id="245"/>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交易性金融工具、衍生 金融工具的估值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799,905.59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79,990.56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799,905.59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79,990.56</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未确认递延所得税资产明细" w:id="246"/>
      <w:bookmarkEnd w:id="246"/>
      <w:r>
        <w:rPr>
          <w:b w:val="0"/>
          <w:bCs w:val="0"/>
        </w:rPr>
      </w:r>
      <w:r>
        <w:rPr/>
        <w:t>（</w:t>
      </w:r>
      <w:r>
        <w:rPr>
          <w:rFonts w:ascii="Times New Roman" w:hAnsi="Times New Roman" w:cs="Times New Roman" w:eastAsia="Times New Roman" w:hint="default"/>
        </w:rPr>
        <w:t>3</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12,280.18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20,195.70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12,280.18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20,195.70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8、短期借款" w:id="247"/>
      <w:bookmarkEnd w:id="247"/>
      <w:r>
        <w:rPr>
          <w:b w:val="0"/>
          <w:bCs w:val="0"/>
        </w:rPr>
      </w:r>
      <w:r>
        <w:rPr>
          <w:rFonts w:ascii="Times New Roman" w:hAnsi="Times New Roman" w:cs="Times New Roman" w:eastAsia="Times New Roman" w:hint="default"/>
        </w:rPr>
        <w:t>18</w:t>
      </w:r>
      <w:r>
        <w:rPr/>
        <w:t>、短期借款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短期借款分类" w:id="248"/>
      <w:bookmarkEnd w:id="248"/>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78,047,200.00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78,047,200.00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短期借款分类的说明：</w:t>
      </w:r>
    </w:p>
    <w:p>
      <w:pPr>
        <w:pStyle w:val="BodyText"/>
        <w:spacing w:line="300" w:lineRule="auto" w:before="116"/>
        <w:ind w:right="0"/>
        <w:jc w:val="left"/>
      </w:pPr>
      <w:r>
        <w:rPr>
          <w:spacing w:val="-1"/>
        </w:rPr>
        <w:t>公司于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1</w:t>
      </w:r>
      <w:r>
        <w:rPr>
          <w:spacing w:val="-1"/>
        </w:rPr>
        <w:t>日与新加坡华侨银行签订限额为</w:t>
      </w:r>
      <w:r>
        <w:rPr>
          <w:rFonts w:ascii="Times New Roman" w:hAnsi="Times New Roman" w:cs="Times New Roman" w:eastAsia="Times New Roman" w:hint="default"/>
          <w:spacing w:val="-1"/>
        </w:rPr>
        <w:t>12,000,000.00</w:t>
      </w:r>
      <w:r>
        <w:rPr>
          <w:spacing w:val="-1"/>
        </w:rPr>
        <w:t>欧元的短期借款合同，宁波银行北京分行作为担保人，与公</w:t>
      </w:r>
      <w:r>
        <w:rPr>
          <w:spacing w:val="-66"/>
        </w:rPr>
        <w:t> </w:t>
      </w:r>
      <w:r>
        <w:rPr>
          <w:spacing w:val="-66"/>
        </w:rPr>
      </w:r>
      <w:r>
        <w:rPr/>
        <w:t>司签订了编号为</w:t>
      </w:r>
      <w:r>
        <w:rPr>
          <w:rFonts w:ascii="Times New Roman" w:hAnsi="Times New Roman" w:cs="Times New Roman" w:eastAsia="Times New Roman" w:hint="default"/>
        </w:rPr>
        <w:t>07701BH20158109</w:t>
      </w:r>
      <w:r>
        <w:rPr/>
        <w:t>的保函协议，有效期至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25</w:t>
      </w:r>
      <w:r>
        <w:rPr/>
        <w:t>日。</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bookmarkStart w:name="19、应付账款" w:id="249"/>
      <w:bookmarkEnd w:id="249"/>
      <w:r>
        <w:rPr>
          <w:b w:val="0"/>
          <w:bCs w:val="0"/>
        </w:rPr>
      </w:r>
      <w:r>
        <w:rPr>
          <w:rFonts w:ascii="Times New Roman" w:hAnsi="Times New Roman" w:cs="Times New Roman" w:eastAsia="Times New Roman" w:hint="default"/>
        </w:rPr>
        <w:t>19</w:t>
      </w:r>
      <w:r>
        <w:rPr/>
        <w:t>、应付账款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付账款列示" w:id="250"/>
      <w:bookmarkEnd w:id="250"/>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74,520,536.35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486,942.44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10,226,183.83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176,480.00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1,569,026.53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196,600.00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802,982.44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476,051.20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87,118,729.15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1,336,073.64</w:t>
            </w:r>
          </w:p>
        </w:tc>
      </w:tr>
    </w:tbl>
    <w:p>
      <w:pPr>
        <w:spacing w:line="240" w:lineRule="auto" w:before="2"/>
        <w:rPr>
          <w:rFonts w:ascii="宋体" w:hAnsi="宋体" w:cs="宋体" w:eastAsia="宋体" w:hint="default"/>
          <w:sz w:val="19"/>
          <w:szCs w:val="19"/>
        </w:rPr>
      </w:pPr>
    </w:p>
    <w:p>
      <w:pPr>
        <w:spacing w:line="547" w:lineRule="auto" w:before="35"/>
        <w:ind w:left="153" w:right="3283" w:firstLine="0"/>
        <w:jc w:val="left"/>
        <w:rPr>
          <w:rFonts w:ascii="宋体" w:hAnsi="宋体" w:cs="宋体" w:eastAsia="宋体" w:hint="default"/>
          <w:sz w:val="21"/>
          <w:szCs w:val="21"/>
        </w:rPr>
      </w:pPr>
      <w:bookmarkStart w:name="（2）账龄超过1年的重要应付账款" w:id="251"/>
      <w:bookmarkEnd w:id="25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）账龄超过</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年的重要应付账款</w:t>
      </w:r>
      <w:r>
        <w:rPr>
          <w:rFonts w:ascii="宋体" w:hAnsi="宋体" w:cs="宋体" w:eastAsia="宋体" w:hint="default"/>
          <w:b/>
          <w:bCs/>
          <w:w w:val="99"/>
          <w:sz w:val="21"/>
          <w:szCs w:val="21"/>
        </w:rPr>
        <w:t> </w:t>
      </w:r>
      <w:r>
        <w:rPr>
          <w:rFonts w:ascii="宋体" w:hAnsi="宋体" w:cs="宋体" w:eastAsia="宋体" w:hint="default"/>
          <w:sz w:val="18"/>
          <w:szCs w:val="18"/>
        </w:rPr>
        <w:t>报告期账龄超过一年的应付账款主要为未到账期工程款，无单项金额重大的</w:t>
      </w:r>
      <w:r>
        <w:rPr>
          <w:rFonts w:ascii="Times New Roman" w:hAnsi="Times New Roman" w:cs="Times New Roman" w:eastAsia="Times New Roman" w:hint="default"/>
          <w:sz w:val="18"/>
          <w:szCs w:val="18"/>
        </w:rPr>
        <w:t>1</w:t>
      </w:r>
      <w:r>
        <w:rPr>
          <w:rFonts w:ascii="宋体" w:hAnsi="宋体" w:cs="宋体" w:eastAsia="宋体" w:hint="default"/>
          <w:sz w:val="18"/>
          <w:szCs w:val="18"/>
        </w:rPr>
        <w:t>年以上应付账款。 </w:t>
      </w:r>
      <w:bookmarkStart w:name="20、预收款项" w:id="252"/>
      <w:bookmarkEnd w:id="252"/>
      <w:r>
        <w:rPr>
          <w:rFonts w:ascii="宋体" w:hAnsi="宋体" w:cs="宋体" w:eastAsia="宋体" w:hint="default"/>
          <w:sz w:val="18"/>
          <w:szCs w:val="18"/>
        </w:rPr>
      </w: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、预收款项</w:t>
      </w:r>
      <w:r>
        <w:rPr>
          <w:rFonts w:ascii="宋体" w:hAnsi="宋体" w:cs="宋体" w:eastAsia="宋体" w:hint="default"/>
          <w:sz w:val="21"/>
          <w:szCs w:val="21"/>
        </w:rPr>
      </w:r>
    </w:p>
    <w:p>
      <w:pPr>
        <w:pStyle w:val="Heading3"/>
        <w:spacing w:line="240" w:lineRule="auto" w:before="25"/>
        <w:ind w:right="0"/>
        <w:jc w:val="left"/>
        <w:rPr>
          <w:b w:val="0"/>
          <w:bCs w:val="0"/>
        </w:rPr>
      </w:pPr>
      <w:bookmarkStart w:name="（1）预收款项列示" w:id="253"/>
      <w:bookmarkEnd w:id="253"/>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116,482,357.54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4,977,698.40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17,550,998.00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82,837.00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2,935,531.00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236,574.00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629,377.00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440,803.00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137,598,263.54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5,737,912.40</w:t>
            </w:r>
          </w:p>
        </w:tc>
      </w:tr>
    </w:tbl>
    <w:p>
      <w:pPr>
        <w:pStyle w:val="BodyText"/>
        <w:spacing w:line="240" w:lineRule="auto" w:before="88"/>
        <w:ind w:left="154" w:right="0"/>
        <w:jc w:val="left"/>
      </w:pPr>
      <w:r>
        <w:rPr/>
        <w:t>报告期账龄超过一年的预收款项主要系未完工项目与未结算尾款，无单项金额重大的</w:t>
      </w:r>
      <w:r>
        <w:rPr>
          <w:rFonts w:ascii="Times New Roman" w:hAnsi="Times New Roman" w:cs="Times New Roman" w:eastAsia="Times New Roman" w:hint="default"/>
        </w:rPr>
        <w:t>1</w:t>
      </w:r>
      <w:r>
        <w:rPr/>
        <w:t>年以上预收账款。</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3"/>
        <w:spacing w:line="240" w:lineRule="auto"/>
        <w:ind w:left="153" w:right="0"/>
        <w:jc w:val="left"/>
        <w:rPr>
          <w:b w:val="0"/>
          <w:bCs w:val="0"/>
        </w:rPr>
      </w:pPr>
      <w:bookmarkStart w:name="21、应付职工薪酬" w:id="254"/>
      <w:bookmarkEnd w:id="254"/>
      <w:r>
        <w:rPr>
          <w:b w:val="0"/>
          <w:bCs w:val="0"/>
        </w:rPr>
      </w:r>
      <w:r>
        <w:rPr>
          <w:rFonts w:ascii="Times New Roman" w:hAnsi="Times New Roman" w:cs="Times New Roman" w:eastAsia="Times New Roman" w:hint="default"/>
        </w:rPr>
        <w:t>21</w:t>
      </w:r>
      <w:r>
        <w:rPr/>
        <w:t>、应付职工薪酬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付职工薪酬列示" w:id="255"/>
      <w:bookmarkEnd w:id="255"/>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42,718,300.55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259,251,235.50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232,097,051.59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69,872,484.46</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22,151,731.42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21,676,861.93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474,869.49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42,718,300.55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281,402,966.92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253,773,913.52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70,347,353.95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短期薪酬列示" w:id="256"/>
      <w:bookmarkEnd w:id="256"/>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40,551,588.00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227,496,694.89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201,106,711.42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66,941,571.47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7,418,038.84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7,418,038.84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11,619,980.31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11,389,354.92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230,625.39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10,387,319.74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10,182,745.29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204,574.45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392,121.23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382,628.56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9,492.67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840,539.34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823,981.07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16,558.27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11,457,400.80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11,269,363.80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188,037.00</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2,166,712.55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1,135,670.66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807,532.61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2,494,850.60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、短期带薪缺勤</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123,450.00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106,050.00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17,400.00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42,718,300.55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259,251,235.50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232,097,051.59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69,872,484.46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设定提存计划列示" w:id="257"/>
      <w:bookmarkEnd w:id="257"/>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21,022,470.61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20,567,355.64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455,114.97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1,129,260.81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1,109,506.29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19,754.52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22,151,731.42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5" w:right="0"/>
              <w:jc w:val="left"/>
              <w:rPr>
                <w:rFonts w:ascii="Times New Roman" w:hAnsi="Times New Roman" w:cs="Times New Roman" w:eastAsia="Times New Roman" w:hint="default"/>
                <w:sz w:val="18"/>
                <w:szCs w:val="18"/>
              </w:rPr>
            </w:pPr>
            <w:r>
              <w:rPr>
                <w:rFonts w:ascii="Times New Roman"/>
                <w:sz w:val="18"/>
              </w:rPr>
              <w:t>21,676,861.93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0" w:right="0"/>
              <w:jc w:val="left"/>
              <w:rPr>
                <w:rFonts w:ascii="Times New Roman" w:hAnsi="Times New Roman" w:cs="Times New Roman" w:eastAsia="Times New Roman" w:hint="default"/>
                <w:sz w:val="18"/>
                <w:szCs w:val="18"/>
              </w:rPr>
            </w:pPr>
            <w:r>
              <w:rPr>
                <w:rFonts w:ascii="Times New Roman"/>
                <w:sz w:val="18"/>
              </w:rPr>
              <w:t>474,869.49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2、应交税费" w:id="258"/>
      <w:bookmarkEnd w:id="258"/>
      <w:r>
        <w:rPr>
          <w:b w:val="0"/>
          <w:bCs w:val="0"/>
        </w:rPr>
      </w:r>
      <w:r>
        <w:rPr>
          <w:rFonts w:ascii="Times New Roman" w:hAnsi="Times New Roman" w:cs="Times New Roman" w:eastAsia="Times New Roman" w:hint="default"/>
        </w:rPr>
        <w:t>22</w:t>
      </w:r>
      <w:r>
        <w:rPr/>
        <w:t>、应交税费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76"/>
        <w:gridCol w:w="3206"/>
        <w:gridCol w:w="3189"/>
      </w:tblGrid>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7,388,826.99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5,039,503.92</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35,250.00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2,504.80</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17,303,777.67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2,554,883.89</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1,281,836.59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768,529.63</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497,686.88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380,311.19</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9,178.70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16,358.48</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371,027.12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272,198.58</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126,683.65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3,395.85</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27,014,267.60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9,037,686.34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3、应付利息" w:id="259"/>
      <w:bookmarkEnd w:id="259"/>
      <w:r>
        <w:rPr>
          <w:b w:val="0"/>
          <w:bCs w:val="0"/>
        </w:rPr>
      </w:r>
      <w:r>
        <w:rPr>
          <w:rFonts w:ascii="Times New Roman" w:hAnsi="Times New Roman" w:cs="Times New Roman" w:eastAsia="Times New Roman" w:hint="default"/>
        </w:rPr>
        <w:t>23</w:t>
      </w:r>
      <w:r>
        <w:rPr/>
        <w:t>、应付利息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234,661.91</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保函利息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228,938.45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其他借款应付利息</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687,583.46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463,600.36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687,583.46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4、其他应付款" w:id="260"/>
      <w:bookmarkEnd w:id="260"/>
      <w:r>
        <w:rPr>
          <w:b w:val="0"/>
          <w:bCs w:val="0"/>
        </w:rPr>
      </w:r>
      <w:r>
        <w:rPr>
          <w:rFonts w:ascii="Times New Roman" w:hAnsi="Times New Roman" w:cs="Times New Roman" w:eastAsia="Times New Roman" w:hint="default"/>
        </w:rPr>
        <w:t>24</w:t>
      </w:r>
      <w:r>
        <w:rPr/>
        <w:t>、其他应付款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按款项性质列示其他应付款" w:id="261"/>
      <w:bookmarkEnd w:id="261"/>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发行费用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1,494,659.01</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员工保险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2,281,921.14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1,534,509.90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2,235,848.70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441,020.00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2,127,859.50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房租押金租金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129,959.00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284,730.00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个人借款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2,061,750.00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业务报销</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361,818.15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代收代付款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6,086.95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98,270,247.35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4,689,915.00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5、递延收益" w:id="262"/>
      <w:bookmarkEnd w:id="262"/>
      <w:r>
        <w:rPr>
          <w:b w:val="0"/>
          <w:bCs w:val="0"/>
        </w:rPr>
      </w:r>
      <w:r>
        <w:rPr>
          <w:rFonts w:ascii="Times New Roman" w:hAnsi="Times New Roman" w:cs="Times New Roman" w:eastAsia="Times New Roman" w:hint="default"/>
        </w:rPr>
        <w:t>25</w:t>
      </w:r>
      <w:r>
        <w:rPr/>
        <w:t>、递延收益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1,212,833.76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20,653,596.41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752,104.82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21,114,325.35</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1,212,833.76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20,653,596.41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752,104.82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21,114,325.35</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涉及政府补助的项目：</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8" w:right="47"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407" w:right="23" w:hanging="38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基于新一代开发 平台的集团管控 软件的升级改造 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1,212,833.76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315,940.08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896,893.68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久其智慧物流公 共服务平台项目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8,370,000.00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227,208.38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8,142,791.62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工程实验室</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11,540,000.00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11,540,000.00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华夏电通数字媒 体综合控制系统 生产项目补贴款</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743,596.41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208,956.36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534,640.05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1,212,833.76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20,653,596.41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752,104.82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21,114,325.35</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both"/>
      </w:pPr>
      <w:r>
        <w:rPr/>
        <w:t>其他说明：</w:t>
      </w:r>
    </w:p>
    <w:p>
      <w:pPr>
        <w:pStyle w:val="BodyText"/>
        <w:spacing w:line="300" w:lineRule="auto" w:before="116"/>
        <w:ind w:right="1132"/>
        <w:jc w:val="both"/>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8</w:t>
      </w:r>
      <w:r>
        <w:rPr>
          <w:spacing w:val="-2"/>
        </w:rPr>
        <w:t>月，根据北京市发展和改革委员会《关于北京久其软件股份有限公司基于新一代开发平台的集团管控软件的升级</w:t>
      </w:r>
      <w:r>
        <w:rPr>
          <w:spacing w:val="-60"/>
        </w:rPr>
        <w:t> </w:t>
      </w:r>
      <w:r>
        <w:rPr>
          <w:spacing w:val="-60"/>
        </w:rPr>
      </w:r>
      <w:r>
        <w:rPr/>
        <w:t>改造项目资金申请报告的批复》（京发改【</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1313</w:t>
      </w:r>
      <w:r>
        <w:rPr/>
        <w:t>号），公司收到</w:t>
      </w:r>
      <w:r>
        <w:rPr>
          <w:rFonts w:ascii="Times New Roman" w:hAnsi="Times New Roman" w:cs="Times New Roman" w:eastAsia="Times New Roman" w:hint="default"/>
        </w:rPr>
        <w:t>“</w:t>
      </w:r>
      <w:r>
        <w:rPr/>
        <w:t>基于新一代开发平台的集团管控软件的升级改造项</w:t>
      </w:r>
      <w:r>
        <w:rPr>
          <w:spacing w:val="-75"/>
        </w:rPr>
        <w:t> </w:t>
      </w:r>
      <w:r>
        <w:rPr>
          <w:spacing w:val="-75"/>
        </w:rPr>
      </w:r>
      <w:r>
        <w:rPr/>
        <w:t>目</w:t>
      </w:r>
      <w:r>
        <w:rPr>
          <w:rFonts w:ascii="Times New Roman" w:hAnsi="Times New Roman" w:cs="Times New Roman" w:eastAsia="Times New Roman" w:hint="default"/>
        </w:rPr>
        <w:t>”</w:t>
      </w:r>
      <w:r>
        <w:rPr/>
        <w:t>专项补贴</w:t>
      </w:r>
      <w:r>
        <w:rPr>
          <w:rFonts w:ascii="Times New Roman" w:hAnsi="Times New Roman" w:cs="Times New Roman" w:eastAsia="Times New Roman" w:hint="default"/>
        </w:rPr>
        <w:t>1,700,000.00</w:t>
      </w:r>
      <w:r>
        <w:rPr/>
        <w:t>元；截至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月，该资金已全部用于购买机器设备和无形资产，该专项补贴按机器设备和无形</w:t>
      </w:r>
      <w:r>
        <w:rPr>
          <w:spacing w:val="-39"/>
        </w:rPr>
        <w:t> </w:t>
      </w:r>
      <w:r>
        <w:rPr>
          <w:spacing w:val="-39"/>
        </w:rPr>
      </w:r>
      <w:r>
        <w:rPr/>
        <w:t>资产使用年限分摊计入营业外收入，本年计入营业外收入</w:t>
      </w:r>
      <w:r>
        <w:rPr>
          <w:rFonts w:ascii="Times New Roman" w:hAnsi="Times New Roman" w:cs="Times New Roman" w:eastAsia="Times New Roman" w:hint="default"/>
        </w:rPr>
        <w:t>315,940.08</w:t>
      </w:r>
      <w:r>
        <w:rPr/>
        <w:t>元。</w:t>
      </w:r>
    </w:p>
    <w:p>
      <w:pPr>
        <w:pStyle w:val="BodyText"/>
        <w:spacing w:line="300" w:lineRule="auto" w:before="13"/>
        <w:ind w:right="1129"/>
        <w:jc w:val="both"/>
      </w:pPr>
      <w:r>
        <w:rPr>
          <w:rFonts w:ascii="Times New Roman" w:hAnsi="Times New Roman" w:cs="Times New Roman" w:eastAsia="Times New Roman" w:hint="default"/>
        </w:rPr>
        <w:t>2</w:t>
      </w:r>
      <w:r>
        <w:rPr/>
        <w:t>、根据《财政部 发展改革委 商务部</w:t>
      </w:r>
      <w:r>
        <w:rPr>
          <w:spacing w:val="32"/>
        </w:rPr>
        <w:t> </w:t>
      </w:r>
      <w:r>
        <w:rPr/>
        <w:t>科技部关于批复中关村现代服务业试点方案的通知》</w:t>
      </w:r>
      <w:r>
        <w:rPr>
          <w:rFonts w:ascii="Times New Roman" w:hAnsi="Times New Roman" w:cs="Times New Roman" w:eastAsia="Times New Roman" w:hint="default"/>
        </w:rPr>
        <w:t>(</w:t>
      </w:r>
      <w:r>
        <w:rPr/>
        <w:t>财建函</w:t>
      </w:r>
      <w:r>
        <w:rPr>
          <w:rFonts w:ascii="Times New Roman" w:hAnsi="Times New Roman" w:cs="Times New Roman" w:eastAsia="Times New Roman" w:hint="default"/>
        </w:rPr>
        <w:t>[2011]32</w:t>
      </w:r>
      <w:r>
        <w:rPr/>
        <w:t>号</w:t>
      </w:r>
      <w:r>
        <w:rPr>
          <w:rFonts w:ascii="Times New Roman" w:hAnsi="Times New Roman" w:cs="Times New Roman" w:eastAsia="Times New Roman" w:hint="default"/>
        </w:rPr>
        <w:t>)</w:t>
      </w:r>
      <w:r>
        <w:rPr/>
        <w:t>文件要求， </w:t>
      </w:r>
      <w:r>
        <w:rPr>
          <w:spacing w:val="9"/>
        </w:rPr>
        <w:t>公司申报</w:t>
      </w:r>
      <w:r>
        <w:rPr>
          <w:rFonts w:ascii="Times New Roman" w:hAnsi="Times New Roman" w:cs="Times New Roman" w:eastAsia="Times New Roman" w:hint="default"/>
          <w:spacing w:val="9"/>
        </w:rPr>
        <w:t>2014</w:t>
      </w:r>
      <w:r>
        <w:rPr>
          <w:spacing w:val="9"/>
        </w:rPr>
        <w:t>年中关村现代服务业试点项目通过审批，于</w:t>
      </w:r>
      <w:r>
        <w:rPr>
          <w:rFonts w:ascii="Times New Roman" w:hAnsi="Times New Roman" w:cs="Times New Roman" w:eastAsia="Times New Roman" w:hint="default"/>
          <w:spacing w:val="9"/>
        </w:rPr>
        <w:t>2015</w:t>
      </w:r>
      <w:r>
        <w:rPr>
          <w:spacing w:val="9"/>
        </w:rPr>
        <w:t>年</w:t>
      </w:r>
      <w:r>
        <w:rPr>
          <w:rFonts w:ascii="Times New Roman" w:hAnsi="Times New Roman" w:cs="Times New Roman" w:eastAsia="Times New Roman" w:hint="default"/>
          <w:spacing w:val="9"/>
        </w:rPr>
        <w:t>3</w:t>
      </w:r>
      <w:r>
        <w:rPr>
          <w:spacing w:val="9"/>
        </w:rPr>
        <w:t>月收到</w:t>
      </w:r>
      <w:r>
        <w:rPr>
          <w:rFonts w:ascii="Times New Roman" w:hAnsi="Times New Roman" w:cs="Times New Roman" w:eastAsia="Times New Roman" w:hint="default"/>
          <w:spacing w:val="9"/>
        </w:rPr>
        <w:t>“</w:t>
      </w:r>
      <w:r>
        <w:rPr>
          <w:spacing w:val="9"/>
        </w:rPr>
        <w:t>久其智慧物流公共服务平台</w:t>
      </w:r>
      <w:r>
        <w:rPr>
          <w:rFonts w:ascii="Times New Roman" w:hAnsi="Times New Roman" w:cs="Times New Roman" w:eastAsia="Times New Roman" w:hint="default"/>
          <w:spacing w:val="9"/>
        </w:rPr>
        <w:t>”</w:t>
      </w:r>
      <w:r>
        <w:rPr>
          <w:spacing w:val="9"/>
        </w:rPr>
        <w:t>政府支持资金</w:t>
      </w:r>
      <w:r>
        <w:rPr>
          <w:spacing w:val="-59"/>
        </w:rPr>
        <w:t> </w:t>
      </w:r>
      <w:r>
        <w:rPr>
          <w:spacing w:val="-59"/>
        </w:rPr>
      </w:r>
      <w:r>
        <w:rPr>
          <w:rFonts w:ascii="Times New Roman" w:hAnsi="Times New Roman" w:cs="Times New Roman" w:eastAsia="Times New Roman" w:hint="default"/>
        </w:rPr>
        <w:t>8,370,000.00</w:t>
      </w:r>
      <w:r>
        <w:rPr/>
        <w:t>元。</w:t>
      </w:r>
    </w:p>
    <w:p>
      <w:pPr>
        <w:pStyle w:val="BodyText"/>
        <w:spacing w:line="300" w:lineRule="auto" w:before="13"/>
        <w:ind w:right="1123"/>
        <w:jc w:val="left"/>
      </w:pP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5</w:t>
      </w:r>
      <w:r>
        <w:rPr>
          <w:spacing w:val="-2"/>
        </w:rPr>
        <w:t>月，根据北京市发展和改革委员会《关于北京久其软件股份有限公司基于大数据的预测预警技术北京市工程实验</w:t>
      </w:r>
      <w:r>
        <w:rPr>
          <w:spacing w:val="-60"/>
        </w:rPr>
        <w:t> </w:t>
      </w:r>
      <w:r>
        <w:rPr>
          <w:spacing w:val="-60"/>
        </w:rPr>
      </w:r>
      <w:r>
        <w:rPr/>
        <w:t>室创新能项目补助资金的批复》（京发改【</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1039</w:t>
      </w:r>
      <w:r>
        <w:rPr/>
        <w:t>号），公司收到</w:t>
      </w:r>
      <w:r>
        <w:rPr>
          <w:rFonts w:ascii="Times New Roman" w:hAnsi="Times New Roman" w:cs="Times New Roman" w:eastAsia="Times New Roman" w:hint="default"/>
        </w:rPr>
        <w:t>"</w:t>
      </w:r>
      <w:r>
        <w:rPr/>
        <w:t>基于大数据的预测预警技术北京市工程实验室创新</w:t>
      </w:r>
      <w:r>
        <w:rPr>
          <w:spacing w:val="-72"/>
        </w:rPr>
        <w:t> </w:t>
      </w:r>
      <w:r>
        <w:rPr>
          <w:spacing w:val="-72"/>
        </w:rPr>
      </w:r>
      <w:r>
        <w:rPr/>
        <w:t>能力建设项目</w:t>
      </w:r>
      <w:r>
        <w:rPr>
          <w:rFonts w:ascii="Times New Roman" w:hAnsi="Times New Roman" w:cs="Times New Roman" w:eastAsia="Times New Roman" w:hint="default"/>
        </w:rPr>
        <w:t>"</w:t>
      </w:r>
      <w:r>
        <w:rPr/>
        <w:t>专项补贴</w:t>
      </w:r>
      <w:r>
        <w:rPr>
          <w:rFonts w:ascii="Times New Roman" w:hAnsi="Times New Roman" w:cs="Times New Roman" w:eastAsia="Times New Roman" w:hint="default"/>
        </w:rPr>
        <w:t>11,540,000.00</w:t>
      </w:r>
      <w:r>
        <w:rPr/>
        <w:t>元。 </w:t>
      </w:r>
      <w:r>
        <w:rPr>
          <w:rFonts w:ascii="Times New Roman" w:hAnsi="Times New Roman" w:cs="Times New Roman" w:eastAsia="Times New Roman" w:hint="default"/>
        </w:rPr>
        <w:t>4</w:t>
      </w:r>
      <w:r>
        <w:rPr/>
        <w:t>、根据北京市经济和信息化委员会发布的《关于组织申报</w:t>
      </w:r>
      <w:r>
        <w:rPr>
          <w:rFonts w:ascii="Times New Roman" w:hAnsi="Times New Roman" w:cs="Times New Roman" w:eastAsia="Times New Roman" w:hint="default"/>
        </w:rPr>
        <w:t>2012</w:t>
      </w:r>
      <w:r>
        <w:rPr/>
        <w:t>年第二批北京市中小企业发展专项资金项目的通知》的有关</w:t>
      </w:r>
      <w:r>
        <w:rPr>
          <w:spacing w:val="-82"/>
        </w:rPr>
        <w:t> </w:t>
      </w:r>
      <w:r>
        <w:rPr>
          <w:spacing w:val="-82"/>
        </w:rPr>
      </w:r>
      <w:r>
        <w:rPr>
          <w:spacing w:val="-2"/>
        </w:rPr>
        <w:t>规定，本公司申报</w:t>
      </w:r>
      <w:r>
        <w:rPr>
          <w:rFonts w:ascii="Times New Roman" w:hAnsi="Times New Roman" w:cs="Times New Roman" w:eastAsia="Times New Roman" w:hint="default"/>
          <w:spacing w:val="-2"/>
        </w:rPr>
        <w:t>“</w:t>
      </w:r>
      <w:r>
        <w:rPr>
          <w:spacing w:val="-2"/>
        </w:rPr>
        <w:t>华夏电通数字媒体综合控制系统生产项目</w:t>
      </w:r>
      <w:r>
        <w:rPr>
          <w:rFonts w:ascii="Times New Roman" w:hAnsi="Times New Roman" w:cs="Times New Roman" w:eastAsia="Times New Roman" w:hint="default"/>
          <w:spacing w:val="-2"/>
        </w:rPr>
        <w:t>”</w:t>
      </w:r>
      <w:r>
        <w:rPr>
          <w:spacing w:val="-2"/>
        </w:rPr>
        <w:t>专项补贴，于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10</w:t>
      </w:r>
      <w:r>
        <w:rPr>
          <w:spacing w:val="-2"/>
        </w:rPr>
        <w:t>月与北京市经济和信息化委员会签订了</w:t>
      </w:r>
    </w:p>
    <w:p>
      <w:pPr>
        <w:pStyle w:val="BodyText"/>
        <w:spacing w:line="240" w:lineRule="auto" w:before="13"/>
        <w:ind w:left="154" w:right="0"/>
        <w:jc w:val="both"/>
      </w:pPr>
      <w:r>
        <w:rPr/>
        <w:t>《北京市工业发展资金拨款项目合同书》，合同约定本公司获得专项发展资金</w:t>
      </w:r>
      <w:r>
        <w:rPr>
          <w:rFonts w:ascii="Times New Roman" w:hAnsi="Times New Roman" w:cs="Times New Roman" w:eastAsia="Times New Roman" w:hint="default"/>
        </w:rPr>
        <w:t>1,140,000.00</w:t>
      </w:r>
      <w:r>
        <w:rPr/>
        <w:t>元，该项资金用于购买</w:t>
      </w:r>
      <w:r>
        <w:rPr>
          <w:rFonts w:ascii="Times New Roman" w:hAnsi="Times New Roman" w:cs="Times New Roman" w:eastAsia="Times New Roman" w:hint="default"/>
        </w:rPr>
        <w:t>“</w:t>
      </w:r>
      <w:r>
        <w:rPr/>
        <w:t>华夏电通</w:t>
      </w:r>
    </w:p>
    <w:p>
      <w:pPr>
        <w:spacing w:after="0" w:line="240" w:lineRule="auto"/>
        <w:jc w:val="both"/>
        <w:sectPr>
          <w:pgSz w:w="11910" w:h="16840"/>
          <w:pgMar w:header="87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0"/>
        <w:jc w:val="left"/>
      </w:pPr>
      <w:r>
        <w:rPr/>
        <w:t>数字媒体综合控制系统生产项目</w:t>
      </w:r>
      <w:r>
        <w:rPr>
          <w:rFonts w:ascii="Times New Roman" w:hAnsi="Times New Roman" w:cs="Times New Roman" w:eastAsia="Times New Roman" w:hint="default"/>
        </w:rPr>
        <w:t>”</w:t>
      </w:r>
      <w:r>
        <w:rPr/>
        <w:t>相关资产，包括</w:t>
      </w:r>
      <w:r>
        <w:rPr>
          <w:rFonts w:ascii="Times New Roman" w:hAnsi="Times New Roman" w:cs="Times New Roman" w:eastAsia="Times New Roman" w:hint="default"/>
        </w:rPr>
        <w:t>IBM</w:t>
      </w:r>
      <w:r>
        <w:rPr/>
        <w:t>服务器、多点控制单元、视频会议终端、机柜、软件，在实际收到资</w:t>
      </w:r>
      <w:r>
        <w:rPr>
          <w:spacing w:val="-56"/>
        </w:rPr>
        <w:t> </w:t>
      </w:r>
      <w:r>
        <w:rPr>
          <w:spacing w:val="-56"/>
        </w:rPr>
      </w:r>
      <w:r>
        <w:rPr/>
        <w:t>金时计入其他非流动负债并在相关资产使用期限内分期计入营业外收入。</w:t>
      </w:r>
    </w:p>
    <w:p>
      <w:pPr>
        <w:spacing w:line="240" w:lineRule="auto" w:before="6"/>
        <w:rPr>
          <w:rFonts w:ascii="宋体" w:hAnsi="宋体" w:cs="宋体" w:eastAsia="宋体" w:hint="default"/>
          <w:sz w:val="23"/>
          <w:szCs w:val="23"/>
        </w:rPr>
      </w:pPr>
    </w:p>
    <w:p>
      <w:pPr>
        <w:pStyle w:val="Heading3"/>
        <w:spacing w:line="240" w:lineRule="auto"/>
        <w:ind w:left="153" w:right="0"/>
        <w:jc w:val="left"/>
        <w:rPr>
          <w:b w:val="0"/>
          <w:bCs w:val="0"/>
        </w:rPr>
      </w:pPr>
      <w:bookmarkStart w:name="26、股本" w:id="263"/>
      <w:bookmarkEnd w:id="263"/>
      <w:r>
        <w:rPr>
          <w:b w:val="0"/>
          <w:bCs w:val="0"/>
        </w:rPr>
      </w:r>
      <w:r>
        <w:rPr>
          <w:rFonts w:ascii="Times New Roman" w:hAnsi="Times New Roman" w:cs="Times New Roman" w:eastAsia="Times New Roman" w:hint="default"/>
        </w:rPr>
        <w:t>26</w:t>
      </w:r>
      <w:r>
        <w:rPr/>
        <w:t>、股本</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175,795,305.00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7" w:right="0"/>
              <w:jc w:val="left"/>
              <w:rPr>
                <w:rFonts w:ascii="Times New Roman" w:hAnsi="Times New Roman" w:cs="Times New Roman" w:eastAsia="Times New Roman" w:hint="default"/>
                <w:sz w:val="18"/>
                <w:szCs w:val="18"/>
              </w:rPr>
            </w:pPr>
            <w:r>
              <w:rPr>
                <w:rFonts w:ascii="Times New Roman"/>
                <w:sz w:val="18"/>
              </w:rPr>
              <w:t>41,189,372.00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3" w:right="0"/>
              <w:jc w:val="left"/>
              <w:rPr>
                <w:rFonts w:ascii="Times New Roman" w:hAnsi="Times New Roman" w:cs="Times New Roman" w:eastAsia="Times New Roman" w:hint="default"/>
                <w:sz w:val="18"/>
                <w:szCs w:val="18"/>
              </w:rPr>
            </w:pPr>
            <w:r>
              <w:rPr>
                <w:rFonts w:ascii="Times New Roman"/>
                <w:sz w:val="18"/>
              </w:rPr>
              <w:t>-387,897.00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8" w:right="0"/>
              <w:jc w:val="left"/>
              <w:rPr>
                <w:rFonts w:ascii="Times New Roman" w:hAnsi="Times New Roman" w:cs="Times New Roman" w:eastAsia="Times New Roman" w:hint="default"/>
                <w:sz w:val="18"/>
                <w:szCs w:val="18"/>
              </w:rPr>
            </w:pPr>
            <w:r>
              <w:rPr>
                <w:rFonts w:ascii="Times New Roman"/>
                <w:sz w:val="18"/>
              </w:rPr>
              <w:t>40,801,475.00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left"/>
              <w:rPr>
                <w:rFonts w:ascii="Times New Roman" w:hAnsi="Times New Roman" w:cs="Times New Roman" w:eastAsia="Times New Roman" w:hint="default"/>
                <w:sz w:val="18"/>
                <w:szCs w:val="18"/>
              </w:rPr>
            </w:pPr>
            <w:r>
              <w:rPr>
                <w:rFonts w:ascii="Times New Roman"/>
                <w:sz w:val="18"/>
              </w:rPr>
              <w:t>216,596,780.00</w:t>
            </w:r>
          </w:p>
        </w:tc>
      </w:tr>
    </w:tbl>
    <w:p>
      <w:pPr>
        <w:pStyle w:val="BodyText"/>
        <w:spacing w:line="240" w:lineRule="auto" w:before="51"/>
        <w:ind w:left="154" w:right="0"/>
        <w:jc w:val="left"/>
      </w:pPr>
      <w:r>
        <w:rPr/>
        <w:t>其他说明：</w:t>
      </w:r>
    </w:p>
    <w:p>
      <w:pPr>
        <w:pStyle w:val="BodyText"/>
        <w:spacing w:line="240" w:lineRule="auto" w:before="115"/>
        <w:ind w:right="0"/>
        <w:jc w:val="left"/>
        <w:rPr>
          <w:rFonts w:ascii="Times New Roman" w:hAnsi="Times New Roman" w:cs="Times New Roman" w:eastAsia="Times New Roman" w:hint="default"/>
        </w:rPr>
      </w:pPr>
      <w:r>
        <w:rPr>
          <w:rFonts w:ascii="Times New Roman" w:hAnsi="Times New Roman" w:cs="Times New Roman" w:eastAsia="Times New Roman" w:hint="default"/>
        </w:rPr>
        <w:t>1</w:t>
      </w:r>
      <w:r>
        <w:rPr>
          <w:spacing w:val="-90"/>
        </w:rPr>
        <w:t>、</w:t>
      </w:r>
      <w:r>
        <w:rPr/>
        <w:t>根据公司</w:t>
      </w:r>
      <w:r>
        <w:rPr>
          <w:spacing w:val="-49"/>
        </w:rPr>
        <w:t> </w:t>
      </w:r>
      <w:r>
        <w:rPr>
          <w:rFonts w:ascii="Times New Roman" w:hAnsi="Times New Roman" w:cs="Times New Roman" w:eastAsia="Times New Roman" w:hint="default"/>
        </w:rPr>
        <w:t>2014</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t>月</w:t>
      </w:r>
      <w:r>
        <w:rPr>
          <w:spacing w:val="-50"/>
        </w:rPr>
        <w:t> </w:t>
      </w:r>
      <w:r>
        <w:rPr>
          <w:rFonts w:ascii="Times New Roman" w:hAnsi="Times New Roman" w:cs="Times New Roman" w:eastAsia="Times New Roman" w:hint="default"/>
        </w:rPr>
        <w:t>25</w:t>
      </w:r>
      <w:r>
        <w:rPr>
          <w:rFonts w:ascii="Times New Roman" w:hAnsi="Times New Roman" w:cs="Times New Roman" w:eastAsia="Times New Roman" w:hint="default"/>
          <w:spacing w:val="-5"/>
        </w:rPr>
        <w:t> </w:t>
      </w:r>
      <w:r>
        <w:rPr/>
        <w:t>日召开的</w:t>
      </w:r>
      <w:r>
        <w:rPr>
          <w:spacing w:val="-50"/>
        </w:rPr>
        <w:t> </w:t>
      </w:r>
      <w:r>
        <w:rPr>
          <w:rFonts w:ascii="Times New Roman" w:hAnsi="Times New Roman" w:cs="Times New Roman" w:eastAsia="Times New Roman" w:hint="default"/>
        </w:rPr>
        <w:t>2014</w:t>
      </w:r>
      <w:r>
        <w:rPr>
          <w:rFonts w:ascii="Times New Roman" w:hAnsi="Times New Roman" w:cs="Times New Roman" w:eastAsia="Times New Roman" w:hint="default"/>
          <w:spacing w:val="-5"/>
        </w:rPr>
        <w:t> </w:t>
      </w:r>
      <w:r>
        <w:rPr/>
        <w:t>年度第二次临时股东大会决议并经证监会核准</w:t>
      </w:r>
      <w:r>
        <w:rPr>
          <w:spacing w:val="-90"/>
        </w:rPr>
        <w:t>，</w:t>
      </w:r>
      <w:r>
        <w:rPr/>
        <w:t>公司在报告期内共发行</w:t>
      </w:r>
      <w:r>
        <w:rPr>
          <w:spacing w:val="-49"/>
        </w:rPr>
        <w:t> </w:t>
      </w:r>
      <w:r>
        <w:rPr>
          <w:rFonts w:ascii="Times New Roman" w:hAnsi="Times New Roman" w:cs="Times New Roman" w:eastAsia="Times New Roman" w:hint="default"/>
        </w:rPr>
        <w:t>22,403,432</w:t>
      </w:r>
    </w:p>
    <w:p>
      <w:pPr>
        <w:pStyle w:val="BodyText"/>
        <w:spacing w:line="240" w:lineRule="auto" w:before="64"/>
        <w:ind w:right="0"/>
        <w:jc w:val="left"/>
      </w:pPr>
      <w:r>
        <w:rPr/>
        <w:t>股有限售条件股份用于购买亿起联科技</w:t>
      </w:r>
      <w:r>
        <w:rPr>
          <w:spacing w:val="-46"/>
        </w:rPr>
        <w:t> </w:t>
      </w:r>
      <w:r>
        <w:rPr>
          <w:rFonts w:ascii="Times New Roman" w:hAnsi="Times New Roman" w:cs="Times New Roman" w:eastAsia="Times New Roman" w:hint="default"/>
        </w:rPr>
        <w:t>100%</w:t>
      </w:r>
      <w:r>
        <w:rPr/>
        <w:t>股权并募集配套资金。</w:t>
      </w:r>
    </w:p>
    <w:p>
      <w:pPr>
        <w:pStyle w:val="BodyText"/>
        <w:spacing w:line="240" w:lineRule="auto" w:before="102"/>
        <w:ind w:right="0"/>
        <w:jc w:val="left"/>
        <w:rPr>
          <w:rFonts w:ascii="Times New Roman" w:hAnsi="Times New Roman" w:cs="Times New Roman" w:eastAsia="Times New Roman" w:hint="default"/>
        </w:rPr>
      </w:pPr>
      <w:r>
        <w:rPr>
          <w:rFonts w:ascii="Times New Roman" w:hAnsi="Times New Roman" w:cs="Times New Roman" w:eastAsia="Times New Roman" w:hint="default"/>
        </w:rPr>
        <w:t>2</w:t>
      </w:r>
      <w:r>
        <w:rPr>
          <w:spacing w:val="-90"/>
        </w:rPr>
        <w:t>、</w:t>
      </w:r>
      <w:r>
        <w:rPr/>
        <w:t>根据公司</w:t>
      </w:r>
      <w:r>
        <w:rPr>
          <w:spacing w:val="-49"/>
        </w:rPr>
        <w:t> </w:t>
      </w:r>
      <w:r>
        <w:rPr>
          <w:rFonts w:ascii="Times New Roman" w:hAnsi="Times New Roman" w:cs="Times New Roman" w:eastAsia="Times New Roman" w:hint="default"/>
        </w:rPr>
        <w:t>2015</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t>月</w:t>
      </w:r>
      <w:r>
        <w:rPr>
          <w:spacing w:val="-50"/>
        </w:rPr>
        <w:t> </w:t>
      </w:r>
      <w:r>
        <w:rPr>
          <w:rFonts w:ascii="Times New Roman" w:hAnsi="Times New Roman" w:cs="Times New Roman" w:eastAsia="Times New Roman" w:hint="default"/>
        </w:rPr>
        <w:t>21</w:t>
      </w:r>
      <w:r>
        <w:rPr>
          <w:rFonts w:ascii="Times New Roman" w:hAnsi="Times New Roman" w:cs="Times New Roman" w:eastAsia="Times New Roman" w:hint="default"/>
          <w:spacing w:val="-5"/>
        </w:rPr>
        <w:t> </w:t>
      </w:r>
      <w:r>
        <w:rPr/>
        <w:t>日召开的</w:t>
      </w:r>
      <w:r>
        <w:rPr>
          <w:spacing w:val="-50"/>
        </w:rPr>
        <w:t> </w:t>
      </w:r>
      <w:r>
        <w:rPr>
          <w:rFonts w:ascii="Times New Roman" w:hAnsi="Times New Roman" w:cs="Times New Roman" w:eastAsia="Times New Roman" w:hint="default"/>
        </w:rPr>
        <w:t>2015</w:t>
      </w:r>
      <w:r>
        <w:rPr>
          <w:rFonts w:ascii="Times New Roman" w:hAnsi="Times New Roman" w:cs="Times New Roman" w:eastAsia="Times New Roman" w:hint="default"/>
          <w:spacing w:val="-5"/>
        </w:rPr>
        <w:t> </w:t>
      </w:r>
      <w:r>
        <w:rPr/>
        <w:t>年度第二次临时股东大会决议并经证监会核准</w:t>
      </w:r>
      <w:r>
        <w:rPr>
          <w:spacing w:val="-90"/>
        </w:rPr>
        <w:t>，</w:t>
      </w:r>
      <w:r>
        <w:rPr/>
        <w:t>公司在报告期内共发行</w:t>
      </w:r>
      <w:r>
        <w:rPr>
          <w:spacing w:val="-49"/>
        </w:rPr>
        <w:t> </w:t>
      </w:r>
      <w:r>
        <w:rPr>
          <w:rFonts w:ascii="Times New Roman" w:hAnsi="Times New Roman" w:cs="Times New Roman" w:eastAsia="Times New Roman" w:hint="default"/>
        </w:rPr>
        <w:t>18,785,940</w:t>
      </w:r>
    </w:p>
    <w:p>
      <w:pPr>
        <w:pStyle w:val="BodyText"/>
        <w:spacing w:line="240" w:lineRule="auto" w:before="64"/>
        <w:ind w:right="0"/>
        <w:jc w:val="left"/>
      </w:pPr>
      <w:r>
        <w:rPr/>
        <w:t>股有限售条件股份用于购买华夏电通</w:t>
      </w:r>
      <w:r>
        <w:rPr>
          <w:spacing w:val="-46"/>
        </w:rPr>
        <w:t> </w:t>
      </w:r>
      <w:r>
        <w:rPr>
          <w:rFonts w:ascii="Times New Roman" w:hAnsi="Times New Roman" w:cs="Times New Roman" w:eastAsia="Times New Roman" w:hint="default"/>
        </w:rPr>
        <w:t>100%</w:t>
      </w:r>
      <w:r>
        <w:rPr/>
        <w:t>股权并募集配套资金。</w:t>
      </w:r>
    </w:p>
    <w:p>
      <w:pPr>
        <w:pStyle w:val="BodyText"/>
        <w:spacing w:line="240" w:lineRule="auto" w:before="101"/>
        <w:ind w:right="0"/>
        <w:jc w:val="left"/>
      </w:pPr>
      <w:r>
        <w:rPr>
          <w:rFonts w:ascii="Times New Roman" w:hAnsi="Times New Roman" w:cs="Times New Roman" w:eastAsia="Times New Roman" w:hint="default"/>
          <w:spacing w:val="-3"/>
        </w:rPr>
        <w:t>3</w:t>
      </w:r>
      <w:r>
        <w:rPr>
          <w:spacing w:val="-3"/>
        </w:rPr>
        <w:t>、由于交易对手方承诺的亿起联科技</w:t>
      </w:r>
      <w:r>
        <w:rPr>
          <w:spacing w:val="-62"/>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6"/>
        </w:rPr>
        <w:t> </w:t>
      </w:r>
      <w:r>
        <w:rPr/>
        <w:t>年度业绩未达成，则公司定向回购并注销了交易对手方所持的部分有限售条件股</w:t>
      </w:r>
    </w:p>
    <w:p>
      <w:pPr>
        <w:pStyle w:val="BodyText"/>
        <w:spacing w:line="240" w:lineRule="auto" w:before="64"/>
        <w:ind w:left="154" w:right="0"/>
        <w:jc w:val="left"/>
      </w:pPr>
      <w:r>
        <w:rPr/>
        <w:t>份，导致公司总股本减少</w:t>
      </w:r>
      <w:r>
        <w:rPr>
          <w:spacing w:val="-46"/>
        </w:rPr>
        <w:t> </w:t>
      </w:r>
      <w:r>
        <w:rPr>
          <w:rFonts w:ascii="Times New Roman" w:hAnsi="Times New Roman" w:cs="Times New Roman" w:eastAsia="Times New Roman" w:hint="default"/>
        </w:rPr>
        <w:t>387,897</w:t>
      </w:r>
      <w:r>
        <w:rPr>
          <w:rFonts w:ascii="Times New Roman" w:hAnsi="Times New Roman" w:cs="Times New Roman" w:eastAsia="Times New Roman" w:hint="default"/>
          <w:spacing w:val="-1"/>
        </w:rPr>
        <w:t> </w:t>
      </w:r>
      <w:r>
        <w:rPr/>
        <w:t>股。</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7、资本公积" w:id="264"/>
      <w:bookmarkEnd w:id="264"/>
      <w:r>
        <w:rPr>
          <w:b w:val="0"/>
          <w:bCs w:val="0"/>
        </w:rPr>
      </w:r>
      <w:r>
        <w:rPr>
          <w:rFonts w:ascii="Times New Roman" w:hAnsi="Times New Roman" w:cs="Times New Roman" w:eastAsia="Times New Roman" w:hint="default"/>
        </w:rPr>
        <w:t>27</w:t>
      </w:r>
      <w:r>
        <w:rPr/>
        <w:t>、资本公积</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255,019,596.69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1,058,931,197.78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1,313,950,794.47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20,899,633.82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867,686.48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21,767,320.30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275,919,230.51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1,059,798,884.26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1,335,718,114.77</w:t>
            </w:r>
          </w:p>
        </w:tc>
      </w:tr>
    </w:tbl>
    <w:p>
      <w:pPr>
        <w:pStyle w:val="BodyText"/>
        <w:spacing w:line="240" w:lineRule="auto" w:before="51"/>
        <w:ind w:left="154" w:right="0"/>
        <w:jc w:val="left"/>
      </w:pPr>
      <w:r>
        <w:rPr/>
        <w:t>其他说明，包括本期增减变动情况、变动原因说明：</w:t>
      </w:r>
    </w:p>
    <w:p>
      <w:pPr>
        <w:pStyle w:val="BodyText"/>
        <w:spacing w:line="300" w:lineRule="auto" w:before="115"/>
        <w:ind w:left="154" w:right="0"/>
        <w:jc w:val="left"/>
      </w:pPr>
      <w:r>
        <w:rPr>
          <w:rFonts w:ascii="Times New Roman" w:hAnsi="Times New Roman" w:cs="Times New Roman" w:eastAsia="Times New Roman" w:hint="default"/>
        </w:rPr>
        <w:t>1</w:t>
      </w:r>
      <w:r>
        <w:rPr/>
        <w:t>、本公司因收购北京亿起联科技有限公司</w:t>
      </w:r>
      <w:r>
        <w:rPr>
          <w:rFonts w:ascii="Times New Roman" w:hAnsi="Times New Roman" w:cs="Times New Roman" w:eastAsia="Times New Roman" w:hint="default"/>
        </w:rPr>
        <w:t>100%</w:t>
      </w:r>
      <w:r>
        <w:rPr/>
        <w:t>股权并配套募集资金，于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月增发</w:t>
      </w:r>
      <w:r>
        <w:rPr>
          <w:rFonts w:ascii="Times New Roman" w:hAnsi="Times New Roman" w:cs="Times New Roman" w:eastAsia="Times New Roman" w:hint="default"/>
        </w:rPr>
        <w:t>22,403,432.00</w:t>
      </w:r>
      <w:r>
        <w:rPr/>
        <w:t>股股份，增加资本公</w:t>
      </w:r>
      <w:r>
        <w:rPr>
          <w:spacing w:val="-20"/>
        </w:rPr>
        <w:t> </w:t>
      </w:r>
      <w:r>
        <w:rPr>
          <w:spacing w:val="-20"/>
        </w:rPr>
      </w:r>
      <w:r>
        <w:rPr/>
        <w:t>积</w:t>
      </w:r>
      <w:r>
        <w:rPr>
          <w:rFonts w:ascii="Times New Roman" w:hAnsi="Times New Roman" w:cs="Times New Roman" w:eastAsia="Times New Roman" w:hint="default"/>
        </w:rPr>
        <w:t>488,399,122.48</w:t>
      </w:r>
      <w:r>
        <w:rPr/>
        <w:t>元。</w:t>
      </w:r>
    </w:p>
    <w:p>
      <w:pPr>
        <w:pStyle w:val="BodyText"/>
        <w:spacing w:line="300" w:lineRule="auto" w:before="13"/>
        <w:ind w:right="0"/>
        <w:jc w:val="left"/>
      </w:pPr>
      <w:r>
        <w:rPr>
          <w:rFonts w:ascii="Times New Roman" w:hAnsi="Times New Roman" w:cs="Times New Roman" w:eastAsia="Times New Roman" w:hint="default"/>
          <w:spacing w:val="-1"/>
        </w:rPr>
        <w:t>2</w:t>
      </w:r>
      <w:r>
        <w:rPr>
          <w:spacing w:val="-1"/>
        </w:rPr>
        <w:t>、本公司因收购北京华夏电通科技有限公司</w:t>
      </w:r>
      <w:r>
        <w:rPr>
          <w:rFonts w:ascii="Times New Roman" w:hAnsi="Times New Roman" w:cs="Times New Roman" w:eastAsia="Times New Roman" w:hint="default"/>
          <w:spacing w:val="-1"/>
        </w:rPr>
        <w:t>100%</w:t>
      </w:r>
      <w:r>
        <w:rPr>
          <w:spacing w:val="-1"/>
        </w:rPr>
        <w:t>股权并配套募集资金，于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11</w:t>
      </w:r>
      <w:r>
        <w:rPr>
          <w:spacing w:val="-1"/>
        </w:rPr>
        <w:t>月增发</w:t>
      </w:r>
      <w:r>
        <w:rPr>
          <w:rFonts w:ascii="Times New Roman" w:hAnsi="Times New Roman" w:cs="Times New Roman" w:eastAsia="Times New Roman" w:hint="default"/>
          <w:spacing w:val="-1"/>
        </w:rPr>
        <w:t>18,785,940.00</w:t>
      </w:r>
      <w:r>
        <w:rPr>
          <w:spacing w:val="-1"/>
        </w:rPr>
        <w:t>股股份，增加资本</w:t>
      </w:r>
      <w:r>
        <w:rPr>
          <w:spacing w:val="-36"/>
        </w:rPr>
        <w:t> </w:t>
      </w:r>
      <w:r>
        <w:rPr>
          <w:spacing w:val="-36"/>
        </w:rPr>
      </w:r>
      <w:r>
        <w:rPr/>
        <w:t>公积</w:t>
      </w:r>
      <w:r>
        <w:rPr>
          <w:rFonts w:ascii="Times New Roman" w:hAnsi="Times New Roman" w:cs="Times New Roman" w:eastAsia="Times New Roman" w:hint="default"/>
        </w:rPr>
        <w:t>570,532,075.30</w:t>
      </w:r>
      <w:r>
        <w:rPr/>
        <w:t>元。</w:t>
      </w:r>
    </w:p>
    <w:p>
      <w:pPr>
        <w:pStyle w:val="BodyText"/>
        <w:spacing w:line="300" w:lineRule="auto" w:before="13"/>
        <w:ind w:right="1123"/>
        <w:jc w:val="left"/>
      </w:pPr>
      <w:r>
        <w:rPr>
          <w:rFonts w:ascii="Times New Roman" w:hAnsi="Times New Roman" w:cs="Times New Roman" w:eastAsia="Times New Roman" w:hint="default"/>
        </w:rPr>
        <w:t>3</w:t>
      </w:r>
      <w:r>
        <w:rPr/>
        <w:t>、由于北京亿起联科技有限公司</w:t>
      </w:r>
      <w:r>
        <w:rPr>
          <w:rFonts w:ascii="Times New Roman" w:hAnsi="Times New Roman" w:cs="Times New Roman" w:eastAsia="Times New Roman" w:hint="default"/>
        </w:rPr>
        <w:t>2014</w:t>
      </w:r>
      <w:r>
        <w:rPr/>
        <w:t>年度经审计实际业绩未能达到承诺业绩，根据公司与王新、李勇签署的《现金及发行</w:t>
      </w:r>
      <w:r>
        <w:rPr>
          <w:spacing w:val="-83"/>
        </w:rPr>
        <w:t> </w:t>
      </w:r>
      <w:r>
        <w:rPr>
          <w:spacing w:val="-83"/>
        </w:rPr>
      </w:r>
      <w:r>
        <w:rPr>
          <w:spacing w:val="-1"/>
        </w:rPr>
        <w:t>股份购买资产之业绩承诺与补偿协议》的约定，公司以</w:t>
      </w:r>
      <w:r>
        <w:rPr>
          <w:rFonts w:ascii="Times New Roman" w:hAnsi="Times New Roman" w:cs="Times New Roman" w:eastAsia="Times New Roman" w:hint="default"/>
          <w:spacing w:val="-1"/>
        </w:rPr>
        <w:t>1</w:t>
      </w:r>
      <w:r>
        <w:rPr>
          <w:spacing w:val="-1"/>
        </w:rPr>
        <w:t>元人民币总价回购王新应补偿的公司股份</w:t>
      </w:r>
      <w:r>
        <w:rPr>
          <w:rFonts w:ascii="Times New Roman" w:hAnsi="Times New Roman" w:cs="Times New Roman" w:eastAsia="Times New Roman" w:hint="default"/>
          <w:spacing w:val="-1"/>
        </w:rPr>
        <w:t>221,101</w:t>
      </w:r>
      <w:r>
        <w:rPr>
          <w:spacing w:val="-1"/>
        </w:rPr>
        <w:t>股和李勇应补偿的</w:t>
      </w:r>
      <w:r>
        <w:rPr>
          <w:spacing w:val="-70"/>
        </w:rPr>
        <w:t> </w:t>
      </w:r>
      <w:r>
        <w:rPr>
          <w:spacing w:val="-70"/>
        </w:rPr>
      </w:r>
      <w:r>
        <w:rPr/>
        <w:t>公司股份</w:t>
      </w:r>
      <w:r>
        <w:rPr>
          <w:rFonts w:ascii="Times New Roman" w:hAnsi="Times New Roman" w:cs="Times New Roman" w:eastAsia="Times New Roman" w:hint="default"/>
        </w:rPr>
        <w:t>166,796</w:t>
      </w:r>
      <w:r>
        <w:rPr/>
        <w:t>股，合计回购公司股份</w:t>
      </w:r>
      <w:r>
        <w:rPr>
          <w:rFonts w:ascii="Times New Roman" w:hAnsi="Times New Roman" w:cs="Times New Roman" w:eastAsia="Times New Roman" w:hint="default"/>
        </w:rPr>
        <w:t>387,897</w:t>
      </w:r>
      <w:r>
        <w:rPr/>
        <w:t>股并予以注销，增加资本公积</w:t>
      </w:r>
      <w:r>
        <w:rPr>
          <w:rFonts w:ascii="Times New Roman" w:hAnsi="Times New Roman" w:cs="Times New Roman" w:eastAsia="Times New Roman" w:hint="default"/>
        </w:rPr>
        <w:t>347,946.48</w:t>
      </w:r>
      <w:r>
        <w:rPr/>
        <w:t>元。</w:t>
      </w:r>
      <w:r>
        <w:rPr>
          <w:spacing w:val="-2"/>
        </w:rPr>
        <w:t> </w:t>
      </w:r>
      <w:r>
        <w:rPr>
          <w:rFonts w:ascii="Times New Roman" w:hAnsi="Times New Roman" w:cs="Times New Roman" w:eastAsia="Times New Roman" w:hint="default"/>
          <w:spacing w:val="9"/>
        </w:rPr>
        <w:t>4</w:t>
      </w:r>
      <w:r>
        <w:rPr>
          <w:spacing w:val="9"/>
        </w:rPr>
        <w:t>、公司联营企业广东同望科技股份有限公司本期增加资本公积</w:t>
      </w:r>
      <w:r>
        <w:rPr>
          <w:spacing w:val="-51"/>
        </w:rPr>
        <w:t> </w:t>
      </w:r>
      <w:r>
        <w:rPr>
          <w:rFonts w:ascii="Times New Roman" w:hAnsi="Times New Roman" w:cs="Times New Roman" w:eastAsia="Times New Roman" w:hint="default"/>
          <w:spacing w:val="5"/>
        </w:rPr>
        <w:t>2,600,000.00</w:t>
      </w:r>
      <w:r>
        <w:rPr>
          <w:spacing w:val="5"/>
        </w:rPr>
        <w:t>元，按持股比例</w:t>
      </w:r>
      <w:r>
        <w:rPr>
          <w:rFonts w:ascii="Times New Roman" w:hAnsi="Times New Roman" w:cs="Times New Roman" w:eastAsia="Times New Roman" w:hint="default"/>
          <w:spacing w:val="5"/>
        </w:rPr>
        <w:t>19.99%</w:t>
      </w:r>
      <w:r>
        <w:rPr>
          <w:spacing w:val="5"/>
        </w:rPr>
        <w:t>增加公司资本公积</w:t>
      </w:r>
    </w:p>
    <w:p>
      <w:pPr>
        <w:pStyle w:val="BodyText"/>
        <w:spacing w:line="240" w:lineRule="auto" w:before="13"/>
        <w:ind w:left="154" w:right="0"/>
        <w:jc w:val="left"/>
      </w:pPr>
      <w:r>
        <w:rPr>
          <w:rFonts w:ascii="Times New Roman" w:hAnsi="Times New Roman" w:cs="Times New Roman" w:eastAsia="Times New Roman" w:hint="default"/>
        </w:rPr>
        <w:t>519,740.00</w:t>
      </w:r>
      <w:r>
        <w:rPr/>
        <w:t>元。</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28、其他综合收益" w:id="265"/>
      <w:bookmarkEnd w:id="265"/>
      <w:r>
        <w:rPr>
          <w:b w:val="0"/>
          <w:bCs w:val="0"/>
        </w:rPr>
      </w:r>
      <w:r>
        <w:rPr>
          <w:rFonts w:ascii="Times New Roman" w:hAnsi="Times New Roman" w:cs="Times New Roman" w:eastAsia="Times New Roman" w:hint="default"/>
        </w:rPr>
        <w:t>28</w:t>
      </w:r>
      <w:r>
        <w:rPr/>
        <w:t>、其他综合收益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811"/>
        <w:gridCol w:w="1070"/>
        <w:gridCol w:w="935"/>
        <w:gridCol w:w="1152"/>
        <w:gridCol w:w="935"/>
        <w:gridCol w:w="936"/>
        <w:gridCol w:w="935"/>
        <w:gridCol w:w="798"/>
      </w:tblGrid>
      <w:tr>
        <w:trPr>
          <w:trHeight w:val="402" w:hRule="exact"/>
        </w:trPr>
        <w:tc>
          <w:tcPr>
            <w:tcW w:w="28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2811"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102" w:right="101"/>
              <w:jc w:val="left"/>
              <w:rPr>
                <w:rFonts w:ascii="宋体" w:hAnsi="宋体" w:cs="宋体" w:eastAsia="宋体" w:hint="default"/>
                <w:sz w:val="18"/>
                <w:szCs w:val="18"/>
              </w:rPr>
            </w:pPr>
            <w:r>
              <w:rPr>
                <w:rFonts w:ascii="宋体" w:hAnsi="宋体" w:cs="宋体" w:eastAsia="宋体" w:hint="default"/>
                <w:sz w:val="18"/>
                <w:szCs w:val="18"/>
              </w:rPr>
              <w:t>本期所得 税前发生</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29" w:right="30"/>
              <w:jc w:val="left"/>
              <w:rPr>
                <w:rFonts w:ascii="宋体" w:hAnsi="宋体" w:cs="宋体" w:eastAsia="宋体" w:hint="default"/>
                <w:sz w:val="18"/>
                <w:szCs w:val="18"/>
              </w:rPr>
            </w:pPr>
            <w:r>
              <w:rPr>
                <w:rFonts w:ascii="宋体" w:hAnsi="宋体" w:cs="宋体" w:eastAsia="宋体" w:hint="default"/>
                <w:sz w:val="18"/>
                <w:szCs w:val="18"/>
              </w:rPr>
              <w:t>减：前期计入 其他综合收益</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1"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101" w:right="101"/>
              <w:jc w:val="left"/>
              <w:rPr>
                <w:rFonts w:ascii="宋体" w:hAnsi="宋体" w:cs="宋体" w:eastAsia="宋体" w:hint="default"/>
                <w:sz w:val="18"/>
                <w:szCs w:val="18"/>
              </w:rPr>
            </w:pPr>
            <w:r>
              <w:rPr>
                <w:rFonts w:ascii="宋体" w:hAnsi="宋体" w:cs="宋体" w:eastAsia="宋体" w:hint="default"/>
                <w:sz w:val="18"/>
                <w:szCs w:val="18"/>
              </w:rPr>
              <w:t>税后归属 于少数股</w:t>
            </w:r>
          </w:p>
        </w:tc>
        <w:tc>
          <w:tcPr>
            <w:tcW w:w="798"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787"/>
        <w:gridCol w:w="1082"/>
        <w:gridCol w:w="935"/>
        <w:gridCol w:w="1152"/>
        <w:gridCol w:w="935"/>
        <w:gridCol w:w="936"/>
        <w:gridCol w:w="935"/>
        <w:gridCol w:w="796"/>
      </w:tblGrid>
      <w:tr>
        <w:trPr>
          <w:trHeight w:val="362" w:hRule="exact"/>
        </w:trPr>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额</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当期转入损益</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东</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64"/>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82" w:type="dxa"/>
            <w:tcBorders>
              <w:top w:val="single" w:sz="4" w:space="0" w:color="000000"/>
              <w:left w:val="single" w:sz="13" w:space="0" w:color="D2D2D2"/>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50,489.15</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50,489.15</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50,489.15</w:t>
            </w:r>
          </w:p>
        </w:tc>
      </w:tr>
      <w:tr>
        <w:trPr>
          <w:trHeight w:val="402" w:hRule="exact"/>
        </w:trPr>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82" w:type="dxa"/>
            <w:tcBorders>
              <w:top w:val="single" w:sz="4" w:space="0" w:color="000000"/>
              <w:left w:val="single" w:sz="13" w:space="0" w:color="D2D2D2"/>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50,489.15</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50,489.15</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50,489.15</w:t>
            </w:r>
          </w:p>
        </w:tc>
      </w:tr>
      <w:tr>
        <w:trPr>
          <w:trHeight w:val="402" w:hRule="exact"/>
        </w:trPr>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82" w:type="dxa"/>
            <w:tcBorders>
              <w:top w:val="single" w:sz="4" w:space="0" w:color="000000"/>
              <w:left w:val="single" w:sz="13" w:space="0" w:color="D2D2D2"/>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50,489.15</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50,489.15</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50,489.15</w:t>
            </w:r>
          </w:p>
        </w:tc>
      </w:tr>
    </w:tbl>
    <w:p>
      <w:pPr>
        <w:pStyle w:val="BodyText"/>
        <w:spacing w:line="338" w:lineRule="auto" w:before="51"/>
        <w:ind w:right="1118"/>
        <w:jc w:val="left"/>
      </w:pPr>
      <w:r>
        <w:rPr/>
        <w:t>其他综合收益说明： </w:t>
      </w:r>
      <w:r>
        <w:rPr>
          <w:spacing w:val="-2"/>
        </w:rPr>
        <w:t>本期外币财务报表折算差额为全资子公司北京亿起联科技股份有限公司三级子公司亿起联（香港）科技有限公司期末外币报</w:t>
      </w:r>
      <w:r>
        <w:rPr>
          <w:spacing w:val="-64"/>
        </w:rPr>
        <w:t> </w:t>
      </w:r>
      <w:r>
        <w:rPr>
          <w:spacing w:val="-64"/>
        </w:rPr>
      </w:r>
      <w:r>
        <w:rPr/>
        <w:t>表折算产生。</w:t>
      </w:r>
    </w:p>
    <w:p>
      <w:pPr>
        <w:spacing w:line="240" w:lineRule="auto" w:before="1"/>
        <w:rPr>
          <w:rFonts w:ascii="宋体" w:hAnsi="宋体" w:cs="宋体" w:eastAsia="宋体" w:hint="default"/>
          <w:sz w:val="21"/>
          <w:szCs w:val="21"/>
        </w:rPr>
      </w:pPr>
    </w:p>
    <w:p>
      <w:pPr>
        <w:pStyle w:val="Heading3"/>
        <w:spacing w:line="240" w:lineRule="auto"/>
        <w:ind w:left="153" w:right="0"/>
        <w:jc w:val="left"/>
        <w:rPr>
          <w:b w:val="0"/>
          <w:bCs w:val="0"/>
        </w:rPr>
      </w:pPr>
      <w:bookmarkStart w:name="29、盈余公积" w:id="266"/>
      <w:bookmarkEnd w:id="266"/>
      <w:r>
        <w:rPr>
          <w:b w:val="0"/>
          <w:bCs w:val="0"/>
        </w:rPr>
      </w:r>
      <w:r>
        <w:rPr>
          <w:rFonts w:ascii="Times New Roman" w:hAnsi="Times New Roman" w:cs="Times New Roman" w:eastAsia="Times New Roman" w:hint="default"/>
        </w:rPr>
        <w:t>29</w:t>
      </w:r>
      <w:r>
        <w:rPr/>
        <w:t>、盈余公积</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44,963,753.07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6,597,461.55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51,561,214.62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44,963,753.07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6,597,461.55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51,561,214.62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0、未分配利润" w:id="267"/>
      <w:bookmarkEnd w:id="267"/>
      <w:r>
        <w:rPr>
          <w:b w:val="0"/>
          <w:bCs w:val="0"/>
        </w:rPr>
      </w:r>
      <w:r>
        <w:rPr>
          <w:rFonts w:ascii="Times New Roman" w:hAnsi="Times New Roman" w:cs="Times New Roman" w:eastAsia="Times New Roman" w:hint="default"/>
        </w:rPr>
        <w:t>30</w:t>
      </w:r>
      <w:r>
        <w:rPr/>
        <w:t>、未分配利润</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253,108,020.97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218,193,819.13</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253,108,020.97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218,193,819.13</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134,979,385.42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72,679,211.46</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6,597,461.55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6,121,854.72</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19,819,873.70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31,643,154.90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361,670,071.14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253,108,020.97</w:t>
            </w:r>
          </w:p>
        </w:tc>
      </w:tr>
    </w:tbl>
    <w:p>
      <w:pPr>
        <w:pStyle w:val="BodyText"/>
        <w:spacing w:line="240" w:lineRule="auto" w:before="51"/>
        <w:ind w:left="154" w:right="0"/>
        <w:jc w:val="left"/>
      </w:pPr>
      <w:r>
        <w:rPr/>
        <w:t>调整期初未分配利润明细：</w:t>
      </w:r>
    </w:p>
    <w:p>
      <w:pPr>
        <w:pStyle w:val="BodyText"/>
        <w:spacing w:line="240" w:lineRule="auto" w:before="117"/>
        <w:ind w:left="154"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0"/>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 </w:t>
      </w:r>
      <w:r>
        <w:rPr/>
        <w:t>元。</w:t>
      </w:r>
    </w:p>
    <w:p>
      <w:pPr>
        <w:pStyle w:val="BodyText"/>
        <w:spacing w:line="240" w:lineRule="auto" w:before="102"/>
        <w:ind w:right="0"/>
        <w:jc w:val="left"/>
      </w:pPr>
      <w:r>
        <w:rPr>
          <w:rFonts w:ascii="Times New Roman" w:hAnsi="Times New Roman" w:cs="Times New Roman" w:eastAsia="Times New Roman" w:hint="default"/>
        </w:rPr>
        <w:t>3</w:t>
      </w:r>
      <w:r>
        <w:rPr/>
        <w:t>、由于重大会计差错更正，影响期初未分配利润</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4</w:t>
      </w:r>
      <w:r>
        <w:rPr/>
        <w:t>、由于同一控制导致的合并范围变更，影响期初未分配利润</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0"/>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31、营业收入和营业成本" w:id="268"/>
      <w:bookmarkEnd w:id="268"/>
      <w:r>
        <w:rPr>
          <w:b w:val="0"/>
          <w:bCs w:val="0"/>
        </w:rPr>
      </w:r>
      <w:r>
        <w:rPr>
          <w:rFonts w:ascii="Times New Roman" w:hAnsi="Times New Roman" w:cs="Times New Roman" w:eastAsia="Times New Roman" w:hint="default"/>
        </w:rPr>
        <w:t>31</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成本</w:t>
            </w:r>
          </w:p>
        </w:tc>
      </w:tr>
    </w:tbl>
    <w:p>
      <w:pPr>
        <w:spacing w:after="0" w:line="240" w:lineRule="auto"/>
        <w:jc w:val="center"/>
        <w:rPr>
          <w:rFonts w:ascii="宋体" w:hAnsi="宋体" w:cs="宋体" w:eastAsia="宋体"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715,254,249.59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244,262,068.17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325,919,322.40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16,379,457.86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1,425,095.96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55,802.75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759,225.00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716,679,345.55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244,317,870.92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326,678,547.40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16,379,457.86</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2、营业税金及附加" w:id="269"/>
      <w:bookmarkEnd w:id="269"/>
      <w:r>
        <w:rPr>
          <w:b w:val="0"/>
          <w:bCs w:val="0"/>
        </w:rPr>
      </w:r>
      <w:r>
        <w:rPr>
          <w:rFonts w:ascii="Times New Roman" w:hAnsi="Times New Roman" w:cs="Times New Roman" w:eastAsia="Times New Roman" w:hint="default"/>
        </w:rPr>
        <w:t>32</w:t>
      </w:r>
      <w:r>
        <w:rPr/>
        <w:t>、营业税金及附加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58,257.93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51,335.10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1,656,944.57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1,142,941.07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1,196,310.75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817,951.38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156,871.90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6,836.82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3,068,385.15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2,019,064.37</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33、销售费用" w:id="270"/>
      <w:bookmarkEnd w:id="270"/>
      <w:r>
        <w:rPr>
          <w:b w:val="0"/>
          <w:bCs w:val="0"/>
        </w:rPr>
      </w:r>
      <w:r>
        <w:rPr>
          <w:rFonts w:ascii="Times New Roman" w:hAnsi="Times New Roman" w:cs="Times New Roman" w:eastAsia="Times New Roman" w:hint="default"/>
        </w:rPr>
        <w:t>33</w:t>
      </w:r>
      <w:r>
        <w:rPr/>
        <w:t>、销售费用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其中：工资及福利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36,782,467.64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17,083,916.60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4,246,229.99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1,726,395.74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宣传费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2,841,488.80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722,151.07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2,331,754.80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1,386,969.00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2,025,845.57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484,956.15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4,839,026.02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2,575,243.10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53,066,812.82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23,979,631.66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4、管理费用" w:id="271"/>
      <w:bookmarkEnd w:id="271"/>
      <w:r>
        <w:rPr>
          <w:b w:val="0"/>
          <w:bCs w:val="0"/>
        </w:rPr>
      </w:r>
      <w:r>
        <w:rPr>
          <w:rFonts w:ascii="Times New Roman" w:hAnsi="Times New Roman" w:cs="Times New Roman" w:eastAsia="Times New Roman" w:hint="default"/>
        </w:rPr>
        <w:t>34</w:t>
      </w:r>
      <w:r>
        <w:rPr/>
        <w:t>、管理费用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其中：研究开发费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158,563,640.46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121,781,706.60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工资及福利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91,711,032.97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77,137,366.04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3,317,804.08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2,978,839.73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6,369,200.85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5,238,564.44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7,166,915.32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6,135,153.78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4,905,255.00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2,580,856.42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汽车费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2,399,631.45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2,719,788.21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1,068,949.90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2,546,456.01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聘请中介机构费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3,091,549.71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2,899,996.85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577,004.27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1,600,663.40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16,734,402.48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12,185,527.54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295,905,386.49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237,804,919.02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5、财务费用" w:id="272"/>
      <w:bookmarkEnd w:id="272"/>
      <w:r>
        <w:rPr>
          <w:b w:val="0"/>
          <w:bCs w:val="0"/>
        </w:rPr>
      </w:r>
      <w:r>
        <w:rPr>
          <w:rFonts w:ascii="Times New Roman" w:hAnsi="Times New Roman" w:cs="Times New Roman" w:eastAsia="Times New Roman" w:hint="default"/>
        </w:rPr>
        <w:t>35</w:t>
      </w:r>
      <w:r>
        <w:rPr/>
        <w:t>、财务费用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463,600.36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5,225,380.93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3,073,117.06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1,041,843.03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34,986.85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5,521.34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-3,684,950.69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-3,067,595.72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6、资产减值损失" w:id="273"/>
      <w:bookmarkEnd w:id="273"/>
      <w:r>
        <w:rPr>
          <w:b w:val="0"/>
          <w:bCs w:val="0"/>
        </w:rPr>
      </w:r>
      <w:r>
        <w:rPr>
          <w:rFonts w:ascii="Times New Roman" w:hAnsi="Times New Roman" w:cs="Times New Roman" w:eastAsia="Times New Roman" w:hint="default"/>
        </w:rPr>
        <w:t>36</w:t>
      </w:r>
      <w:r>
        <w:rPr/>
        <w:t>、资产减值损失</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778,821.88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2,830,401.92</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778,821.88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2,830,401.92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7、公允价值变动收益" w:id="274"/>
      <w:bookmarkEnd w:id="274"/>
      <w:r>
        <w:rPr>
          <w:b w:val="0"/>
          <w:bCs w:val="0"/>
        </w:rPr>
      </w:r>
      <w:r>
        <w:rPr>
          <w:rFonts w:ascii="Times New Roman" w:hAnsi="Times New Roman" w:cs="Times New Roman" w:eastAsia="Times New Roman" w:hint="default"/>
        </w:rPr>
        <w:t>37</w:t>
      </w:r>
      <w:r>
        <w:rPr/>
        <w:t>、公允价值变动收益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7"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2" w:right="93"/>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 益的金融资产</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3,066,688.55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3,821,057.10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因资产终止确认而转出至投资收益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-3,066,688.55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-3,809,526.69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11,530.41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8、投资收益" w:id="275"/>
      <w:bookmarkEnd w:id="275"/>
      <w:r>
        <w:rPr>
          <w:b w:val="0"/>
          <w:bCs w:val="0"/>
        </w:rPr>
      </w:r>
      <w:r>
        <w:rPr>
          <w:rFonts w:ascii="Times New Roman" w:hAnsi="Times New Roman" w:cs="Times New Roman" w:eastAsia="Times New Roman" w:hint="default"/>
        </w:rPr>
        <w:t>38</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1,572,147.20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1,453,558.98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269.679993pt;margin-top:729.119995pt;width:52.7pt;height:6.8pt;mso-position-horizontal-relative:page;mso-position-vertical-relative:page;z-index:-881896" coordorigin="5394,14582" coordsize="1054,136">
            <v:shape style="position:absolute;left:5394;top:14582;width:1054;height:136" coordorigin="5394,14582" coordsize="1054,136" path="m5394,14718l6447,14718,6447,14582,5394,14582,5394,14718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3,204,866.35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6,699,645.98</w:t>
            </w:r>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 益的金融资产取得的投资收益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3,066,688.55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3,809,526.69</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持有至到期投资在持有期间的投资收益</w:t>
            </w:r>
          </w:p>
        </w:tc>
        <w:tc>
          <w:tcPr>
            <w:tcW w:w="3191"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5,856,520.50</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处置持有至到期投资取得的投资收益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5,980,840.14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984,516.18</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13,824,542.24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18,803,768.33</w:t>
            </w:r>
          </w:p>
        </w:tc>
      </w:tr>
    </w:tbl>
    <w:p>
      <w:pPr>
        <w:pStyle w:val="BodyText"/>
        <w:spacing w:line="240" w:lineRule="auto" w:before="51"/>
        <w:ind w:left="154" w:right="0"/>
        <w:jc w:val="left"/>
      </w:pPr>
      <w:r>
        <w:rPr/>
        <w:t>其他说明：</w:t>
      </w:r>
    </w:p>
    <w:p>
      <w:pPr>
        <w:pStyle w:val="BodyText"/>
        <w:spacing w:line="300" w:lineRule="auto" w:before="116"/>
        <w:ind w:right="1030"/>
        <w:jc w:val="left"/>
      </w:pPr>
      <w:r>
        <w:rPr/>
        <w:t>（</w:t>
      </w:r>
      <w:r>
        <w:rPr>
          <w:rFonts w:ascii="Times New Roman" w:hAnsi="Times New Roman" w:cs="Times New Roman" w:eastAsia="Times New Roman" w:hint="default"/>
        </w:rPr>
        <w:t>1</w:t>
      </w:r>
      <w:r>
        <w:rPr/>
        <w:t>） 权益核算的长期股权投资说明： </w:t>
      </w:r>
      <w:r>
        <w:rPr>
          <w:spacing w:val="-3"/>
        </w:rPr>
        <w:t>大华会计师事务所（特殊普通合伙）对广东同望科技股份有限公司</w:t>
      </w:r>
      <w:r>
        <w:rPr>
          <w:rFonts w:ascii="Times New Roman" w:hAnsi="Times New Roman" w:cs="Times New Roman" w:eastAsia="Times New Roman" w:hint="default"/>
          <w:spacing w:val="-3"/>
        </w:rPr>
        <w:t>2015</w:t>
      </w:r>
      <w:r>
        <w:rPr>
          <w:spacing w:val="-3"/>
        </w:rPr>
        <w:t>年度财务报表进行了审计，并出具了大华审字【</w:t>
      </w:r>
      <w:r>
        <w:rPr>
          <w:rFonts w:ascii="Times New Roman" w:hAnsi="Times New Roman" w:cs="Times New Roman" w:eastAsia="Times New Roman" w:hint="default"/>
          <w:spacing w:val="-3"/>
        </w:rPr>
        <w:t>2016</w:t>
      </w:r>
      <w:r>
        <w:rPr>
          <w:spacing w:val="-3"/>
        </w:rPr>
        <w:t>】</w:t>
      </w:r>
      <w:r>
        <w:rPr/>
        <w:t> </w:t>
      </w:r>
      <w:r>
        <w:rPr>
          <w:rFonts w:ascii="Times New Roman" w:hAnsi="Times New Roman" w:cs="Times New Roman" w:eastAsia="Times New Roman" w:hint="default"/>
        </w:rPr>
        <w:t>004114</w:t>
      </w:r>
      <w:r>
        <w:rPr/>
        <w:t>号审计报告，广东同望科技股份有限公司</w:t>
      </w:r>
      <w:r>
        <w:rPr>
          <w:rFonts w:ascii="Times New Roman" w:hAnsi="Times New Roman" w:cs="Times New Roman" w:eastAsia="Times New Roman" w:hint="default"/>
        </w:rPr>
        <w:t>2015</w:t>
      </w:r>
      <w:r>
        <w:rPr/>
        <w:t>年度净利润为</w:t>
      </w:r>
      <w:r>
        <w:rPr>
          <w:rFonts w:ascii="Times New Roman" w:hAnsi="Times New Roman" w:cs="Times New Roman" w:eastAsia="Times New Roman" w:hint="default"/>
        </w:rPr>
        <w:t>7,864,668.33</w:t>
      </w:r>
      <w:r>
        <w:rPr/>
        <w:t>元，公司当年按权益法核算的长期股权投资</w:t>
      </w:r>
      <w:r>
        <w:rPr>
          <w:spacing w:val="-49"/>
        </w:rPr>
        <w:t> </w:t>
      </w:r>
      <w:r>
        <w:rPr>
          <w:spacing w:val="-49"/>
        </w:rPr>
      </w:r>
      <w:r>
        <w:rPr/>
        <w:t>收益</w:t>
      </w:r>
      <w:r>
        <w:rPr>
          <w:rFonts w:ascii="Times New Roman" w:hAnsi="Times New Roman" w:cs="Times New Roman" w:eastAsia="Times New Roman" w:hint="default"/>
        </w:rPr>
        <w:t>=7,864,668.33*19.99%=1,572,147.20</w:t>
      </w:r>
      <w:r>
        <w:rPr/>
        <w:t>元。</w:t>
      </w:r>
    </w:p>
    <w:p>
      <w:pPr>
        <w:pStyle w:val="BodyText"/>
        <w:spacing w:line="300" w:lineRule="auto" w:before="13"/>
        <w:ind w:right="0"/>
        <w:jc w:val="left"/>
      </w:pPr>
      <w:r>
        <w:rPr/>
        <w:t>（</w:t>
      </w:r>
      <w:r>
        <w:rPr>
          <w:rFonts w:ascii="Times New Roman" w:hAnsi="Times New Roman" w:cs="Times New Roman" w:eastAsia="Times New Roman" w:hint="default"/>
        </w:rPr>
        <w:t>2</w:t>
      </w:r>
      <w:r>
        <w:rPr/>
        <w:t>）处置长期股权投资产生的投资收益说明： </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26</w:t>
      </w:r>
      <w:r>
        <w:rPr>
          <w:spacing w:val="-2"/>
        </w:rPr>
        <w:t>日，公司董事会审议通过《关于出售控股子公司北京北邮中望信息科技有限责任公司股权的议案》，以协议方</w:t>
      </w:r>
      <w:r>
        <w:rPr>
          <w:spacing w:val="-58"/>
        </w:rPr>
        <w:t> </w:t>
      </w:r>
      <w:r>
        <w:rPr>
          <w:spacing w:val="-58"/>
        </w:rPr>
      </w:r>
      <w:r>
        <w:rPr>
          <w:spacing w:val="-1"/>
        </w:rPr>
        <w:t>式出售公司所持北邮中望股股份，转让价格为人民币</w:t>
      </w:r>
      <w:r>
        <w:rPr>
          <w:rFonts w:ascii="Times New Roman" w:hAnsi="Times New Roman" w:cs="Times New Roman" w:eastAsia="Times New Roman" w:hint="default"/>
          <w:spacing w:val="-1"/>
        </w:rPr>
        <w:t>256,068.10</w:t>
      </w:r>
      <w:r>
        <w:rPr>
          <w:spacing w:val="-1"/>
        </w:rPr>
        <w:t>元，处置投资收益为</w:t>
      </w:r>
      <w:r>
        <w:rPr>
          <w:rFonts w:ascii="Times New Roman" w:hAnsi="Times New Roman" w:cs="Times New Roman" w:eastAsia="Times New Roman" w:hint="default"/>
          <w:spacing w:val="-1"/>
        </w:rPr>
        <w:t>3,204,866.35</w:t>
      </w:r>
      <w:r>
        <w:rPr>
          <w:spacing w:val="-1"/>
        </w:rPr>
        <w:t>元。转让价款已收取，董事</w:t>
      </w:r>
      <w:r>
        <w:rPr>
          <w:spacing w:val="-67"/>
        </w:rPr>
        <w:t> </w:t>
      </w:r>
      <w:r>
        <w:rPr>
          <w:spacing w:val="-67"/>
        </w:rPr>
      </w:r>
      <w:r>
        <w:rPr/>
        <w:t>会、管理层已变更，工商已完成过户手续，公司对其无担保和资金拆借。</w:t>
      </w:r>
    </w:p>
    <w:p>
      <w:pPr>
        <w:spacing w:line="240" w:lineRule="auto" w:before="6"/>
        <w:rPr>
          <w:rFonts w:ascii="宋体" w:hAnsi="宋体" w:cs="宋体" w:eastAsia="宋体" w:hint="default"/>
          <w:sz w:val="23"/>
          <w:szCs w:val="23"/>
        </w:rPr>
      </w:pPr>
    </w:p>
    <w:p>
      <w:pPr>
        <w:pStyle w:val="Heading3"/>
        <w:spacing w:line="240" w:lineRule="auto"/>
        <w:ind w:left="153" w:right="0"/>
        <w:jc w:val="left"/>
        <w:rPr>
          <w:b w:val="0"/>
          <w:bCs w:val="0"/>
        </w:rPr>
      </w:pPr>
      <w:bookmarkStart w:name="39、营业外收入" w:id="276"/>
      <w:bookmarkEnd w:id="276"/>
      <w:r>
        <w:rPr>
          <w:b w:val="0"/>
          <w:bCs w:val="0"/>
        </w:rPr>
      </w:r>
      <w:r>
        <w:rPr>
          <w:rFonts w:ascii="Times New Roman" w:hAnsi="Times New Roman" w:cs="Times New Roman" w:eastAsia="Times New Roman" w:hint="default"/>
        </w:rPr>
        <w:t>39</w:t>
      </w:r>
      <w:r>
        <w:rPr/>
        <w:t>、营业外收入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70,819.55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70,819.55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3,445,243.49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8,206,377.72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3,445,243.49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增值税退税</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11,668,669.22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2,858,237.10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无法支付的款项</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59,072.88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w w:val="95"/>
                <w:sz w:val="18"/>
              </w:rPr>
              <w:t>2,119.42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4,396.90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w w:val="95"/>
                <w:sz w:val="18"/>
              </w:rPr>
              <w:t>2,119.42</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15,116,192.13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11,198,904.15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3,447,522.91</w:t>
            </w:r>
          </w:p>
        </w:tc>
      </w:tr>
    </w:tbl>
    <w:p>
      <w:pPr>
        <w:pStyle w:val="BodyText"/>
        <w:spacing w:line="240" w:lineRule="auto" w:before="51"/>
        <w:ind w:left="154" w:right="0"/>
        <w:jc w:val="left"/>
      </w:pPr>
      <w:r>
        <w:rPr/>
        <w:t>计入当期损益的政府补助：</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企业税收扶 持资金奖励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澄迈县财政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9,630.28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87"/>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年度开 发区科技创</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7"/>
              <w:jc w:val="left"/>
              <w:rPr>
                <w:rFonts w:ascii="宋体" w:hAnsi="宋体" w:cs="宋体" w:eastAsia="宋体" w:hint="default"/>
                <w:sz w:val="18"/>
                <w:szCs w:val="18"/>
              </w:rPr>
            </w:pPr>
            <w:r>
              <w:rPr>
                <w:rFonts w:ascii="宋体" w:hAnsi="宋体" w:cs="宋体" w:eastAsia="宋体" w:hint="default"/>
                <w:sz w:val="18"/>
                <w:szCs w:val="18"/>
              </w:rPr>
              <w:t>北京经济技 术开发区财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因研究开发、 技术更新及</w:t>
            </w:r>
          </w:p>
        </w:tc>
        <w:tc>
          <w:tcPr>
            <w:tcW w:w="1063"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6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新专项资金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政局</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9"/>
              <w:jc w:val="left"/>
              <w:rPr>
                <w:rFonts w:ascii="宋体" w:hAnsi="宋体" w:cs="宋体" w:eastAsia="宋体" w:hint="default"/>
                <w:sz w:val="18"/>
                <w:szCs w:val="18"/>
              </w:rPr>
            </w:pPr>
            <w:r>
              <w:rPr>
                <w:rFonts w:ascii="宋体" w:hAnsi="宋体" w:cs="宋体" w:eastAsia="宋体" w:hint="default"/>
                <w:sz w:val="18"/>
                <w:szCs w:val="18"/>
              </w:rPr>
              <w:t>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科学技术补 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北京市科学 技术委员会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90,000.00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31"/>
              <w:jc w:val="left"/>
              <w:rPr>
                <w:rFonts w:ascii="宋体" w:hAnsi="宋体" w:cs="宋体" w:eastAsia="宋体" w:hint="default"/>
                <w:sz w:val="18"/>
                <w:szCs w:val="18"/>
              </w:rPr>
            </w:pPr>
            <w:r>
              <w:rPr>
                <w:rFonts w:ascii="宋体" w:hAnsi="宋体" w:cs="宋体" w:eastAsia="宋体" w:hint="default"/>
                <w:sz w:val="18"/>
                <w:szCs w:val="18"/>
              </w:rPr>
              <w:t>营改增财政 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成都市财政 厅</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1,197.36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基于新一代 开发平台的 集团管控软 件的升级改 造</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北京市海淀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52.7pt;height:31.2pt;mso-position-horizontal-relative:char;mso-position-vertical-relative:line" coordorigin="0,0" coordsize="1054,624">
                  <v:group style="position:absolute;left:0;top:0;width:1054;height:624" coordorigin="0,0" coordsize="1054,624">
                    <v:shape style="position:absolute;left:0;top:0;width:1054;height:624" coordorigin="0,0" coordsize="1054,624" path="m0,624l1054,624,1054,0,0,0,0,624xe" filled="true" fillcolor="#ffffff" stroked="false">
                      <v:path arrowok="t"/>
                      <v:fill type="solid"/>
                    </v:shape>
                  </v:group>
                </v:group>
              </w:pict>
            </w:r>
            <w:r>
              <w:rPr>
                <w:rFonts w:ascii="Times New Roman" w:hAnsi="Times New Roman" w:cs="Times New Roman" w:eastAsia="Times New Roman" w:hint="default"/>
                <w:position w:val="-11"/>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315,940.08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315,940.08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both"/>
              <w:rPr>
                <w:rFonts w:ascii="宋体" w:hAnsi="宋体" w:cs="宋体" w:eastAsia="宋体" w:hint="default"/>
                <w:sz w:val="18"/>
                <w:szCs w:val="18"/>
              </w:rPr>
            </w:pPr>
            <w:r>
              <w:rPr>
                <w:rFonts w:ascii="宋体" w:hAnsi="宋体" w:cs="宋体" w:eastAsia="宋体" w:hint="default"/>
                <w:sz w:val="18"/>
                <w:szCs w:val="18"/>
              </w:rPr>
              <w:t>中介服务支 持资金补贴 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both"/>
              <w:rPr>
                <w:rFonts w:ascii="宋体" w:hAnsi="宋体" w:cs="宋体" w:eastAsia="宋体" w:hint="default"/>
                <w:sz w:val="18"/>
                <w:szCs w:val="18"/>
              </w:rPr>
            </w:pPr>
            <w:r>
              <w:rPr>
                <w:rFonts w:ascii="宋体" w:hAnsi="宋体" w:cs="宋体" w:eastAsia="宋体" w:hint="default"/>
                <w:sz w:val="18"/>
                <w:szCs w:val="18"/>
              </w:rPr>
              <w:t>北京中关村 企业信用促 进会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面向数据密 集型行业的 大数据管理 系统及数据 分析平台研 发与产业化</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中华人民共 和国财政部</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78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5"/>
                <w:sz w:val="20"/>
                <w:szCs w:val="20"/>
              </w:rPr>
              <w:pict>
                <v:group style="width:52.7pt;height:39pt;mso-position-horizontal-relative:char;mso-position-vertical-relative:line" coordorigin="0,0" coordsize="1054,780">
                  <v:group style="position:absolute;left:0;top:0;width:1054;height:780" coordorigin="0,0" coordsize="1054,780">
                    <v:shape style="position:absolute;left:0;top:0;width:1054;height:780" coordorigin="0,0" coordsize="1054,780" path="m0,780l1054,780,1054,0,0,0,0,780xe" filled="true" fillcolor="#ffffff" stroked="false">
                      <v:path arrowok="t"/>
                      <v:fill type="solid"/>
                    </v:shape>
                  </v:group>
                </v:group>
              </w:pict>
            </w:r>
            <w:r>
              <w:rPr>
                <w:rFonts w:ascii="Times New Roman" w:hAnsi="Times New Roman" w:cs="Times New Roman" w:eastAsia="Times New Roman" w:hint="default"/>
                <w:position w:val="-15"/>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专利申请资 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北京中关村 企业信用促 进会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3,000.00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5,610.00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基于新一代 信息技术的 管理软件平 台创新能力 建设项目补 贴资金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7"/>
              <w:jc w:val="both"/>
              <w:rPr>
                <w:rFonts w:ascii="宋体" w:hAnsi="宋体" w:cs="宋体" w:eastAsia="宋体" w:hint="default"/>
                <w:sz w:val="18"/>
                <w:szCs w:val="18"/>
              </w:rPr>
            </w:pPr>
            <w:r>
              <w:rPr>
                <w:rFonts w:ascii="宋体" w:hAnsi="宋体" w:cs="宋体" w:eastAsia="宋体" w:hint="default"/>
                <w:sz w:val="18"/>
                <w:szCs w:val="18"/>
              </w:rPr>
              <w:t>北京市经济 和信息化委 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78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5"/>
                <w:sz w:val="20"/>
                <w:szCs w:val="20"/>
              </w:rPr>
              <w:pict>
                <v:group style="width:52.7pt;height:39pt;mso-position-horizontal-relative:char;mso-position-vertical-relative:line" coordorigin="0,0" coordsize="1054,780">
                  <v:group style="position:absolute;left:0;top:0;width:1054;height:780" coordorigin="0,0" coordsize="1054,780">
                    <v:shape style="position:absolute;left:0;top:0;width:1054;height:780" coordorigin="0,0" coordsize="1054,780" path="m0,780l1054,780,1054,0,0,0,0,780xe" filled="true" fillcolor="#ffffff" stroked="false">
                      <v:path arrowok="t"/>
                      <v:fill type="solid"/>
                    </v:shape>
                  </v:group>
                </v:group>
              </w:pict>
            </w:r>
            <w:r>
              <w:rPr>
                <w:rFonts w:ascii="Times New Roman" w:hAnsi="Times New Roman" w:cs="Times New Roman" w:eastAsia="Times New Roman" w:hint="default"/>
                <w:position w:val="-15"/>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重点培育企 业资金奖励 专项补贴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中关村科技 园区海淀园 管理委员会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5pt;mso-position-horizontal-relative:char;mso-position-vertical-relative:line" coordorigin="0,0" coordsize="1054,469">
                  <v:group style="position:absolute;left:0;top:0;width:1054;height:469" coordorigin="0,0" coordsize="1054,469">
                    <v:shape style="position:absolute;left:0;top:0;width:1054;height:469" coordorigin="0,0" coordsize="1054,469"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重大联合攻 关项目研发 资助项目补 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中关村科技 园区海淀园 管理委员会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900,000.00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省重大科技 专项资金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海南省科技 厅</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5pt;mso-position-horizontal-relative:char;mso-position-vertical-relative:line" coordorigin="0,0" coordsize="1054,469">
                  <v:group style="position:absolute;left:0;top:0;width:1054;height:469" coordorigin="0,0" coordsize="1054,469">
                    <v:shape style="position:absolute;left:0;top:0;width:1054;height:469" coordorigin="0,0" coordsize="1054,469"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500,000.00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年省应 用技术研发 与示范推广 专项资金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海南省财政 厅</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9" w:lineRule="auto"/>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年国家 中小企业专 项资金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海南省财政 厅</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中关村国家 自主创新示 范区技术创 新能力建设 专项资金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27"/>
              <w:jc w:val="both"/>
              <w:rPr>
                <w:rFonts w:ascii="宋体" w:hAnsi="宋体" w:cs="宋体" w:eastAsia="宋体" w:hint="default"/>
                <w:sz w:val="18"/>
                <w:szCs w:val="18"/>
              </w:rPr>
            </w:pPr>
            <w:r>
              <w:rPr>
                <w:rFonts w:ascii="宋体" w:hAnsi="宋体" w:cs="宋体" w:eastAsia="宋体" w:hint="default"/>
                <w:sz w:val="18"/>
                <w:szCs w:val="18"/>
              </w:rPr>
              <w:t>北京中关村 企业信用促 进会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52.7pt;height:31.2pt;mso-position-horizontal-relative:char;mso-position-vertical-relative:line" coordorigin="0,0" coordsize="1054,624">
                  <v:group style="position:absolute;left:0;top:0;width:1054;height:624" coordorigin="0,0" coordsize="1054,624">
                    <v:shape style="position:absolute;left:0;top:0;width:1054;height:624" coordorigin="0,0" coordsize="1054,624" path="m0,624l1054,624,1054,0,0,0,0,624xe" filled="true" fillcolor="#ffffff" stroked="false">
                      <v:path arrowok="t"/>
                      <v:fill type="solid"/>
                    </v:shape>
                  </v:group>
                </v:group>
              </w:pict>
            </w:r>
            <w:r>
              <w:rPr>
                <w:rFonts w:ascii="Times New Roman" w:hAnsi="Times New Roman" w:cs="Times New Roman" w:eastAsia="Times New Roman" w:hint="default"/>
                <w:position w:val="-11"/>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31"/>
              <w:jc w:val="left"/>
              <w:rPr>
                <w:rFonts w:ascii="宋体" w:hAnsi="宋体" w:cs="宋体" w:eastAsia="宋体" w:hint="default"/>
                <w:sz w:val="18"/>
                <w:szCs w:val="18"/>
              </w:rPr>
            </w:pPr>
            <w:r>
              <w:rPr>
                <w:rFonts w:ascii="宋体" w:hAnsi="宋体" w:cs="宋体" w:eastAsia="宋体" w:hint="default"/>
                <w:sz w:val="18"/>
                <w:szCs w:val="18"/>
              </w:rPr>
              <w:t>老旧汽车补 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北京市财政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智慧物流公 共服务平台 项目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北京市发展 和改革委员 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227,208.38</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关村国家自 主创新示范 区企业改制 上市和并购 支持资金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27"/>
              <w:jc w:val="both"/>
              <w:rPr>
                <w:rFonts w:ascii="宋体" w:hAnsi="宋体" w:cs="宋体" w:eastAsia="宋体" w:hint="default"/>
                <w:sz w:val="18"/>
                <w:szCs w:val="18"/>
              </w:rPr>
            </w:pPr>
            <w:r>
              <w:rPr>
                <w:rFonts w:ascii="宋体" w:hAnsi="宋体" w:cs="宋体" w:eastAsia="宋体" w:hint="default"/>
                <w:sz w:val="18"/>
                <w:szCs w:val="18"/>
              </w:rPr>
              <w:t>中关村科技 园区海淀园 管委会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29"/>
              <w:jc w:val="both"/>
              <w:rPr>
                <w:rFonts w:ascii="宋体" w:hAnsi="宋体" w:cs="宋体" w:eastAsia="宋体" w:hint="default"/>
                <w:sz w:val="18"/>
                <w:szCs w:val="18"/>
              </w:rPr>
            </w:pPr>
            <w:r>
              <w:rPr>
                <w:rFonts w:ascii="宋体" w:hAnsi="宋体" w:cs="宋体" w:eastAsia="宋体" w:hint="default"/>
                <w:sz w:val="18"/>
                <w:szCs w:val="18"/>
              </w:rPr>
              <w:t>奖励上市而 给予的政府 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中关村技术 创新能力建 设专项资金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首都知识产 权服务业协 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10,500.00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怀柔区企业 发展资金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27"/>
              <w:jc w:val="left"/>
              <w:rPr>
                <w:rFonts w:ascii="宋体" w:hAnsi="宋体" w:cs="宋体" w:eastAsia="宋体" w:hint="default"/>
                <w:sz w:val="18"/>
                <w:szCs w:val="18"/>
              </w:rPr>
            </w:pPr>
            <w:r>
              <w:rPr>
                <w:rFonts w:ascii="宋体" w:hAnsi="宋体" w:cs="宋体" w:eastAsia="宋体" w:hint="default"/>
                <w:sz w:val="18"/>
                <w:szCs w:val="18"/>
              </w:rPr>
              <w:t>怀柔区渤海 镇人民政府</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29"/>
              <w:jc w:val="left"/>
              <w:rPr>
                <w:rFonts w:ascii="宋体" w:hAnsi="宋体" w:cs="宋体" w:eastAsia="宋体" w:hint="default"/>
                <w:sz w:val="18"/>
                <w:szCs w:val="18"/>
              </w:rPr>
            </w:pPr>
            <w:r>
              <w:rPr>
                <w:rFonts w:ascii="宋体" w:hAnsi="宋体" w:cs="宋体" w:eastAsia="宋体" w:hint="default"/>
                <w:sz w:val="18"/>
                <w:szCs w:val="18"/>
              </w:rPr>
              <w:t>因符合地方 政府招商引</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622,782.00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986"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487"/>
              <w:jc w:val="right"/>
              <w:rPr>
                <w:rFonts w:ascii="宋体" w:hAnsi="宋体" w:cs="宋体" w:eastAsia="宋体" w:hint="default"/>
                <w:sz w:val="18"/>
                <w:szCs w:val="18"/>
              </w:rPr>
            </w:pPr>
            <w:r>
              <w:rPr>
                <w:rFonts w:ascii="宋体" w:hAnsi="宋体" w:cs="宋体" w:eastAsia="宋体" w:hint="default"/>
                <w:sz w:val="18"/>
                <w:szCs w:val="18"/>
              </w:rPr>
              <w:t>财政科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9"/>
              <w:jc w:val="both"/>
              <w:rPr>
                <w:rFonts w:ascii="宋体" w:hAnsi="宋体" w:cs="宋体" w:eastAsia="宋体" w:hint="default"/>
                <w:sz w:val="18"/>
                <w:szCs w:val="18"/>
              </w:rPr>
            </w:pPr>
            <w:r>
              <w:rPr>
                <w:rFonts w:ascii="宋体" w:hAnsi="宋体" w:cs="宋体" w:eastAsia="宋体" w:hint="default"/>
                <w:sz w:val="18"/>
                <w:szCs w:val="18"/>
              </w:rPr>
              <w:t>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华夏电通数 字媒体综合 控制系统生 产项目补助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北京市经济 信息化委员 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5pt;mso-position-horizontal-relative:char;mso-position-vertical-relative:line" coordorigin="0,0" coordsize="1054,469">
                  <v:group style="position:absolute;left:0;top:0;width:1054;height:469" coordorigin="0,0" coordsize="1054,469">
                    <v:shape style="position:absolute;left:0;top:0;width:1054;height:469" coordorigin="0,0" coordsize="1054,469"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17,413.03</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科技型中小 企业技术创 新资金无偿 资助项目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上海市科学 技术委员会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310,000.00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31"/>
              <w:jc w:val="left"/>
              <w:rPr>
                <w:rFonts w:ascii="宋体" w:hAnsi="宋体" w:cs="宋体" w:eastAsia="宋体" w:hint="default"/>
                <w:sz w:val="18"/>
                <w:szCs w:val="18"/>
              </w:rPr>
            </w:pPr>
            <w:r>
              <w:rPr>
                <w:rFonts w:ascii="宋体" w:hAnsi="宋体" w:cs="宋体" w:eastAsia="宋体" w:hint="default"/>
                <w:sz w:val="18"/>
                <w:szCs w:val="18"/>
              </w:rPr>
              <w:t>信用中介服 务项目补贴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both"/>
              <w:rPr>
                <w:rFonts w:ascii="宋体" w:hAnsi="宋体" w:cs="宋体" w:eastAsia="宋体" w:hint="default"/>
                <w:sz w:val="18"/>
                <w:szCs w:val="18"/>
              </w:rPr>
            </w:pPr>
            <w:r>
              <w:rPr>
                <w:rFonts w:ascii="宋体" w:hAnsi="宋体" w:cs="宋体" w:eastAsia="宋体" w:hint="default"/>
                <w:sz w:val="18"/>
                <w:szCs w:val="18"/>
              </w:rPr>
              <w:t>北京中关村 企业信用促 进会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年度省 科技型中小 企业技术创 新资金项目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海南省财政 国库支付局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400,000.00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海南省高新 技术产业发 展专项资金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海南省财政 国库支付局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5pt;mso-position-horizontal-relative:char;mso-position-vertical-relative:line" coordorigin="0,0" coordsize="1054,469">
                  <v:group style="position:absolute;left:0;top:0;width:1054;height:469" coordorigin="0,0" coordsize="1054,469">
                    <v:shape style="position:absolute;left:0;top:0;width:1054;height:469" coordorigin="0,0" coordsize="1054,469"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海南省电子 信息产业专 项资金项目 资助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澄迈县财政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105,400.00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64"/>
              <w:jc w:val="right"/>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3,445,243.49</w:t>
            </w:r>
          </w:p>
        </w:tc>
        <w:tc>
          <w:tcPr>
            <w:tcW w:w="10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8,206,377.72</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40、营业外支出" w:id="277"/>
      <w:bookmarkEnd w:id="277"/>
      <w:r>
        <w:rPr>
          <w:b w:val="0"/>
          <w:bCs w:val="0"/>
        </w:rPr>
      </w:r>
      <w:r>
        <w:rPr>
          <w:rFonts w:ascii="Times New Roman" w:hAnsi="Times New Roman" w:cs="Times New Roman" w:eastAsia="Times New Roman" w:hint="default"/>
        </w:rPr>
        <w:t>40</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161"/>
        <w:gridCol w:w="262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2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7"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326,086.50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744,908.68</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326,086.50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326,086.50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744,908.68</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326,086.50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40,000.00</w:t>
            </w:r>
          </w:p>
        </w:tc>
        <w:tc>
          <w:tcPr>
            <w:tcW w:w="2161" w:type="dxa"/>
            <w:tcBorders>
              <w:top w:val="single" w:sz="4" w:space="0" w:color="000000"/>
              <w:left w:val="single" w:sz="4" w:space="0" w:color="000000"/>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494,501.02</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184,023.70</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494,501.02</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860,587.52</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928,932.38</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860,587.52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41、所得税费用" w:id="278"/>
      <w:bookmarkEnd w:id="278"/>
      <w:r>
        <w:rPr>
          <w:b w:val="0"/>
          <w:bCs w:val="0"/>
        </w:rPr>
      </w:r>
      <w:r>
        <w:rPr>
          <w:rFonts w:ascii="Times New Roman" w:hAnsi="Times New Roman" w:cs="Times New Roman" w:eastAsia="Times New Roman" w:hint="default"/>
        </w:rPr>
        <w:t>41</w:t>
      </w:r>
      <w:r>
        <w:rPr/>
        <w:t>、所得税费用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所得税费用表" w:id="279"/>
      <w:bookmarkEnd w:id="279"/>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25,117,478.43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4,444,325.65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-3,593,286.86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-273,051.76</w:t>
            </w:r>
            <w:r>
              <w:rPr>
                <w:rFonts w:ascii="Times New Roman"/>
                <w:sz w:val="18"/>
              </w:rPr>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21,524,191.57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4,171,273.89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2、现金流量表项目" w:id="280"/>
      <w:bookmarkEnd w:id="280"/>
      <w:r>
        <w:rPr>
          <w:b w:val="0"/>
          <w:bCs w:val="0"/>
        </w:rPr>
      </w:r>
      <w:r>
        <w:rPr>
          <w:rFonts w:ascii="Times New Roman" w:hAnsi="Times New Roman" w:cs="Times New Roman" w:eastAsia="Times New Roman" w:hint="default"/>
        </w:rPr>
        <w:t>42</w:t>
      </w:r>
      <w:r>
        <w:rPr/>
        <w:t>、现金流量表项目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收到的其他与经营活动有关的现金" w:id="281"/>
      <w:bookmarkEnd w:id="281"/>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5,227,417.34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3,073,117.06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22,817,892.13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7,890,437.64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28,045,309.47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10,963,554.70</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支付的其他与经营活动有关的现金" w:id="282"/>
      <w:bookmarkEnd w:id="282"/>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支付销售费用、管理费用和其它支出等 付现</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63,895,658.75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45,742,467.16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63,895,658.75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45,742,467.16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支付的其他与投资活动有关的现金" w:id="283"/>
      <w:bookmarkEnd w:id="283"/>
      <w:r>
        <w:rPr>
          <w:b w:val="0"/>
          <w:bCs w:val="0"/>
        </w:rPr>
      </w:r>
      <w:r>
        <w:rPr/>
        <w:t>（</w:t>
      </w:r>
      <w:r>
        <w:rPr>
          <w:rFonts w:ascii="Times New Roman" w:hAnsi="Times New Roman" w:cs="Times New Roman" w:eastAsia="Times New Roman" w:hint="default"/>
        </w:rPr>
        <w:t>3</w:t>
      </w:r>
      <w:r>
        <w:rPr/>
        <w:t>）支付的其他与投资活动有关的现金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股份回购支付的手续费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39,949.52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39,949.52</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both"/>
      </w:pPr>
      <w:r>
        <w:rPr/>
        <w:t>支付的其他与投资活动有关的现金说明：</w:t>
      </w:r>
    </w:p>
    <w:p>
      <w:pPr>
        <w:pStyle w:val="BodyText"/>
        <w:spacing w:line="300" w:lineRule="auto" w:before="116"/>
        <w:ind w:right="1132"/>
        <w:jc w:val="both"/>
      </w:pPr>
      <w:r>
        <w:rPr>
          <w:spacing w:val="-2"/>
        </w:rPr>
        <w:t>由于北京亿起联科技有限公司</w:t>
      </w:r>
      <w:r>
        <w:rPr>
          <w:rFonts w:ascii="Times New Roman" w:hAnsi="Times New Roman" w:cs="Times New Roman" w:eastAsia="Times New Roman" w:hint="default"/>
          <w:spacing w:val="-2"/>
        </w:rPr>
        <w:t>2014</w:t>
      </w:r>
      <w:r>
        <w:rPr>
          <w:spacing w:val="-2"/>
        </w:rPr>
        <w:t>年度经审计实际业绩未能达到承诺业绩，根据公司与王新、李勇签署的《现金及发行股份</w:t>
      </w:r>
      <w:r>
        <w:rPr>
          <w:spacing w:val="-62"/>
        </w:rPr>
        <w:t> </w:t>
      </w:r>
      <w:r>
        <w:rPr>
          <w:spacing w:val="-62"/>
        </w:rPr>
      </w:r>
      <w:r>
        <w:rPr>
          <w:spacing w:val="-1"/>
        </w:rPr>
        <w:t>购买资产之业绩承诺与补偿协议》的约定，公司以</w:t>
      </w:r>
      <w:r>
        <w:rPr>
          <w:rFonts w:ascii="Times New Roman" w:hAnsi="Times New Roman" w:cs="Times New Roman" w:eastAsia="Times New Roman" w:hint="default"/>
          <w:spacing w:val="-1"/>
        </w:rPr>
        <w:t>1</w:t>
      </w:r>
      <w:r>
        <w:rPr>
          <w:spacing w:val="-1"/>
        </w:rPr>
        <w:t>元人民币总价回购王新应补偿的公司股份</w:t>
      </w:r>
      <w:r>
        <w:rPr>
          <w:rFonts w:ascii="Times New Roman" w:hAnsi="Times New Roman" w:cs="Times New Roman" w:eastAsia="Times New Roman" w:hint="default"/>
          <w:spacing w:val="-1"/>
        </w:rPr>
        <w:t>221,101</w:t>
      </w:r>
      <w:r>
        <w:rPr>
          <w:spacing w:val="-1"/>
        </w:rPr>
        <w:t>股和李勇应补偿的公司</w:t>
      </w:r>
      <w:r>
        <w:rPr>
          <w:spacing w:val="-71"/>
        </w:rPr>
        <w:t> </w:t>
      </w:r>
      <w:r>
        <w:rPr/>
        <w:t>股份</w:t>
      </w:r>
      <w:r>
        <w:rPr>
          <w:rFonts w:ascii="Times New Roman" w:hAnsi="Times New Roman" w:cs="Times New Roman" w:eastAsia="Times New Roman" w:hint="default"/>
        </w:rPr>
        <w:t>166,796</w:t>
      </w:r>
      <w:r>
        <w:rPr/>
        <w:t>股，合计回购公司股份</w:t>
      </w:r>
      <w:r>
        <w:rPr>
          <w:rFonts w:ascii="Times New Roman" w:hAnsi="Times New Roman" w:cs="Times New Roman" w:eastAsia="Times New Roman" w:hint="default"/>
        </w:rPr>
        <w:t>387,897</w:t>
      </w:r>
      <w:r>
        <w:rPr/>
        <w:t>股并予以注销，支付手续费</w:t>
      </w:r>
      <w:r>
        <w:rPr>
          <w:rFonts w:ascii="Times New Roman" w:hAnsi="Times New Roman" w:cs="Times New Roman" w:eastAsia="Times New Roman" w:hint="default"/>
        </w:rPr>
        <w:t>39,949.52</w:t>
      </w:r>
      <w:r>
        <w:rPr/>
        <w:t>元。</w:t>
      </w:r>
    </w:p>
    <w:p>
      <w:pPr>
        <w:spacing w:after="0" w:line="300" w:lineRule="auto"/>
        <w:jc w:val="both"/>
        <w:sectPr>
          <w:pgSz w:w="11910" w:h="16840"/>
          <w:pgMar w:header="877" w:footer="979" w:top="1060" w:bottom="1160" w:left="980" w:right="0"/>
        </w:sectPr>
      </w:pPr>
    </w:p>
    <w:p>
      <w:pPr>
        <w:spacing w:line="240" w:lineRule="auto" w:before="10"/>
        <w:rPr>
          <w:rFonts w:ascii="宋体" w:hAnsi="宋体" w:cs="宋体" w:eastAsia="宋体" w:hint="default"/>
          <w:sz w:val="24"/>
          <w:szCs w:val="24"/>
        </w:rPr>
      </w:pPr>
      <w:r>
        <w:rPr/>
        <w:pict>
          <v:group style="position:absolute;margin-left:223.339996pt;margin-top:542.349976pt;width:151.25pt;height:40.9pt;mso-position-horizontal-relative:page;mso-position-vertical-relative:page;z-index:-881440" coordorigin="4467,10847" coordsize="3025,818">
            <v:group style="position:absolute;left:4478;top:10858;width:2;height:393" coordorigin="4478,10858" coordsize="2,393">
              <v:shape style="position:absolute;left:4478;top:10858;width:2;height:393" coordorigin="4478,10858" coordsize="0,393" path="m4478,10858l4478,11251e" filled="false" stroked="true" strokeweight="1.140pt" strokecolor="#ffffff">
                <v:path arrowok="t"/>
              </v:shape>
            </v:group>
            <v:group style="position:absolute;left:4490;top:10858;width:3002;height:393" coordorigin="4490,10858" coordsize="3002,393">
              <v:shape style="position:absolute;left:4490;top:10858;width:3002;height:393" coordorigin="4490,10858" coordsize="3002,393" path="m4490,11251l7491,11251,7491,10858,4490,10858,4490,11251xe" filled="true" fillcolor="#ffffff" stroked="false">
                <v:path arrowok="t"/>
                <v:fill type="solid"/>
              </v:shape>
            </v:group>
            <v:group style="position:absolute;left:4478;top:11260;width:2;height:393" coordorigin="4478,11260" coordsize="2,393">
              <v:shape style="position:absolute;left:4478;top:11260;width:2;height:393" coordorigin="4478,11260" coordsize="0,393" path="m4478,11260l4478,11653e" filled="false" stroked="true" strokeweight="1.140pt" strokecolor="#ffffff">
                <v:path arrowok="t"/>
              </v:shape>
            </v:group>
            <v:group style="position:absolute;left:4490;top:11260;width:3002;height:393" coordorigin="4490,11260" coordsize="3002,393">
              <v:shape style="position:absolute;left:4490;top:11260;width:3002;height:393" coordorigin="4490,11260" coordsize="3002,393" path="m4490,11653l7491,11653,7491,11260,4490,11260,4490,11653xe" filled="true" fillcolor="#ffffff" stroked="false">
                <v:path arrowok="t"/>
                <v:fill type="solid"/>
              </v:shape>
            </v:group>
            <w10:wrap type="none"/>
          </v:group>
        </w:pict>
      </w:r>
    </w:p>
    <w:p>
      <w:pPr>
        <w:pStyle w:val="Heading3"/>
        <w:spacing w:line="240" w:lineRule="auto" w:before="35"/>
        <w:ind w:left="153" w:right="0"/>
        <w:jc w:val="left"/>
        <w:rPr>
          <w:b w:val="0"/>
          <w:bCs w:val="0"/>
        </w:rPr>
      </w:pPr>
      <w:bookmarkStart w:name="（4）支付的其他与筹资活动有关的现金" w:id="284"/>
      <w:bookmarkEnd w:id="284"/>
      <w:r>
        <w:rPr>
          <w:b w:val="0"/>
          <w:bCs w:val="0"/>
        </w:rPr>
      </w:r>
      <w:r>
        <w:rPr/>
        <w:t>（</w:t>
      </w:r>
      <w:r>
        <w:rPr>
          <w:rFonts w:ascii="Times New Roman" w:hAnsi="Times New Roman" w:cs="Times New Roman" w:eastAsia="Times New Roman" w:hint="default"/>
        </w:rPr>
        <w:t>4</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股份发行费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20,384,609.49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6,121,509.43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20,384,609.49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6,121,509.43</w:t>
            </w:r>
          </w:p>
        </w:tc>
      </w:tr>
    </w:tbl>
    <w:p>
      <w:pPr>
        <w:pStyle w:val="BodyText"/>
        <w:spacing w:line="357" w:lineRule="auto" w:before="51"/>
        <w:ind w:left="154" w:right="7512"/>
        <w:jc w:val="left"/>
      </w:pPr>
      <w:r>
        <w:rPr/>
        <w:t>支付的其他与筹资活动有关的现金说明： 本公司发行股份所发生的发行费用。</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43、现金流量表补充资料" w:id="285"/>
      <w:bookmarkEnd w:id="285"/>
      <w:r>
        <w:rPr>
          <w:b w:val="0"/>
          <w:bCs w:val="0"/>
        </w:rPr>
      </w:r>
      <w:r>
        <w:rPr>
          <w:rFonts w:ascii="Times New Roman" w:hAnsi="Times New Roman" w:cs="Times New Roman" w:eastAsia="Times New Roman" w:hint="default"/>
        </w:rPr>
        <w:t>43</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现金流量表补充资料" w:id="286"/>
      <w:bookmarkEnd w:id="286"/>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1055"/>
        <w:gridCol w:w="2014"/>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129,782,974.26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71,646,664.91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778,821.88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2,830,401.92</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10,131,785.01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8,863,614.06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9,356,177.01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6,845,839.76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577,004.27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1,600,663.40</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326,086.50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674,089.13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-11,530.41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-13,824,542.24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-18,803,768.33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-3,593,286.86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-274,204.80</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-79,990.56</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1,153.04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6,387,583.58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1,139,084.14</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29" w:right="0"/>
              <w:jc w:val="left"/>
              <w:rPr>
                <w:rFonts w:ascii="Times New Roman" w:hAnsi="Times New Roman" w:cs="Times New Roman" w:eastAsia="Times New Roman" w:hint="default"/>
                <w:sz w:val="18"/>
                <w:szCs w:val="18"/>
              </w:rPr>
            </w:pPr>
            <w:r>
              <w:rPr>
                <w:rFonts w:ascii="Times New Roman"/>
                <w:sz w:val="18"/>
              </w:rPr>
              <w:t>-84,362,405.23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-8,830,762.44</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05" w:right="0"/>
              <w:jc w:val="left"/>
              <w:rPr>
                <w:rFonts w:ascii="Times New Roman" w:hAnsi="Times New Roman" w:cs="Times New Roman" w:eastAsia="Times New Roman" w:hint="default"/>
                <w:sz w:val="18"/>
                <w:szCs w:val="18"/>
              </w:rPr>
            </w:pPr>
            <w:r>
              <w:rPr>
                <w:rFonts w:ascii="Times New Roman"/>
                <w:sz w:val="18"/>
              </w:rPr>
              <w:t>118,041,953.75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17,661,752.81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173,522,161.37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83,342,997.19</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835,294,556.06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277,333,109.93</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277,333,109.93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225,233,358.80</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557,961,446.13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52,099,751.13</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本期支付的取得子公司的现金净额" w:id="287"/>
      <w:bookmarkEnd w:id="287"/>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96,000,000.00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北京亿起联科技有限公司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96,000,000.00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北京华夏电通科技有限公司</w:t>
            </w:r>
          </w:p>
        </w:tc>
        <w:tc>
          <w:tcPr>
            <w:tcW w:w="45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61,639,046.99</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北京亿起联科技有限公司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20,731,337.23</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北京华夏电通科技有限公司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40,907,709.76</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34,360,953.01</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本期收到的处置子公司的现金净额" w:id="288"/>
      <w:bookmarkEnd w:id="288"/>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256,068.10</w:t>
            </w:r>
          </w:p>
        </w:tc>
      </w:tr>
      <w:tr>
        <w:trPr>
          <w:trHeight w:val="401"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北京北邮中望信息科技有限责任公司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256,068.10</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5,452.96</w:t>
            </w:r>
          </w:p>
        </w:tc>
      </w:tr>
      <w:tr>
        <w:trPr>
          <w:trHeight w:val="401"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北京北邮中望信息科技有限责任公司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5,452.96</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250,615.14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现金和现金等价物的构成" w:id="289"/>
      <w:bookmarkEnd w:id="289"/>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99" w:right="0"/>
              <w:jc w:val="left"/>
              <w:rPr>
                <w:rFonts w:ascii="Times New Roman" w:hAnsi="Times New Roman" w:cs="Times New Roman" w:eastAsia="Times New Roman" w:hint="default"/>
                <w:sz w:val="18"/>
                <w:szCs w:val="18"/>
              </w:rPr>
            </w:pPr>
            <w:r>
              <w:rPr>
                <w:rFonts w:ascii="Times New Roman"/>
                <w:sz w:val="18"/>
              </w:rPr>
              <w:t>835,294,556.06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27" w:right="0"/>
              <w:jc w:val="left"/>
              <w:rPr>
                <w:rFonts w:ascii="Times New Roman" w:hAnsi="Times New Roman" w:cs="Times New Roman" w:eastAsia="Times New Roman" w:hint="default"/>
                <w:sz w:val="18"/>
                <w:szCs w:val="18"/>
              </w:rPr>
            </w:pPr>
            <w:r>
              <w:rPr>
                <w:rFonts w:ascii="Times New Roman"/>
                <w:sz w:val="18"/>
              </w:rPr>
              <w:t>277,333,109.93</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882,572.73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245,264.40</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833,843,122.59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277,087,845.53</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568,860.74</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835,294,556.06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277,333,109.93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4、所有权或使用权受到限制的资产" w:id="290"/>
      <w:bookmarkEnd w:id="290"/>
      <w:r>
        <w:rPr>
          <w:b w:val="0"/>
          <w:bCs w:val="0"/>
        </w:rPr>
      </w:r>
      <w:r>
        <w:rPr>
          <w:rFonts w:ascii="Times New Roman" w:hAnsi="Times New Roman" w:cs="Times New Roman" w:eastAsia="Times New Roman" w:hint="default"/>
        </w:rPr>
        <w:t>44</w:t>
      </w:r>
      <w:r>
        <w:rPr/>
        <w:t>、所有权或使用权受到限制的资产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14,471,710.04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履约保证金及银行汇票</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14,471,710.04</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5、外币货币性项目" w:id="291"/>
      <w:bookmarkEnd w:id="291"/>
      <w:r>
        <w:rPr>
          <w:b w:val="0"/>
          <w:bCs w:val="0"/>
        </w:rPr>
      </w:r>
      <w:r>
        <w:rPr>
          <w:rFonts w:ascii="Times New Roman" w:hAnsi="Times New Roman" w:cs="Times New Roman" w:eastAsia="Times New Roman" w:hint="default"/>
        </w:rPr>
        <w:t>45</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外币货币性项目" w:id="292"/>
      <w:bookmarkEnd w:id="292"/>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4"/>
        <w:gridCol w:w="2305"/>
        <w:gridCol w:w="2391"/>
        <w:gridCol w:w="2389"/>
      </w:tblGrid>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84" w:type="dxa"/>
            <w:tcBorders>
              <w:top w:val="single" w:sz="4" w:space="0" w:color="000000"/>
              <w:left w:val="single" w:sz="4" w:space="0" w:color="000000"/>
              <w:bottom w:val="single" w:sz="4" w:space="0" w:color="000000"/>
              <w:right w:val="single" w:sz="13" w:space="0" w:color="D9D9D9"/>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05" w:type="dxa"/>
            <w:tcBorders>
              <w:top w:val="single" w:sz="4" w:space="0" w:color="000000"/>
              <w:left w:val="single" w:sz="9" w:space="0" w:color="D2D2D2"/>
              <w:bottom w:val="single" w:sz="4" w:space="0" w:color="000000"/>
              <w:right w:val="single" w:sz="4" w:space="0" w:color="000000"/>
            </w:tcBorders>
            <w:shd w:val="clear" w:color="auto" w:fill="D9D9D9"/>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2389" w:type="dxa"/>
            <w:tcBorders>
              <w:top w:val="single" w:sz="4" w:space="0" w:color="000000"/>
              <w:left w:val="single" w:sz="4" w:space="0" w:color="000000"/>
              <w:bottom w:val="single" w:sz="4" w:space="0" w:color="000000"/>
              <w:right w:val="single" w:sz="4" w:space="0" w:color="000000"/>
            </w:tcBorders>
            <w:shd w:val="clear" w:color="auto" w:fill="D9D9D9"/>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1,752,490.56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11,379,972.70</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3,401,198.28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7.0952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24,132,182.04</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6,604.36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0.8378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5,533.13</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305"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2389" w:type="dxa"/>
            <w:tcBorders>
              <w:top w:val="single" w:sz="4" w:space="0" w:color="000000"/>
              <w:left w:val="single" w:sz="4" w:space="0" w:color="000000"/>
              <w:bottom w:val="single" w:sz="4" w:space="0" w:color="000000"/>
              <w:right w:val="single" w:sz="4" w:space="0" w:color="000000"/>
            </w:tcBorders>
            <w:shd w:val="clear" w:color="auto" w:fill="D9D9D9"/>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9D9D9"/>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7.0952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78,047,200.00</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9" w:space="0" w:color="D9D9D9"/>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八、合并范围的变更" w:id="293"/>
      <w:bookmarkEnd w:id="293"/>
      <w:r>
        <w:rPr>
          <w:b w:val="0"/>
          <w:bCs w:val="0"/>
        </w:rPr>
      </w:r>
      <w:r>
        <w:rPr/>
        <w:t>八、合并范围的变更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非同一控制下企业合并" w:id="294"/>
      <w:bookmarkEnd w:id="294"/>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本期发生的非同一控制下企业合并" w:id="295"/>
      <w:bookmarkEnd w:id="295"/>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034"/>
        <w:gridCol w:w="1037"/>
        <w:gridCol w:w="1183"/>
        <w:gridCol w:w="1035"/>
        <w:gridCol w:w="1036"/>
        <w:gridCol w:w="1034"/>
        <w:gridCol w:w="1034"/>
        <w:gridCol w:w="1200"/>
        <w:gridCol w:w="1103"/>
      </w:tblGrid>
      <w:tr>
        <w:trPr>
          <w:trHeight w:val="1026" w:hRule="exact"/>
        </w:trPr>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421" w:right="60"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423" w:right="61"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45" w:right="0"/>
              <w:jc w:val="left"/>
              <w:rPr>
                <w:rFonts w:ascii="宋体" w:hAnsi="宋体" w:cs="宋体" w:eastAsia="宋体" w:hint="default"/>
                <w:sz w:val="18"/>
                <w:szCs w:val="18"/>
              </w:rPr>
            </w:pPr>
            <w:r>
              <w:rPr>
                <w:rFonts w:ascii="宋体" w:hAnsi="宋体" w:cs="宋体" w:eastAsia="宋体" w:hint="default"/>
                <w:sz w:val="18"/>
                <w:szCs w:val="18"/>
              </w:rPr>
              <w:t>股权取得成本</w:t>
            </w: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422" w:right="60"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422" w:right="61"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42"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241" w:right="60"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53" w:right="54"/>
              <w:jc w:val="center"/>
              <w:rPr>
                <w:rFonts w:ascii="宋体" w:hAnsi="宋体" w:cs="宋体" w:eastAsia="宋体" w:hint="default"/>
                <w:sz w:val="18"/>
                <w:szCs w:val="18"/>
              </w:rPr>
            </w:pPr>
            <w:r>
              <w:rPr>
                <w:rFonts w:ascii="宋体" w:hAnsi="宋体" w:cs="宋体" w:eastAsia="宋体" w:hint="default"/>
                <w:sz w:val="18"/>
                <w:szCs w:val="18"/>
              </w:rPr>
              <w:t>购买日至期末 被购买方的收 入</w:t>
            </w:r>
          </w:p>
        </w:tc>
        <w:tc>
          <w:tcPr>
            <w:tcW w:w="1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95" w:right="95"/>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715" w:hRule="exact"/>
        </w:trPr>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99"/>
              <w:jc w:val="left"/>
              <w:rPr>
                <w:rFonts w:ascii="宋体" w:hAnsi="宋体" w:cs="宋体" w:eastAsia="宋体" w:hint="default"/>
                <w:sz w:val="18"/>
                <w:szCs w:val="18"/>
              </w:rPr>
            </w:pPr>
            <w:r>
              <w:rPr>
                <w:rFonts w:ascii="宋体" w:hAnsi="宋体" w:cs="宋体" w:eastAsia="宋体" w:hint="default"/>
                <w:sz w:val="18"/>
                <w:szCs w:val="18"/>
              </w:rPr>
              <w:t>北京亿起联 科技有限公</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480,000,000.00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100.00%</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并购</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1" w:right="0"/>
              <w:jc w:val="left"/>
              <w:rPr>
                <w:rFonts w:ascii="Times New Roman" w:hAnsi="Times New Roman" w:cs="Times New Roman" w:eastAsia="Times New Roman" w:hint="default"/>
                <w:sz w:val="18"/>
                <w:szCs w:val="18"/>
              </w:rPr>
            </w:pPr>
            <w:r>
              <w:rPr>
                <w:rFonts w:ascii="Times New Roman"/>
                <w:sz w:val="18"/>
              </w:rPr>
              <w:t>292,528,695.65</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51,252,995.93</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21" w:type="dxa"/>
        <w:tblLayout w:type="fixed"/>
        <w:tblCellMar>
          <w:top w:w="0" w:type="dxa"/>
          <w:left w:w="0" w:type="dxa"/>
          <w:bottom w:w="0" w:type="dxa"/>
          <w:right w:w="0" w:type="dxa"/>
        </w:tblCellMar>
        <w:tblLook w:val="01E0"/>
      </w:tblPr>
      <w:tblGrid>
        <w:gridCol w:w="1034"/>
        <w:gridCol w:w="1037"/>
        <w:gridCol w:w="1183"/>
        <w:gridCol w:w="1035"/>
        <w:gridCol w:w="1036"/>
        <w:gridCol w:w="1034"/>
        <w:gridCol w:w="1034"/>
        <w:gridCol w:w="1200"/>
        <w:gridCol w:w="1103"/>
      </w:tblGrid>
      <w:tr>
        <w:trPr>
          <w:trHeight w:val="362" w:hRule="exact"/>
        </w:trPr>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037"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9"/>
              <w:jc w:val="both"/>
              <w:rPr>
                <w:rFonts w:ascii="宋体" w:hAnsi="宋体" w:cs="宋体" w:eastAsia="宋体" w:hint="default"/>
                <w:sz w:val="18"/>
                <w:szCs w:val="18"/>
              </w:rPr>
            </w:pPr>
            <w:r>
              <w:rPr>
                <w:rFonts w:ascii="宋体" w:hAnsi="宋体" w:cs="宋体" w:eastAsia="宋体" w:hint="default"/>
                <w:sz w:val="18"/>
                <w:szCs w:val="18"/>
              </w:rPr>
              <w:t>北京华夏电 通科技有限 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600,000,000.00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100.00%</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并购</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1" w:right="0"/>
              <w:jc w:val="left"/>
              <w:rPr>
                <w:rFonts w:ascii="Times New Roman" w:hAnsi="Times New Roman" w:cs="Times New Roman" w:eastAsia="Times New Roman" w:hint="default"/>
                <w:sz w:val="18"/>
                <w:szCs w:val="18"/>
              </w:rPr>
            </w:pPr>
            <w:r>
              <w:rPr>
                <w:rFonts w:ascii="Times New Roman"/>
                <w:sz w:val="18"/>
              </w:rPr>
              <w:t>38,256,581.38</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5" w:right="0"/>
              <w:jc w:val="left"/>
              <w:rPr>
                <w:rFonts w:ascii="Times New Roman" w:hAnsi="Times New Roman" w:cs="Times New Roman" w:eastAsia="Times New Roman" w:hint="default"/>
                <w:sz w:val="18"/>
                <w:szCs w:val="18"/>
              </w:rPr>
            </w:pPr>
            <w:r>
              <w:rPr>
                <w:rFonts w:ascii="Times New Roman"/>
                <w:sz w:val="18"/>
              </w:rPr>
              <w:t>7,342,153.69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合并成本及商誉" w:id="296"/>
      <w:bookmarkEnd w:id="296"/>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601" w:right="0"/>
              <w:jc w:val="left"/>
              <w:rPr>
                <w:rFonts w:ascii="宋体" w:hAnsi="宋体" w:cs="宋体" w:eastAsia="宋体" w:hint="default"/>
                <w:sz w:val="18"/>
                <w:szCs w:val="18"/>
              </w:rPr>
            </w:pPr>
            <w:r>
              <w:rPr>
                <w:rFonts w:ascii="宋体" w:hAnsi="宋体" w:cs="宋体" w:eastAsia="宋体" w:hint="default"/>
                <w:sz w:val="18"/>
                <w:szCs w:val="18"/>
              </w:rPr>
              <w:t>北京亿起联科技有限公司</w:t>
            </w:r>
          </w:p>
        </w:tc>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510" w:right="0"/>
              <w:jc w:val="left"/>
              <w:rPr>
                <w:rFonts w:ascii="宋体" w:hAnsi="宋体" w:cs="宋体" w:eastAsia="宋体" w:hint="default"/>
                <w:sz w:val="18"/>
                <w:szCs w:val="18"/>
              </w:rPr>
            </w:pPr>
            <w:r>
              <w:rPr>
                <w:rFonts w:ascii="宋体" w:hAnsi="宋体" w:cs="宋体" w:eastAsia="宋体" w:hint="default"/>
                <w:sz w:val="18"/>
                <w:szCs w:val="18"/>
              </w:rPr>
              <w:t>北京华夏电通科技有限公司</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90,000,000.00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发行的权益性证券的公允价值</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384,000,000.00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510,000,000.00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600,000,000.00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33,753,986.37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192,537,087.80</w:t>
            </w: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45"/>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 公允价值份额的金额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446,246,013.63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407,462,912.20</w:t>
            </w:r>
          </w:p>
        </w:tc>
      </w:tr>
    </w:tbl>
    <w:p>
      <w:pPr>
        <w:pStyle w:val="BodyText"/>
        <w:spacing w:line="240" w:lineRule="auto" w:before="51"/>
        <w:ind w:left="154" w:right="0"/>
        <w:jc w:val="both"/>
      </w:pPr>
      <w:r>
        <w:rPr/>
        <w:t>合并成本公允价值的确定方法、或有对价及其变动的说明：</w:t>
      </w:r>
    </w:p>
    <w:p>
      <w:pPr>
        <w:pStyle w:val="BodyText"/>
        <w:spacing w:line="240" w:lineRule="auto" w:before="115"/>
        <w:ind w:left="154" w:right="0"/>
        <w:jc w:val="both"/>
      </w:pPr>
      <w:r>
        <w:rPr>
          <w:rFonts w:ascii="Times New Roman" w:hAnsi="Times New Roman" w:cs="Times New Roman" w:eastAsia="Times New Roman" w:hint="default"/>
          <w:spacing w:val="10"/>
        </w:rPr>
        <w:t>1</w:t>
      </w:r>
      <w:r>
        <w:rPr>
          <w:spacing w:val="10"/>
        </w:rPr>
        <w:t>、公司收购北京亿起联科技有限公司所发行的股份数量总额</w:t>
      </w:r>
      <w:r>
        <w:rPr>
          <w:rFonts w:ascii="Times New Roman" w:hAnsi="Times New Roman" w:cs="Times New Roman" w:eastAsia="Times New Roman" w:hint="default"/>
          <w:spacing w:val="10"/>
        </w:rPr>
        <w:t>22,403,432.00</w:t>
      </w:r>
      <w:r>
        <w:rPr>
          <w:spacing w:val="10"/>
        </w:rPr>
        <w:t>股，其中向交易对手方发行股份数量总额</w:t>
      </w:r>
      <w:r>
        <w:rPr/>
      </w:r>
    </w:p>
    <w:p>
      <w:pPr>
        <w:pStyle w:val="BodyText"/>
        <w:spacing w:line="240" w:lineRule="auto" w:before="63"/>
        <w:ind w:left="154" w:right="0"/>
        <w:jc w:val="both"/>
      </w:pPr>
      <w:r>
        <w:rPr>
          <w:rFonts w:ascii="Times New Roman" w:hAnsi="Times New Roman" w:cs="Times New Roman" w:eastAsia="Times New Roman" w:hint="default"/>
        </w:rPr>
        <w:t>16,480,686.00</w:t>
      </w:r>
      <w:r>
        <w:rPr/>
        <w:t>股，每股发行价格</w:t>
      </w:r>
      <w:r>
        <w:rPr>
          <w:rFonts w:ascii="Times New Roman" w:hAnsi="Times New Roman" w:cs="Times New Roman" w:eastAsia="Times New Roman" w:hint="default"/>
        </w:rPr>
        <w:t>23.30</w:t>
      </w:r>
      <w:r>
        <w:rPr/>
        <w:t>元，交易总金额</w:t>
      </w:r>
      <w:r>
        <w:rPr>
          <w:rFonts w:ascii="Times New Roman" w:hAnsi="Times New Roman" w:cs="Times New Roman" w:eastAsia="Times New Roman" w:hint="default"/>
        </w:rPr>
        <w:t>48,000</w:t>
      </w:r>
      <w:r>
        <w:rPr/>
        <w:t>万元人民，其中股份发行对价</w:t>
      </w:r>
      <w:r>
        <w:rPr>
          <w:rFonts w:ascii="Times New Roman" w:hAnsi="Times New Roman" w:cs="Times New Roman" w:eastAsia="Times New Roman" w:hint="default"/>
        </w:rPr>
        <w:t>38,400</w:t>
      </w:r>
      <w:r>
        <w:rPr/>
        <w:t>万元，占全部交易总额比例</w:t>
      </w:r>
    </w:p>
    <w:p>
      <w:pPr>
        <w:pStyle w:val="BodyText"/>
        <w:spacing w:line="240" w:lineRule="auto" w:before="63"/>
        <w:ind w:right="0"/>
        <w:jc w:val="both"/>
      </w:pPr>
      <w:r>
        <w:rPr>
          <w:rFonts w:ascii="Times New Roman" w:hAnsi="Times New Roman" w:cs="Times New Roman" w:eastAsia="Times New Roman" w:hint="default"/>
        </w:rPr>
        <w:t>80%</w:t>
      </w:r>
      <w:r>
        <w:rPr/>
        <w:t>，交易金额</w:t>
      </w:r>
      <w:r>
        <w:rPr>
          <w:rFonts w:ascii="Times New Roman" w:hAnsi="Times New Roman" w:cs="Times New Roman" w:eastAsia="Times New Roman" w:hint="default"/>
        </w:rPr>
        <w:t>38,400</w:t>
      </w:r>
      <w:r>
        <w:rPr/>
        <w:t>万元，现金支付对价</w:t>
      </w:r>
      <w:r>
        <w:rPr>
          <w:rFonts w:ascii="Times New Roman" w:hAnsi="Times New Roman" w:cs="Times New Roman" w:eastAsia="Times New Roman" w:hint="default"/>
        </w:rPr>
        <w:t>9,600</w:t>
      </w:r>
      <w:r>
        <w:rPr/>
        <w:t>万元，支付占全部交易总额比例</w:t>
      </w:r>
      <w:r>
        <w:rPr>
          <w:rFonts w:ascii="Times New Roman" w:hAnsi="Times New Roman" w:cs="Times New Roman" w:eastAsia="Times New Roman" w:hint="default"/>
        </w:rPr>
        <w:t>20%</w:t>
      </w:r>
      <w:r>
        <w:rPr/>
        <w:t>。</w:t>
      </w:r>
    </w:p>
    <w:p>
      <w:pPr>
        <w:pStyle w:val="BodyText"/>
        <w:spacing w:line="300" w:lineRule="auto" w:before="63"/>
        <w:ind w:right="1064"/>
        <w:jc w:val="both"/>
      </w:pPr>
      <w:r>
        <w:rPr>
          <w:rFonts w:ascii="Times New Roman" w:hAnsi="Times New Roman" w:cs="Times New Roman" w:eastAsia="Times New Roman" w:hint="default"/>
        </w:rPr>
        <w:t>2</w:t>
      </w:r>
      <w:r>
        <w:rPr/>
        <w:t>、公司收购北京华夏电通科技有限公司所发行的股份数量总额</w:t>
      </w:r>
      <w:r>
        <w:rPr>
          <w:rFonts w:ascii="Times New Roman" w:hAnsi="Times New Roman" w:cs="Times New Roman" w:eastAsia="Times New Roman" w:hint="default"/>
        </w:rPr>
        <w:t>18,785,940.00</w:t>
      </w:r>
      <w:r>
        <w:rPr/>
        <w:t>股；其中向交易对手方股份发行股份数量总额</w:t>
      </w:r>
      <w:r>
        <w:rPr>
          <w:spacing w:val="-47"/>
        </w:rPr>
        <w:t> </w:t>
      </w:r>
      <w:r>
        <w:rPr>
          <w:spacing w:val="-47"/>
        </w:rPr>
      </w:r>
      <w:r>
        <w:rPr/>
        <w:t>方式交易股数</w:t>
      </w:r>
      <w:r>
        <w:rPr>
          <w:rFonts w:ascii="Times New Roman" w:hAnsi="Times New Roman" w:cs="Times New Roman" w:eastAsia="Times New Roman" w:hint="default"/>
        </w:rPr>
        <w:t>15,987,437.00</w:t>
      </w:r>
      <w:r>
        <w:rPr/>
        <w:t>股，每股发行价格</w:t>
      </w:r>
      <w:r>
        <w:rPr>
          <w:rFonts w:ascii="Times New Roman" w:hAnsi="Times New Roman" w:cs="Times New Roman" w:eastAsia="Times New Roman" w:hint="default"/>
        </w:rPr>
        <w:t>31.90</w:t>
      </w:r>
      <w:r>
        <w:rPr/>
        <w:t>元，交易总金额</w:t>
      </w:r>
      <w:r>
        <w:rPr>
          <w:rFonts w:ascii="Times New Roman" w:hAnsi="Times New Roman" w:cs="Times New Roman" w:eastAsia="Times New Roman" w:hint="default"/>
        </w:rPr>
        <w:t>60,000</w:t>
      </w:r>
      <w:r>
        <w:rPr/>
        <w:t>万元；其中股份对价</w:t>
      </w:r>
      <w:r>
        <w:rPr>
          <w:rFonts w:ascii="Times New Roman" w:hAnsi="Times New Roman" w:cs="Times New Roman" w:eastAsia="Times New Roman" w:hint="default"/>
        </w:rPr>
        <w:t>51,000</w:t>
      </w:r>
      <w:r>
        <w:rPr/>
        <w:t>万元，占全部交易总额 比例</w:t>
      </w:r>
      <w:r>
        <w:rPr>
          <w:rFonts w:ascii="Times New Roman" w:hAnsi="Times New Roman" w:cs="Times New Roman" w:eastAsia="Times New Roman" w:hint="default"/>
        </w:rPr>
        <w:t>85%</w:t>
      </w:r>
      <w:r>
        <w:rPr/>
        <w:t>；现金交易方式发行股数</w:t>
      </w:r>
      <w:r>
        <w:rPr>
          <w:rFonts w:ascii="Times New Roman" w:hAnsi="Times New Roman" w:cs="Times New Roman" w:eastAsia="Times New Roman" w:hint="default"/>
        </w:rPr>
        <w:t>2,798,503.00</w:t>
      </w:r>
      <w:r>
        <w:rPr/>
        <w:t>股，每股发行价格</w:t>
      </w:r>
      <w:r>
        <w:rPr>
          <w:rFonts w:ascii="Times New Roman" w:hAnsi="Times New Roman" w:cs="Times New Roman" w:eastAsia="Times New Roman" w:hint="default"/>
        </w:rPr>
        <w:t>32.16</w:t>
      </w:r>
      <w:r>
        <w:rPr/>
        <w:t>元</w:t>
      </w:r>
      <w:r>
        <w:rPr>
          <w:rFonts w:ascii="Times New Roman" w:hAnsi="Times New Roman" w:cs="Times New Roman" w:eastAsia="Times New Roman" w:hint="default"/>
        </w:rPr>
        <w:t>,</w:t>
      </w:r>
      <w:r>
        <w:rPr/>
        <w:t>支付对价</w:t>
      </w:r>
      <w:r>
        <w:rPr>
          <w:rFonts w:ascii="Times New Roman" w:hAnsi="Times New Roman" w:cs="Times New Roman" w:eastAsia="Times New Roman" w:hint="default"/>
        </w:rPr>
        <w:t>9,000.00</w:t>
      </w:r>
      <w:r>
        <w:rPr/>
        <w:t>万元，占全部交易总额比例</w:t>
      </w:r>
      <w:r>
        <w:rPr>
          <w:rFonts w:ascii="Times New Roman" w:hAnsi="Times New Roman" w:cs="Times New Roman" w:eastAsia="Times New Roman" w:hint="default"/>
        </w:rPr>
        <w:t>15%</w:t>
      </w:r>
      <w:r>
        <w:rPr/>
        <w:t>。</w:t>
      </w:r>
    </w:p>
    <w:p>
      <w:pPr>
        <w:pStyle w:val="BodyText"/>
        <w:spacing w:line="240" w:lineRule="auto" w:before="53"/>
        <w:ind w:left="154" w:right="0"/>
        <w:jc w:val="both"/>
      </w:pPr>
      <w:r>
        <w:rPr>
          <w:rFonts w:ascii="Times New Roman" w:hAnsi="Times New Roman" w:cs="Times New Roman" w:eastAsia="Times New Roman" w:hint="default"/>
        </w:rPr>
        <w:t>3</w:t>
      </w:r>
      <w:r>
        <w:rPr/>
        <w:t>、大额商誉形成的主要原因：系由收购总价与被购买方购买日可辨认净资产的公允价值差额确定。</w:t>
      </w:r>
    </w:p>
    <w:p>
      <w:pPr>
        <w:spacing w:line="240" w:lineRule="auto" w:before="10"/>
        <w:rPr>
          <w:rFonts w:ascii="宋体" w:hAnsi="宋体" w:cs="宋体" w:eastAsia="宋体" w:hint="default"/>
          <w:sz w:val="25"/>
          <w:szCs w:val="25"/>
        </w:rPr>
      </w:pPr>
    </w:p>
    <w:p>
      <w:pPr>
        <w:pStyle w:val="Heading3"/>
        <w:spacing w:line="240" w:lineRule="auto"/>
        <w:ind w:left="153" w:right="0"/>
        <w:jc w:val="both"/>
        <w:rPr>
          <w:b w:val="0"/>
          <w:bCs w:val="0"/>
        </w:rPr>
      </w:pPr>
      <w:bookmarkStart w:name="（3）被购买方于购买日可辨认资产、负债" w:id="297"/>
      <w:bookmarkEnd w:id="297"/>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9" w:space="0" w:color="D9D9D9"/>
            </w:tcBorders>
            <w:shd w:val="clear" w:color="auto" w:fill="D2D2D2"/>
          </w:tcPr>
          <w:p>
            <w:pP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827" w:right="0"/>
              <w:jc w:val="left"/>
              <w:rPr>
                <w:rFonts w:ascii="宋体" w:hAnsi="宋体" w:cs="宋体" w:eastAsia="宋体" w:hint="default"/>
                <w:sz w:val="18"/>
                <w:szCs w:val="18"/>
              </w:rPr>
            </w:pPr>
            <w:r>
              <w:rPr>
                <w:rFonts w:ascii="宋体" w:hAnsi="宋体" w:cs="宋体" w:eastAsia="宋体" w:hint="default"/>
                <w:sz w:val="18"/>
                <w:szCs w:val="18"/>
              </w:rPr>
              <w:t>北京华夏电通科技有限公司</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917" w:right="0"/>
              <w:jc w:val="left"/>
              <w:rPr>
                <w:rFonts w:ascii="宋体" w:hAnsi="宋体" w:cs="宋体" w:eastAsia="宋体" w:hint="default"/>
                <w:sz w:val="18"/>
                <w:szCs w:val="18"/>
              </w:rPr>
            </w:pPr>
            <w:r>
              <w:rPr>
                <w:rFonts w:ascii="宋体" w:hAnsi="宋体" w:cs="宋体" w:eastAsia="宋体" w:hint="default"/>
                <w:sz w:val="18"/>
                <w:szCs w:val="18"/>
              </w:rPr>
              <w:t>北京亿起联科技有限公司</w:t>
            </w:r>
          </w:p>
        </w:tc>
      </w:tr>
      <w:tr>
        <w:trPr>
          <w:trHeight w:val="402" w:hRule="exact"/>
        </w:trPr>
        <w:tc>
          <w:tcPr>
            <w:tcW w:w="1914" w:type="dxa"/>
            <w:tcBorders>
              <w:top w:val="single" w:sz="4" w:space="0" w:color="000000"/>
              <w:left w:val="single" w:sz="4" w:space="0" w:color="000000"/>
              <w:bottom w:val="single" w:sz="4" w:space="0" w:color="000000"/>
              <w:right w:val="single" w:sz="9" w:space="0" w:color="D9D9D9"/>
            </w:tcBorders>
            <w:shd w:val="clear" w:color="auto" w:fill="D2D2D2"/>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914" w:type="dxa"/>
            <w:tcBorders>
              <w:top w:val="single" w:sz="4" w:space="0" w:color="000000"/>
              <w:left w:val="single" w:sz="13" w:space="0" w:color="D9D9D9"/>
              <w:bottom w:val="single" w:sz="4" w:space="0" w:color="000000"/>
              <w:right w:val="single" w:sz="4" w:space="0" w:color="000000"/>
            </w:tcBorders>
            <w:shd w:val="clear" w:color="auto" w:fill="D2D2D2"/>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73,585,139.59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73,585,139.59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20,731,337.23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20,731,337.23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24,357,769.13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24,357,769.13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14,768,814.07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14,768,814.07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93,687,186.03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93,687,186.03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79,642,911.73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80,083,663.32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637,362.00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637,362.00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14,582,909.05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1,240,761.47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93,367.42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93,367.42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5,775,868.79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5,775,868.79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2,131,157.56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2,131,157.56</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9,374,079.79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9,374,079.79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638,494.55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638,494.55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5,759,910.73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5,759,910.73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31,338,440.06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6,686,956.74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348,910.18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348,910.18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313,228.36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313,228.36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4,566.33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4,566.33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35,464,028.52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35,464,028.52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1,571,872.79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1,571,872.79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113,894,031.66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113,894,031.66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4,448,147.00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4,448,147.00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4,779,609.09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4,779,609.09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767,415.11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767,415.11</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-10,084,758.82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-10,084,758.82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-1,189,976.89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-1,189,976.89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1,185,391.93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1,185,391.93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2,564.96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2,564.96</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552,053.08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552,053.08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192,537,087.80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154,984,208.49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33,753,986.37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33,753,986.37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192,537,087.80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154,984,208.49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33,753,986.37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33,753,986.37</w:t>
            </w:r>
          </w:p>
        </w:tc>
      </w:tr>
    </w:tbl>
    <w:p>
      <w:pPr>
        <w:pStyle w:val="BodyText"/>
        <w:spacing w:line="338" w:lineRule="auto" w:before="51"/>
        <w:ind w:right="0"/>
        <w:jc w:val="left"/>
      </w:pPr>
      <w:r>
        <w:rPr/>
        <w:t>可辨认资产、负债公允价值的确定方法： </w:t>
      </w:r>
      <w:r>
        <w:rPr>
          <w:spacing w:val="-2"/>
        </w:rPr>
        <w:t>北京华夏电通科技有限公司收购时有评估报告，可辨认资产、负债公允价值根据评估报告确定；北京亿起联科技有限公司收</w:t>
      </w:r>
      <w:r>
        <w:rPr>
          <w:spacing w:val="-66"/>
        </w:rPr>
        <w:t> </w:t>
      </w:r>
      <w:r>
        <w:rPr>
          <w:spacing w:val="-66"/>
        </w:rPr>
      </w:r>
      <w:r>
        <w:rPr/>
        <w:t>购时有评估报告，因评估增值金额小，故可辨认资产、负债公允价值以合并日的账面价值确定。</w:t>
      </w:r>
    </w:p>
    <w:p>
      <w:pPr>
        <w:spacing w:line="240" w:lineRule="auto" w:before="4"/>
        <w:rPr>
          <w:rFonts w:ascii="宋体" w:hAnsi="宋体" w:cs="宋体" w:eastAsia="宋体" w:hint="default"/>
          <w:sz w:val="21"/>
          <w:szCs w:val="21"/>
        </w:rPr>
      </w:pPr>
    </w:p>
    <w:p>
      <w:pPr>
        <w:pStyle w:val="Heading3"/>
        <w:spacing w:line="240" w:lineRule="auto"/>
        <w:ind w:left="153" w:right="0"/>
        <w:jc w:val="left"/>
        <w:rPr>
          <w:b w:val="0"/>
          <w:bCs w:val="0"/>
        </w:rPr>
      </w:pPr>
      <w:bookmarkStart w:name="（4）其他说明" w:id="298"/>
      <w:bookmarkEnd w:id="298"/>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7"/>
        <w:rPr>
          <w:rFonts w:ascii="宋体" w:hAnsi="宋体" w:cs="宋体" w:eastAsia="宋体" w:hint="default"/>
          <w:b/>
          <w:bCs/>
          <w:sz w:val="26"/>
          <w:szCs w:val="26"/>
        </w:rPr>
      </w:pPr>
    </w:p>
    <w:p>
      <w:pPr>
        <w:pStyle w:val="BodyText"/>
        <w:spacing w:line="307" w:lineRule="auto"/>
        <w:ind w:right="1121"/>
        <w:jc w:val="left"/>
      </w:pPr>
      <w:r>
        <w:rPr/>
        <w:t>其他原因的合并范围变动 </w:t>
      </w: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25</w:t>
      </w:r>
      <w:r>
        <w:rPr>
          <w:spacing w:val="-3"/>
        </w:rPr>
        <w:t>日，经公司第五届董事会第十四次（临时）会议审议通过，公司与龙信数据（北京）有限公司共同出资</w:t>
      </w:r>
      <w:r>
        <w:rPr>
          <w:rFonts w:ascii="Times New Roman" w:hAnsi="Times New Roman" w:cs="Times New Roman" w:eastAsia="Times New Roman" w:hint="default"/>
          <w:spacing w:val="-3"/>
        </w:rPr>
        <w:t>1,000</w:t>
      </w:r>
      <w:r>
        <w:rPr>
          <w:rFonts w:ascii="Times New Roman" w:hAnsi="Times New Roman" w:cs="Times New Roman" w:eastAsia="Times New Roman" w:hint="default"/>
          <w:spacing w:val="12"/>
        </w:rPr>
        <w:t> </w:t>
      </w:r>
      <w:r>
        <w:rPr>
          <w:spacing w:val="-1"/>
        </w:rPr>
        <w:t>万元设立北京久其龙信数据科技有限公司。本公司以货币出资</w:t>
      </w:r>
      <w:r>
        <w:rPr>
          <w:rFonts w:ascii="Times New Roman" w:hAnsi="Times New Roman" w:cs="Times New Roman" w:eastAsia="Times New Roman" w:hint="default"/>
          <w:spacing w:val="-1"/>
        </w:rPr>
        <w:t>510</w:t>
      </w:r>
      <w:r>
        <w:rPr>
          <w:spacing w:val="-1"/>
        </w:rPr>
        <w:t>万元，持有</w:t>
      </w:r>
      <w:r>
        <w:rPr>
          <w:rFonts w:ascii="Times New Roman" w:hAnsi="Times New Roman" w:cs="Times New Roman" w:eastAsia="Times New Roman" w:hint="default"/>
          <w:spacing w:val="-1"/>
        </w:rPr>
        <w:t>51%</w:t>
      </w:r>
      <w:r>
        <w:rPr>
          <w:spacing w:val="-1"/>
        </w:rPr>
        <w:t>股权；龙信数据以货币出资</w:t>
      </w:r>
      <w:r>
        <w:rPr>
          <w:rFonts w:ascii="Times New Roman" w:hAnsi="Times New Roman" w:cs="Times New Roman" w:eastAsia="Times New Roman" w:hint="default"/>
          <w:spacing w:val="-1"/>
        </w:rPr>
        <w:t>490</w:t>
      </w:r>
      <w:r>
        <w:rPr>
          <w:spacing w:val="-1"/>
        </w:rPr>
        <w:t>万元，持有</w:t>
      </w:r>
      <w:r>
        <w:rPr>
          <w:spacing w:val="-88"/>
        </w:rPr>
        <w:t> </w:t>
      </w:r>
      <w:r>
        <w:rPr>
          <w:spacing w:val="-88"/>
        </w:rPr>
      </w:r>
      <w:r>
        <w:rPr>
          <w:rFonts w:ascii="Times New Roman" w:hAnsi="Times New Roman" w:cs="Times New Roman" w:eastAsia="Times New Roman" w:hint="default"/>
        </w:rPr>
        <w:t>49%</w:t>
      </w:r>
      <w:r>
        <w:rPr/>
        <w:t>股权。截至报告期末，公司累计向久其龙信出资</w:t>
      </w:r>
      <w:r>
        <w:rPr>
          <w:rFonts w:ascii="Times New Roman" w:hAnsi="Times New Roman" w:cs="Times New Roman" w:eastAsia="Times New Roman" w:hint="default"/>
        </w:rPr>
        <w:t>110</w:t>
      </w:r>
      <w:r>
        <w:rPr/>
        <w:t>万元。</w:t>
      </w:r>
    </w:p>
    <w:p>
      <w:pPr>
        <w:pStyle w:val="BodyText"/>
        <w:spacing w:line="300" w:lineRule="auto" w:before="7"/>
        <w:ind w:right="1127"/>
        <w:jc w:val="both"/>
      </w:pP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9</w:t>
      </w:r>
      <w:r>
        <w:rPr>
          <w:spacing w:val="-1"/>
        </w:rPr>
        <w:t>日，经公司第五届董事会第十六次（临时）会议审议通过，公司与公司控股股东久其科技共同出资</w:t>
      </w:r>
      <w:r>
        <w:rPr>
          <w:rFonts w:ascii="Times New Roman" w:hAnsi="Times New Roman" w:cs="Times New Roman" w:eastAsia="Times New Roman" w:hint="default"/>
          <w:spacing w:val="-1"/>
        </w:rPr>
        <w:t>5,000</w:t>
      </w:r>
      <w:r>
        <w:rPr>
          <w:spacing w:val="-1"/>
        </w:rPr>
        <w:t>万元</w:t>
      </w:r>
      <w:r>
        <w:rPr>
          <w:spacing w:val="-70"/>
        </w:rPr>
        <w:t> </w:t>
      </w:r>
      <w:r>
        <w:rPr/>
        <w:t>设立北京久其互联网金融服务有限公司。公司以货币出资</w:t>
      </w:r>
      <w:r>
        <w:rPr>
          <w:rFonts w:ascii="Times New Roman" w:hAnsi="Times New Roman" w:cs="Times New Roman" w:eastAsia="Times New Roman" w:hint="default"/>
        </w:rPr>
        <w:t>3,500</w:t>
      </w:r>
      <w:r>
        <w:rPr/>
        <w:t>万元，持有</w:t>
      </w:r>
      <w:r>
        <w:rPr>
          <w:rFonts w:ascii="Times New Roman" w:hAnsi="Times New Roman" w:cs="Times New Roman" w:eastAsia="Times New Roman" w:hint="default"/>
        </w:rPr>
        <w:t>70%</w:t>
      </w:r>
      <w:r>
        <w:rPr/>
        <w:t>股权；久其科技以货币出资</w:t>
      </w:r>
      <w:r>
        <w:rPr>
          <w:rFonts w:ascii="Times New Roman" w:hAnsi="Times New Roman" w:cs="Times New Roman" w:eastAsia="Times New Roman" w:hint="default"/>
        </w:rPr>
        <w:t>1,500</w:t>
      </w:r>
      <w:r>
        <w:rPr/>
        <w:t>万元，持有</w:t>
      </w:r>
      <w:r>
        <w:rPr>
          <w:spacing w:val="-55"/>
        </w:rPr>
        <w:t> </w:t>
      </w:r>
      <w:r>
        <w:rPr>
          <w:rFonts w:ascii="Times New Roman" w:hAnsi="Times New Roman" w:cs="Times New Roman" w:eastAsia="Times New Roman" w:hint="default"/>
        </w:rPr>
        <w:t>30%</w:t>
      </w:r>
      <w:r>
        <w:rPr/>
        <w:t>股权。截至报告期末，公司累计向久金所出资</w:t>
      </w:r>
      <w:r>
        <w:rPr>
          <w:rFonts w:ascii="Times New Roman" w:hAnsi="Times New Roman" w:cs="Times New Roman" w:eastAsia="Times New Roman" w:hint="default"/>
        </w:rPr>
        <w:t>700</w:t>
      </w:r>
      <w:r>
        <w:rPr/>
        <w:t>万元。</w:t>
      </w:r>
    </w:p>
    <w:p>
      <w:pPr>
        <w:pStyle w:val="BodyText"/>
        <w:spacing w:line="240" w:lineRule="auto" w:before="13"/>
        <w:ind w:left="154" w:right="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24</w:t>
      </w:r>
      <w:r>
        <w:rPr/>
        <w:t>日，经公司</w:t>
      </w:r>
      <w:r>
        <w:rPr>
          <w:rFonts w:ascii="Times New Roman" w:hAnsi="Times New Roman" w:cs="Times New Roman" w:eastAsia="Times New Roman" w:hint="default"/>
        </w:rPr>
        <w:t>2015</w:t>
      </w:r>
      <w:r>
        <w:rPr/>
        <w:t>年第三次临时股东大会审议通过，公司与自然人欧阳曜、自然人李孜、自然人黄芳共同出资</w:t>
      </w:r>
    </w:p>
    <w:p>
      <w:pPr>
        <w:pStyle w:val="BodyText"/>
        <w:spacing w:line="300" w:lineRule="auto" w:before="63"/>
        <w:ind w:right="1118"/>
        <w:jc w:val="left"/>
      </w:pPr>
      <w:r>
        <w:rPr>
          <w:rFonts w:ascii="Times New Roman" w:hAnsi="Times New Roman" w:cs="Times New Roman" w:eastAsia="Times New Roman" w:hint="default"/>
          <w:spacing w:val="-1"/>
        </w:rPr>
        <w:t>2,000</w:t>
      </w:r>
      <w:r>
        <w:rPr>
          <w:spacing w:val="-1"/>
        </w:rPr>
        <w:t>万元发起设立北京蜂语网络科技有限公司。公司以货币出资</w:t>
      </w:r>
      <w:r>
        <w:rPr>
          <w:rFonts w:ascii="Times New Roman" w:hAnsi="Times New Roman" w:cs="Times New Roman" w:eastAsia="Times New Roman" w:hint="default"/>
          <w:spacing w:val="-1"/>
        </w:rPr>
        <w:t>1,020</w:t>
      </w:r>
      <w:r>
        <w:rPr>
          <w:spacing w:val="-1"/>
        </w:rPr>
        <w:t>万元，持有</w:t>
      </w:r>
      <w:r>
        <w:rPr>
          <w:rFonts w:ascii="Times New Roman" w:hAnsi="Times New Roman" w:cs="Times New Roman" w:eastAsia="Times New Roman" w:hint="default"/>
          <w:spacing w:val="-1"/>
        </w:rPr>
        <w:t>51.00%</w:t>
      </w:r>
      <w:r>
        <w:rPr>
          <w:spacing w:val="-1"/>
        </w:rPr>
        <w:t>股权。截至报告期末，公司累计向</w:t>
      </w:r>
      <w:r>
        <w:rPr>
          <w:spacing w:val="-43"/>
        </w:rPr>
        <w:t> </w:t>
      </w:r>
      <w:r>
        <w:rPr>
          <w:spacing w:val="-43"/>
        </w:rPr>
      </w:r>
      <w:r>
        <w:rPr/>
        <w:t>蜂语网络出资</w:t>
      </w:r>
      <w:r>
        <w:rPr>
          <w:rFonts w:ascii="Times New Roman" w:hAnsi="Times New Roman" w:cs="Times New Roman" w:eastAsia="Times New Roman" w:hint="default"/>
        </w:rPr>
        <w:t>204</w:t>
      </w:r>
      <w:r>
        <w:rPr/>
        <w:t>万元。 </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29</w:t>
      </w:r>
      <w:r>
        <w:rPr/>
        <w:t>日，经公司第五届董事会第二十四次会议审议通过，公司与自然人施瑞丰、自然人石磊共同投资</w:t>
      </w:r>
      <w:r>
        <w:rPr>
          <w:rFonts w:ascii="Times New Roman" w:hAnsi="Times New Roman" w:cs="Times New Roman" w:eastAsia="Times New Roman" w:hint="default"/>
        </w:rPr>
        <w:t>2,000</w:t>
      </w:r>
      <w:r>
        <w:rPr/>
        <w:t>万元</w:t>
      </w:r>
      <w:r>
        <w:rPr>
          <w:spacing w:val="-43"/>
        </w:rPr>
        <w:t> </w:t>
      </w:r>
      <w:r>
        <w:rPr/>
        <w:t>发起设立北京中民颐养科技服务有限公司，其中，公司以货币出资</w:t>
      </w:r>
      <w:r>
        <w:rPr>
          <w:rFonts w:ascii="Times New Roman" w:hAnsi="Times New Roman" w:cs="Times New Roman" w:eastAsia="Times New Roman" w:hint="default"/>
        </w:rPr>
        <w:t>1,020</w:t>
      </w:r>
      <w:r>
        <w:rPr/>
        <w:t>万元，持有</w:t>
      </w:r>
      <w:r>
        <w:rPr>
          <w:rFonts w:ascii="Times New Roman" w:hAnsi="Times New Roman" w:cs="Times New Roman" w:eastAsia="Times New Roman" w:hint="default"/>
        </w:rPr>
        <w:t>51%</w:t>
      </w:r>
      <w:r>
        <w:rPr/>
        <w:t>股权。截至报告期末，公司未向中</w:t>
      </w:r>
      <w:r>
        <w:rPr>
          <w:spacing w:val="-19"/>
        </w:rPr>
        <w:t> </w:t>
      </w:r>
      <w:r>
        <w:rPr>
          <w:spacing w:val="-19"/>
        </w:rPr>
      </w:r>
      <w:r>
        <w:rPr/>
        <w:t>民颐养出资。</w:t>
      </w:r>
    </w:p>
    <w:p>
      <w:pPr>
        <w:spacing w:line="240" w:lineRule="auto" w:before="6"/>
        <w:rPr>
          <w:rFonts w:ascii="宋体" w:hAnsi="宋体" w:cs="宋体" w:eastAsia="宋体" w:hint="default"/>
          <w:sz w:val="23"/>
          <w:szCs w:val="23"/>
        </w:rPr>
      </w:pPr>
    </w:p>
    <w:p>
      <w:pPr>
        <w:pStyle w:val="Heading3"/>
        <w:spacing w:line="240" w:lineRule="auto"/>
        <w:ind w:left="153" w:right="0"/>
        <w:jc w:val="left"/>
        <w:rPr>
          <w:b w:val="0"/>
          <w:bCs w:val="0"/>
        </w:rPr>
      </w:pPr>
      <w:bookmarkStart w:name="2、处置子公司" w:id="299"/>
      <w:bookmarkEnd w:id="299"/>
      <w:r>
        <w:rPr>
          <w:b w:val="0"/>
          <w:bCs w:val="0"/>
        </w:rPr>
      </w:r>
      <w:r>
        <w:rPr>
          <w:rFonts w:ascii="Times New Roman" w:hAnsi="Times New Roman" w:cs="Times New Roman" w:eastAsia="Times New Roman" w:hint="default"/>
        </w:rPr>
        <w:t>2</w:t>
      </w:r>
      <w:r>
        <w:rPr/>
        <w:t>、处置子公司</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79" w:top="1060" w:bottom="1160" w:left="980" w:right="0"/>
        </w:sectPr>
      </w:pPr>
    </w:p>
    <w:p>
      <w:pPr>
        <w:pStyle w:val="BodyText"/>
        <w:spacing w:line="240" w:lineRule="auto" w:before="44"/>
        <w:ind w:right="-19"/>
        <w:jc w:val="left"/>
      </w:pPr>
      <w:r>
        <w:rPr/>
        <w:t>是否存在单次处置对子公司投资即丧失控制权的情形</w:t>
      </w:r>
    </w:p>
    <w:p>
      <w:pPr>
        <w:pStyle w:val="BodyText"/>
        <w:spacing w:line="240" w:lineRule="auto" w:before="116"/>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4"/>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710"/>
        <w:gridCol w:w="881"/>
        <w:gridCol w:w="709"/>
        <w:gridCol w:w="710"/>
        <w:gridCol w:w="710"/>
        <w:gridCol w:w="710"/>
        <w:gridCol w:w="1002"/>
        <w:gridCol w:w="710"/>
        <w:gridCol w:w="712"/>
        <w:gridCol w:w="711"/>
        <w:gridCol w:w="710"/>
        <w:gridCol w:w="710"/>
        <w:gridCol w:w="710"/>
      </w:tblGrid>
      <w:tr>
        <w:trPr>
          <w:trHeight w:val="1016" w:hRule="exact"/>
        </w:trPr>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169" w:right="78"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255" w:right="73" w:hanging="180"/>
              <w:jc w:val="left"/>
              <w:rPr>
                <w:rFonts w:ascii="宋体" w:hAnsi="宋体" w:cs="宋体" w:eastAsia="宋体" w:hint="default"/>
                <w:sz w:val="18"/>
                <w:szCs w:val="18"/>
              </w:rPr>
            </w:pPr>
            <w:r>
              <w:rPr>
                <w:rFonts w:ascii="宋体" w:hAnsi="宋体" w:cs="宋体" w:eastAsia="宋体" w:hint="default"/>
                <w:sz w:val="18"/>
                <w:szCs w:val="18"/>
              </w:rPr>
              <w:t>股权处置 价款</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79" w:right="78"/>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80" w:right="78"/>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6"/>
              <w:ind w:left="79" w:right="79"/>
              <w:jc w:val="both"/>
              <w:rPr>
                <w:rFonts w:ascii="宋体" w:hAnsi="宋体" w:cs="宋体" w:eastAsia="宋体" w:hint="default"/>
                <w:sz w:val="18"/>
                <w:szCs w:val="18"/>
              </w:rPr>
            </w:pPr>
            <w:r>
              <w:rPr>
                <w:rFonts w:ascii="宋体" w:hAnsi="宋体" w:cs="宋体" w:eastAsia="宋体" w:hint="default"/>
                <w:sz w:val="18"/>
                <w:szCs w:val="18"/>
              </w:rPr>
              <w:t>丧失控 制权的 时点</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79" w:right="78"/>
              <w:jc w:val="both"/>
              <w:rPr>
                <w:rFonts w:ascii="宋体" w:hAnsi="宋体" w:cs="宋体" w:eastAsia="宋体" w:hint="default"/>
                <w:sz w:val="18"/>
                <w:szCs w:val="18"/>
              </w:rPr>
            </w:pPr>
            <w:r>
              <w:rPr>
                <w:rFonts w:ascii="宋体" w:hAnsi="宋体" w:cs="宋体" w:eastAsia="宋体" w:hint="default"/>
                <w:sz w:val="18"/>
                <w:szCs w:val="18"/>
              </w:rPr>
              <w:t>丧失控 制权时 点的确</w:t>
            </w:r>
          </w:p>
        </w:tc>
        <w:tc>
          <w:tcPr>
            <w:tcW w:w="10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46" w:right="43"/>
              <w:jc w:val="both"/>
              <w:rPr>
                <w:rFonts w:ascii="宋体" w:hAnsi="宋体" w:cs="宋体" w:eastAsia="宋体" w:hint="default"/>
                <w:sz w:val="18"/>
                <w:szCs w:val="18"/>
              </w:rPr>
            </w:pPr>
            <w:r>
              <w:rPr>
                <w:rFonts w:ascii="宋体" w:hAnsi="宋体" w:cs="宋体" w:eastAsia="宋体" w:hint="default"/>
                <w:sz w:val="18"/>
                <w:szCs w:val="18"/>
              </w:rPr>
              <w:t>处置价款与 处置投资对 应的合并财</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80" w:right="78"/>
              <w:jc w:val="both"/>
              <w:rPr>
                <w:rFonts w:ascii="宋体" w:hAnsi="宋体" w:cs="宋体" w:eastAsia="宋体" w:hint="default"/>
                <w:sz w:val="18"/>
                <w:szCs w:val="18"/>
              </w:rPr>
            </w:pPr>
            <w:r>
              <w:rPr>
                <w:rFonts w:ascii="宋体" w:hAnsi="宋体" w:cs="宋体" w:eastAsia="宋体" w:hint="default"/>
                <w:sz w:val="18"/>
                <w:szCs w:val="18"/>
              </w:rPr>
              <w:t>丧失控 制权之 日剩余</w:t>
            </w:r>
          </w:p>
        </w:tc>
        <w:tc>
          <w:tcPr>
            <w:tcW w:w="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80" w:right="79"/>
              <w:jc w:val="both"/>
              <w:rPr>
                <w:rFonts w:ascii="宋体" w:hAnsi="宋体" w:cs="宋体" w:eastAsia="宋体" w:hint="default"/>
                <w:sz w:val="18"/>
                <w:szCs w:val="18"/>
              </w:rPr>
            </w:pPr>
            <w:r>
              <w:rPr>
                <w:rFonts w:ascii="宋体" w:hAnsi="宋体" w:cs="宋体" w:eastAsia="宋体" w:hint="default"/>
                <w:sz w:val="18"/>
                <w:szCs w:val="18"/>
              </w:rPr>
              <w:t>丧失控 制权之 日剩余</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80" w:right="78"/>
              <w:jc w:val="both"/>
              <w:rPr>
                <w:rFonts w:ascii="宋体" w:hAnsi="宋体" w:cs="宋体" w:eastAsia="宋体" w:hint="default"/>
                <w:sz w:val="18"/>
                <w:szCs w:val="18"/>
              </w:rPr>
            </w:pPr>
            <w:r>
              <w:rPr>
                <w:rFonts w:ascii="宋体" w:hAnsi="宋体" w:cs="宋体" w:eastAsia="宋体" w:hint="default"/>
                <w:sz w:val="18"/>
                <w:szCs w:val="18"/>
              </w:rPr>
              <w:t>丧失控 制权之 日剩余</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79" w:right="79"/>
              <w:jc w:val="both"/>
              <w:rPr>
                <w:rFonts w:ascii="宋体" w:hAnsi="宋体" w:cs="宋体" w:eastAsia="宋体" w:hint="default"/>
                <w:sz w:val="18"/>
                <w:szCs w:val="18"/>
              </w:rPr>
            </w:pPr>
            <w:r>
              <w:rPr>
                <w:rFonts w:ascii="宋体" w:hAnsi="宋体" w:cs="宋体" w:eastAsia="宋体" w:hint="default"/>
                <w:sz w:val="18"/>
                <w:szCs w:val="18"/>
              </w:rPr>
              <w:t>按照公 允价值 重新计</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79" w:right="80"/>
              <w:jc w:val="both"/>
              <w:rPr>
                <w:rFonts w:ascii="宋体" w:hAnsi="宋体" w:cs="宋体" w:eastAsia="宋体" w:hint="default"/>
                <w:sz w:val="18"/>
                <w:szCs w:val="18"/>
              </w:rPr>
            </w:pPr>
            <w:r>
              <w:rPr>
                <w:rFonts w:ascii="宋体" w:hAnsi="宋体" w:cs="宋体" w:eastAsia="宋体" w:hint="default"/>
                <w:sz w:val="18"/>
                <w:szCs w:val="18"/>
              </w:rPr>
              <w:t>丧失控 制权之 日剩余</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79" w:right="78"/>
              <w:jc w:val="both"/>
              <w:rPr>
                <w:rFonts w:ascii="宋体" w:hAnsi="宋体" w:cs="宋体" w:eastAsia="宋体" w:hint="default"/>
                <w:sz w:val="18"/>
                <w:szCs w:val="18"/>
              </w:rPr>
            </w:pPr>
            <w:r>
              <w:rPr>
                <w:rFonts w:ascii="宋体" w:hAnsi="宋体" w:cs="宋体" w:eastAsia="宋体" w:hint="default"/>
                <w:sz w:val="18"/>
                <w:szCs w:val="18"/>
              </w:rPr>
              <w:t>与原子 公司股 权投资</w:t>
            </w:r>
          </w:p>
        </w:tc>
      </w:tr>
    </w:tbl>
    <w:p>
      <w:pPr>
        <w:spacing w:after="0" w:line="316" w:lineRule="auto"/>
        <w:jc w:val="both"/>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21" w:type="dxa"/>
        <w:tblLayout w:type="fixed"/>
        <w:tblCellMar>
          <w:top w:w="0" w:type="dxa"/>
          <w:left w:w="0" w:type="dxa"/>
          <w:bottom w:w="0" w:type="dxa"/>
          <w:right w:w="0" w:type="dxa"/>
        </w:tblCellMar>
        <w:tblLook w:val="01E0"/>
      </w:tblPr>
      <w:tblGrid>
        <w:gridCol w:w="710"/>
        <w:gridCol w:w="881"/>
        <w:gridCol w:w="709"/>
        <w:gridCol w:w="710"/>
        <w:gridCol w:w="710"/>
        <w:gridCol w:w="710"/>
        <w:gridCol w:w="1002"/>
        <w:gridCol w:w="710"/>
        <w:gridCol w:w="712"/>
        <w:gridCol w:w="711"/>
        <w:gridCol w:w="710"/>
        <w:gridCol w:w="709"/>
        <w:gridCol w:w="710"/>
      </w:tblGrid>
      <w:tr>
        <w:trPr>
          <w:trHeight w:val="1923" w:hRule="exact"/>
        </w:trPr>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8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9" w:right="0"/>
              <w:jc w:val="left"/>
              <w:rPr>
                <w:rFonts w:ascii="宋体" w:hAnsi="宋体" w:cs="宋体" w:eastAsia="宋体" w:hint="default"/>
                <w:sz w:val="18"/>
                <w:szCs w:val="18"/>
              </w:rPr>
            </w:pPr>
            <w:r>
              <w:rPr>
                <w:rFonts w:ascii="宋体" w:hAnsi="宋体" w:cs="宋体" w:eastAsia="宋体" w:hint="default"/>
                <w:sz w:val="18"/>
                <w:szCs w:val="18"/>
              </w:rPr>
              <w:t>定依据</w:t>
            </w:r>
          </w:p>
        </w:tc>
        <w:tc>
          <w:tcPr>
            <w:tcW w:w="10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46" w:right="43"/>
              <w:jc w:val="both"/>
              <w:rPr>
                <w:rFonts w:ascii="宋体" w:hAnsi="宋体" w:cs="宋体" w:eastAsia="宋体" w:hint="default"/>
                <w:sz w:val="18"/>
                <w:szCs w:val="18"/>
              </w:rPr>
            </w:pPr>
            <w:r>
              <w:rPr>
                <w:rFonts w:ascii="宋体" w:hAnsi="宋体" w:cs="宋体" w:eastAsia="宋体" w:hint="default"/>
                <w:sz w:val="18"/>
                <w:szCs w:val="18"/>
              </w:rPr>
              <w:t>务报表层面 享有该子公 司净资产份 额的差额</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70" w:right="78" w:hanging="90"/>
              <w:jc w:val="left"/>
              <w:rPr>
                <w:rFonts w:ascii="宋体" w:hAnsi="宋体" w:cs="宋体" w:eastAsia="宋体" w:hint="default"/>
                <w:sz w:val="18"/>
                <w:szCs w:val="18"/>
              </w:rPr>
            </w:pPr>
            <w:r>
              <w:rPr>
                <w:rFonts w:ascii="宋体" w:hAnsi="宋体" w:cs="宋体" w:eastAsia="宋体" w:hint="default"/>
                <w:sz w:val="18"/>
                <w:szCs w:val="18"/>
              </w:rPr>
              <w:t>股权的 比例</w:t>
            </w:r>
          </w:p>
        </w:tc>
        <w:tc>
          <w:tcPr>
            <w:tcW w:w="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80" w:right="79"/>
              <w:jc w:val="center"/>
              <w:rPr>
                <w:rFonts w:ascii="宋体" w:hAnsi="宋体" w:cs="宋体" w:eastAsia="宋体" w:hint="default"/>
                <w:sz w:val="18"/>
                <w:szCs w:val="18"/>
              </w:rPr>
            </w:pPr>
            <w:r>
              <w:rPr>
                <w:rFonts w:ascii="宋体" w:hAnsi="宋体" w:cs="宋体" w:eastAsia="宋体" w:hint="default"/>
                <w:sz w:val="18"/>
                <w:szCs w:val="18"/>
              </w:rPr>
              <w:t>股权的 账面价 值</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80" w:right="78"/>
              <w:jc w:val="center"/>
              <w:rPr>
                <w:rFonts w:ascii="宋体" w:hAnsi="宋体" w:cs="宋体" w:eastAsia="宋体" w:hint="default"/>
                <w:sz w:val="18"/>
                <w:szCs w:val="18"/>
              </w:rPr>
            </w:pPr>
            <w:r>
              <w:rPr>
                <w:rFonts w:ascii="宋体" w:hAnsi="宋体" w:cs="宋体" w:eastAsia="宋体" w:hint="default"/>
                <w:sz w:val="18"/>
                <w:szCs w:val="18"/>
              </w:rPr>
              <w:t>股权的 公允价 值</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79" w:right="79"/>
              <w:jc w:val="center"/>
              <w:rPr>
                <w:rFonts w:ascii="宋体" w:hAnsi="宋体" w:cs="宋体" w:eastAsia="宋体" w:hint="default"/>
                <w:sz w:val="18"/>
                <w:szCs w:val="18"/>
              </w:rPr>
            </w:pPr>
            <w:r>
              <w:rPr>
                <w:rFonts w:ascii="宋体" w:hAnsi="宋体" w:cs="宋体" w:eastAsia="宋体" w:hint="default"/>
                <w:sz w:val="18"/>
                <w:szCs w:val="18"/>
              </w:rPr>
              <w:t>量剩余 股权产 生的利 得或损 失</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79" w:right="78"/>
              <w:jc w:val="center"/>
              <w:rPr>
                <w:rFonts w:ascii="宋体" w:hAnsi="宋体" w:cs="宋体" w:eastAsia="宋体" w:hint="default"/>
                <w:sz w:val="18"/>
                <w:szCs w:val="18"/>
              </w:rPr>
            </w:pPr>
            <w:r>
              <w:rPr>
                <w:rFonts w:ascii="宋体" w:hAnsi="宋体" w:cs="宋体" w:eastAsia="宋体" w:hint="default"/>
                <w:sz w:val="18"/>
                <w:szCs w:val="18"/>
              </w:rPr>
              <w:t>股权公 允价值 的确定 方法及 主要假 设</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80" w:right="78"/>
              <w:jc w:val="both"/>
              <w:rPr>
                <w:rFonts w:ascii="宋体" w:hAnsi="宋体" w:cs="宋体" w:eastAsia="宋体" w:hint="default"/>
                <w:sz w:val="18"/>
                <w:szCs w:val="18"/>
              </w:rPr>
            </w:pPr>
            <w:r>
              <w:rPr>
                <w:rFonts w:ascii="宋体" w:hAnsi="宋体" w:cs="宋体" w:eastAsia="宋体" w:hint="default"/>
                <w:sz w:val="18"/>
                <w:szCs w:val="18"/>
              </w:rPr>
              <w:t>相关的 其他综 合收益 转入投 资损益 的金额</w:t>
            </w:r>
          </w:p>
        </w:tc>
      </w:tr>
      <w:tr>
        <w:trPr>
          <w:trHeight w:val="196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5"/>
              <w:jc w:val="both"/>
              <w:rPr>
                <w:rFonts w:ascii="宋体" w:hAnsi="宋体" w:cs="宋体" w:eastAsia="宋体" w:hint="default"/>
                <w:sz w:val="18"/>
                <w:szCs w:val="18"/>
              </w:rPr>
            </w:pPr>
            <w:r>
              <w:rPr>
                <w:rFonts w:ascii="宋体" w:hAnsi="宋体" w:cs="宋体" w:eastAsia="宋体" w:hint="default"/>
                <w:sz w:val="18"/>
                <w:szCs w:val="18"/>
              </w:rPr>
              <w:t>北京北 邮中望 信息科 技有限 责任公 司</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256,068.10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83.24%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出售</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35"/>
              <w:jc w:val="both"/>
              <w:rPr>
                <w:rFonts w:ascii="宋体" w:hAnsi="宋体" w:cs="宋体" w:eastAsia="宋体" w:hint="default"/>
                <w:sz w:val="18"/>
                <w:szCs w:val="18"/>
              </w:rPr>
            </w:pPr>
            <w:r>
              <w:rPr>
                <w:rFonts w:ascii="宋体" w:hAnsi="宋体" w:cs="宋体" w:eastAsia="宋体" w:hint="default"/>
                <w:sz w:val="18"/>
                <w:szCs w:val="18"/>
              </w:rPr>
              <w:t>控制权 已经转 移</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3,204,866.35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0.00%</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64" w:right="0"/>
              <w:jc w:val="left"/>
              <w:rPr>
                <w:rFonts w:ascii="Times New Roman" w:hAnsi="Times New Roman" w:cs="Times New Roman" w:eastAsia="Times New Roman" w:hint="default"/>
                <w:sz w:val="18"/>
                <w:szCs w:val="18"/>
              </w:rPr>
            </w:pPr>
            <w:r>
              <w:rPr>
                <w:rFonts w:ascii="Times New Roman"/>
                <w:sz w:val="18"/>
              </w:rPr>
              <w:t>0.00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63" w:right="0"/>
              <w:jc w:val="left"/>
              <w:rPr>
                <w:rFonts w:ascii="Times New Roman" w:hAnsi="Times New Roman" w:cs="Times New Roman" w:eastAsia="Times New Roman" w:hint="default"/>
                <w:sz w:val="18"/>
                <w:szCs w:val="18"/>
              </w:rPr>
            </w:pPr>
            <w:r>
              <w:rPr>
                <w:rFonts w:ascii="Times New Roman"/>
                <w:sz w:val="18"/>
              </w:rPr>
              <w:t>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62" w:right="0"/>
              <w:jc w:val="lef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37"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1"/>
        <w:ind w:left="154" w:right="0"/>
        <w:jc w:val="left"/>
      </w:pPr>
      <w:r>
        <w:rPr/>
        <w:t>其他说明：</w:t>
      </w:r>
    </w:p>
    <w:p>
      <w:pPr>
        <w:pStyle w:val="BodyText"/>
        <w:spacing w:line="300" w:lineRule="auto" w:before="116"/>
        <w:ind w:right="1123"/>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26</w:t>
      </w:r>
      <w:r>
        <w:rPr/>
        <w:t>日，公司第五届董事会第十三次（临时）会议审议通过了《关于出售控股子公司股权的议案》。公司持有</w:t>
      </w:r>
      <w:r>
        <w:rPr>
          <w:spacing w:val="-83"/>
        </w:rPr>
        <w:t> </w:t>
      </w:r>
      <w:r>
        <w:rPr>
          <w:spacing w:val="-83"/>
        </w:rPr>
      </w:r>
      <w:r>
        <w:rPr>
          <w:spacing w:val="-1"/>
        </w:rPr>
        <w:t>北京北邮中望信息科技有限责任公司</w:t>
      </w:r>
      <w:r>
        <w:rPr>
          <w:rFonts w:ascii="Times New Roman" w:hAnsi="Times New Roman" w:cs="Times New Roman" w:eastAsia="Times New Roman" w:hint="default"/>
          <w:spacing w:val="-1"/>
        </w:rPr>
        <w:t>83.24%</w:t>
      </w:r>
      <w:r>
        <w:rPr>
          <w:spacing w:val="-1"/>
        </w:rPr>
        <w:t>股权，出资额为</w:t>
      </w:r>
      <w:r>
        <w:rPr>
          <w:rFonts w:ascii="Times New Roman" w:hAnsi="Times New Roman" w:cs="Times New Roman" w:eastAsia="Times New Roman" w:hint="default"/>
          <w:spacing w:val="-1"/>
        </w:rPr>
        <w:t>7,502,500.00</w:t>
      </w:r>
      <w:r>
        <w:rPr>
          <w:spacing w:val="-1"/>
        </w:rPr>
        <w:t>元，以评估作价</w:t>
      </w:r>
      <w:r>
        <w:rPr>
          <w:rFonts w:ascii="Times New Roman" w:hAnsi="Times New Roman" w:cs="Times New Roman" w:eastAsia="Times New Roman" w:hint="default"/>
          <w:spacing w:val="-1"/>
        </w:rPr>
        <w:t>256,068.10</w:t>
      </w:r>
      <w:r>
        <w:rPr>
          <w:spacing w:val="-1"/>
        </w:rPr>
        <w:t>元（含税）转让给自然人</w:t>
      </w:r>
      <w:r>
        <w:rPr>
          <w:spacing w:val="-82"/>
        </w:rPr>
        <w:t> </w:t>
      </w:r>
      <w:r>
        <w:rPr>
          <w:spacing w:val="-82"/>
        </w:rPr>
      </w:r>
      <w:r>
        <w:rPr/>
        <w:t>李瀚林，处置投资收益为</w:t>
      </w:r>
      <w:r>
        <w:rPr>
          <w:rFonts w:ascii="Times New Roman" w:hAnsi="Times New Roman" w:cs="Times New Roman" w:eastAsia="Times New Roman" w:hint="default"/>
        </w:rPr>
        <w:t>3,204,866.35</w:t>
      </w:r>
      <w:r>
        <w:rPr/>
        <w:t>元。 </w:t>
      </w:r>
      <w:r>
        <w:rPr>
          <w:rFonts w:ascii="Times New Roman" w:hAnsi="Times New Roman" w:cs="Times New Roman" w:eastAsia="Times New Roman" w:hint="default"/>
          <w:spacing w:val="-2"/>
        </w:rPr>
        <w:t>2</w:t>
      </w:r>
      <w:r>
        <w:rPr>
          <w:spacing w:val="-2"/>
        </w:rPr>
        <w:t>、截至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14</w:t>
      </w:r>
      <w:r>
        <w:rPr>
          <w:spacing w:val="-2"/>
        </w:rPr>
        <w:t>日，公司已收到股权转让款，并且相关工商、税务等部门的变更登记手续已办理完成，公司向北邮中望</w:t>
      </w:r>
      <w:r>
        <w:rPr>
          <w:spacing w:val="-58"/>
        </w:rPr>
        <w:t> </w:t>
      </w:r>
      <w:r>
        <w:rPr>
          <w:spacing w:val="-58"/>
        </w:rPr>
      </w:r>
      <w:r>
        <w:rPr/>
        <w:t>委派的执行董事已辞任，股权转让已实施完毕，北邮中望不再是公司的控股子公司，公司后续对其无担保和资金拆借。</w:t>
      </w:r>
    </w:p>
    <w:p>
      <w:pPr>
        <w:spacing w:line="240" w:lineRule="auto" w:before="0"/>
        <w:rPr>
          <w:rFonts w:ascii="宋体" w:hAnsi="宋体" w:cs="宋体" w:eastAsia="宋体" w:hint="default"/>
          <w:sz w:val="18"/>
          <w:szCs w:val="18"/>
        </w:rPr>
      </w:pPr>
    </w:p>
    <w:p>
      <w:pPr>
        <w:pStyle w:val="BodyText"/>
        <w:spacing w:line="240" w:lineRule="auto" w:before="148"/>
        <w:ind w:right="0"/>
        <w:jc w:val="left"/>
      </w:pPr>
      <w:r>
        <w:rPr/>
        <w:t>是否存在通过多次交易分步处置对子公司投资且在本期丧失控制权的情形</w:t>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九、在其他主体中的权益" w:id="300"/>
      <w:bookmarkEnd w:id="300"/>
      <w:r>
        <w:rPr>
          <w:b w:val="0"/>
          <w:bCs w:val="0"/>
        </w:rPr>
      </w:r>
      <w:r>
        <w:rPr/>
        <w:t>九、在其他主体中的权益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在子公司中的权益截至" w:id="301"/>
      <w:bookmarkEnd w:id="301"/>
      <w:r>
        <w:rPr>
          <w:b w:val="0"/>
          <w:bCs w:val="0"/>
        </w:rPr>
      </w:r>
      <w:r>
        <w:rPr>
          <w:rFonts w:ascii="Times New Roman" w:hAnsi="Times New Roman" w:cs="Times New Roman" w:eastAsia="Times New Roman" w:hint="default"/>
        </w:rPr>
        <w:t>1</w:t>
      </w:r>
      <w:r>
        <w:rPr/>
        <w:t>、在子公司中的权益截至</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企业集团的构成" w:id="302"/>
      <w:bookmarkEnd w:id="302"/>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西安久其软件有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民营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上海久其软件有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民营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成都久其软件有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民营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广东久其软件有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民营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66.70%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北京久其政务软 件股份有限公司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民营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新疆久其科技有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乌鲁木齐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乌鲁木齐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民营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重庆久其软件有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民营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海南久其云计算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澄迈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澄迈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民营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北京久其智通数 据科技有限公司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民营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北京亿起联科技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民营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北京久其龙信数 据科技有限公司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民营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北京久其互联网 金融信息服务有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民营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北京华夏电通科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民营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北京蜂语网络科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民营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重要的非全资子公司" w:id="303"/>
      <w:bookmarkEnd w:id="303"/>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
              <w:jc w:val="center"/>
              <w:rPr>
                <w:rFonts w:ascii="宋体" w:hAnsi="宋体" w:cs="宋体" w:eastAsia="宋体" w:hint="default"/>
                <w:sz w:val="18"/>
                <w:szCs w:val="18"/>
              </w:rPr>
            </w:pPr>
            <w:r>
              <w:rPr>
                <w:rFonts w:ascii="宋体" w:hAnsi="宋体" w:cs="宋体" w:eastAsia="宋体" w:hint="default"/>
                <w:sz w:val="18"/>
                <w:szCs w:val="18"/>
              </w:rPr>
              <w:t>广东久其软件有限公司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-26,255.66</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1,559,697.82</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北京久其政务软件股份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45,089.62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448,784.39</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北京久其智通数据科技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-2,125,083.77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4,579,903.54</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北京久其龙信数据科技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17,506.25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1,917,506.25</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北京久其互联网金融信 息服务有限公司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-1,838,245.55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1,161,754.45</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北京蜂语网络科技有限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-144,569.75</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1,815,430.25</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重要非全资子公司的主要财务信息" w:id="304"/>
      <w:bookmarkEnd w:id="304"/>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广东久 其软件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4,846,15</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4.21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333,793.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5,179,94</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7.60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496,170.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35</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496,170.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4,664,31</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9.47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260,984.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4,925,30</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4.20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162,681.</w:t>
            </w:r>
          </w:p>
          <w:p>
            <w:pPr>
              <w:pStyle w:val="TableParagraph"/>
              <w:spacing w:line="240" w:lineRule="auto" w:before="106"/>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162,681.</w:t>
            </w:r>
          </w:p>
          <w:p>
            <w:pPr>
              <w:pStyle w:val="TableParagraph"/>
              <w:spacing w:line="240" w:lineRule="auto" w:before="106"/>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北京久 其政务 软件股 份有限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78,296,0</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31.59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21,191,9</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90.39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99,488,0</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21.98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9,731,14</w:t>
            </w:r>
          </w:p>
          <w:p>
            <w:pPr>
              <w:pStyle w:val="TableParagraph"/>
              <w:spacing w:line="240" w:lineRule="auto" w:before="106"/>
              <w:ind w:left="390" w:right="0"/>
              <w:jc w:val="left"/>
              <w:rPr>
                <w:rFonts w:ascii="Times New Roman" w:hAnsi="Times New Roman" w:cs="Times New Roman" w:eastAsia="Times New Roman" w:hint="default"/>
                <w:sz w:val="18"/>
                <w:szCs w:val="18"/>
              </w:rPr>
            </w:pPr>
            <w:r>
              <w:rPr>
                <w:rFonts w:ascii="Times New Roman"/>
                <w:sz w:val="18"/>
              </w:rPr>
              <w:t>3.90</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9,731,14</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3.90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65,539,6</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89.77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21,881,0</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38.32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87,420,7</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28.09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24,681,7</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74.57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24,681,7</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74.57</w:t>
            </w:r>
          </w:p>
        </w:tc>
      </w:tr>
      <w:tr>
        <w:trPr>
          <w:trHeight w:val="1962"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北京北 邮中望 信息科 技有限 责任公 司</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68,145.3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1,349.78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69,495.0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3,612,02</w:t>
            </w:r>
          </w:p>
          <w:p>
            <w:pPr>
              <w:pStyle w:val="TableParagraph"/>
              <w:spacing w:line="240" w:lineRule="auto" w:before="106"/>
              <w:ind w:left="390" w:right="0"/>
              <w:jc w:val="left"/>
              <w:rPr>
                <w:rFonts w:ascii="Times New Roman" w:hAnsi="Times New Roman" w:cs="Times New Roman" w:eastAsia="Times New Roman" w:hint="default"/>
                <w:sz w:val="18"/>
                <w:szCs w:val="18"/>
              </w:rPr>
            </w:pPr>
            <w:r>
              <w:rPr>
                <w:rFonts w:ascii="Times New Roman"/>
                <w:sz w:val="18"/>
              </w:rPr>
              <w:t>0.61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3,612,02</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0.61</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北京久 其智通 数据科 技有限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5,756,21</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6.45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4,380,77</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8.45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10,136,9</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94.90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790,252.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98</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790,252.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8,908,05</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4.35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4,803,53</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6.27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13,711,5</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90.62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27,943.0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27,943.0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北京久 其龙信 数据科 技有限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3,489,35</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0.30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32,790.5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3,522,14</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0.81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486,413.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76</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486,413.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76</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北京久 其互联 网金融 信息服 务有限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3,581,38</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2.39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987,715.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4,569,09</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7.46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696,582.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64</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696,582.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64</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北京蜂 语网络 科技有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3,873,46</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6.01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7,500.00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3,880,96</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6.01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176,006.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31</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176,006.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31</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019"/>
        <w:gridCol w:w="1112"/>
        <w:gridCol w:w="1062"/>
        <w:gridCol w:w="1061"/>
        <w:gridCol w:w="1062"/>
        <w:gridCol w:w="1093"/>
        <w:gridCol w:w="1092"/>
        <w:gridCol w:w="1093"/>
        <w:gridCol w:w="1099"/>
      </w:tblGrid>
      <w:tr>
        <w:trPr>
          <w:trHeight w:val="402" w:hRule="exact"/>
        </w:trPr>
        <w:tc>
          <w:tcPr>
            <w:tcW w:w="10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9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37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7" w:hRule="exact"/>
        </w:trPr>
        <w:tc>
          <w:tcPr>
            <w:tcW w:w="1019" w:type="dxa"/>
            <w:vMerge/>
            <w:tcBorders>
              <w:left w:val="single" w:sz="4" w:space="0" w:color="000000"/>
              <w:bottom w:val="single" w:sz="4" w:space="0" w:color="000000"/>
              <w:right w:val="single" w:sz="4" w:space="0" w:color="000000"/>
            </w:tcBorders>
            <w:shd w:val="clear" w:color="auto" w:fill="D2D2D2"/>
          </w:tcPr>
          <w:p>
            <w:pPr/>
          </w:p>
        </w:tc>
        <w:tc>
          <w:tcPr>
            <w:tcW w:w="1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75" w:right="0"/>
              <w:jc w:val="left"/>
              <w:rPr>
                <w:rFonts w:ascii="宋体" w:hAnsi="宋体" w:cs="宋体" w:eastAsia="宋体" w:hint="default"/>
                <w:sz w:val="18"/>
                <w:szCs w:val="18"/>
              </w:rPr>
            </w:pPr>
            <w:r>
              <w:rPr>
                <w:rFonts w:ascii="宋体" w:hAnsi="宋体" w:cs="宋体" w:eastAsia="宋体" w:hint="default"/>
                <w:sz w:val="18"/>
                <w:szCs w:val="18"/>
              </w:rPr>
              <w:t>综合收益总</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75" w:right="0"/>
              <w:jc w:val="left"/>
              <w:rPr>
                <w:rFonts w:ascii="宋体" w:hAnsi="宋体" w:cs="宋体" w:eastAsia="宋体" w:hint="default"/>
                <w:sz w:val="18"/>
                <w:szCs w:val="18"/>
              </w:rPr>
            </w:pPr>
            <w:r>
              <w:rPr>
                <w:rFonts w:ascii="宋体" w:hAnsi="宋体" w:cs="宋体" w:eastAsia="宋体" w:hint="default"/>
                <w:sz w:val="18"/>
                <w:szCs w:val="18"/>
              </w:rPr>
              <w:t>经营活动现</w:t>
            </w:r>
          </w:p>
        </w:tc>
        <w:tc>
          <w:tcPr>
            <w:tcW w:w="1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92" w:right="0"/>
              <w:jc w:val="left"/>
              <w:rPr>
                <w:rFonts w:ascii="宋体" w:hAnsi="宋体" w:cs="宋体" w:eastAsia="宋体" w:hint="default"/>
                <w:sz w:val="18"/>
                <w:szCs w:val="18"/>
              </w:rPr>
            </w:pPr>
            <w:r>
              <w:rPr>
                <w:rFonts w:ascii="宋体" w:hAnsi="宋体" w:cs="宋体" w:eastAsia="宋体" w:hint="default"/>
                <w:sz w:val="18"/>
                <w:szCs w:val="18"/>
              </w:rPr>
              <w:t>综合收益总</w:t>
            </w:r>
          </w:p>
        </w:tc>
        <w:tc>
          <w:tcPr>
            <w:tcW w:w="1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93" w:right="0"/>
              <w:jc w:val="left"/>
              <w:rPr>
                <w:rFonts w:ascii="宋体" w:hAnsi="宋体" w:cs="宋体" w:eastAsia="宋体" w:hint="default"/>
                <w:sz w:val="18"/>
                <w:szCs w:val="18"/>
              </w:rPr>
            </w:pPr>
            <w:r>
              <w:rPr>
                <w:rFonts w:ascii="宋体" w:hAnsi="宋体" w:cs="宋体" w:eastAsia="宋体" w:hint="default"/>
                <w:sz w:val="18"/>
                <w:szCs w:val="18"/>
              </w:rPr>
              <w:t>经营活动现</w:t>
            </w:r>
          </w:p>
        </w:tc>
      </w:tr>
    </w:tbl>
    <w:p>
      <w:pPr>
        <w:spacing w:after="0" w:line="240" w:lineRule="auto"/>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21" w:type="dxa"/>
        <w:tblLayout w:type="fixed"/>
        <w:tblCellMar>
          <w:top w:w="0" w:type="dxa"/>
          <w:left w:w="0" w:type="dxa"/>
          <w:bottom w:w="0" w:type="dxa"/>
          <w:right w:w="0" w:type="dxa"/>
        </w:tblCellMar>
        <w:tblLook w:val="01E0"/>
      </w:tblPr>
      <w:tblGrid>
        <w:gridCol w:w="1019"/>
        <w:gridCol w:w="1112"/>
        <w:gridCol w:w="1062"/>
        <w:gridCol w:w="1061"/>
        <w:gridCol w:w="1062"/>
        <w:gridCol w:w="1093"/>
        <w:gridCol w:w="1092"/>
        <w:gridCol w:w="1093"/>
        <w:gridCol w:w="1099"/>
      </w:tblGrid>
      <w:tr>
        <w:trPr>
          <w:trHeight w:val="362" w:hRule="exact"/>
        </w:trPr>
        <w:tc>
          <w:tcPr>
            <w:tcW w:w="101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金流量</w:t>
            </w:r>
          </w:p>
        </w:tc>
        <w:tc>
          <w:tcPr>
            <w:tcW w:w="10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1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73" w:right="0"/>
              <w:jc w:val="left"/>
              <w:rPr>
                <w:rFonts w:ascii="宋体" w:hAnsi="宋体" w:cs="宋体" w:eastAsia="宋体" w:hint="default"/>
                <w:sz w:val="18"/>
                <w:szCs w:val="18"/>
              </w:rPr>
            </w:pPr>
            <w:r>
              <w:rPr>
                <w:rFonts w:ascii="宋体" w:hAnsi="宋体" w:cs="宋体" w:eastAsia="宋体" w:hint="default"/>
                <w:sz w:val="18"/>
                <w:szCs w:val="18"/>
              </w:rPr>
              <w:t>金流量</w:t>
            </w:r>
          </w:p>
        </w:tc>
      </w:tr>
      <w:tr>
        <w:trPr>
          <w:trHeight w:val="714" w:hRule="exact"/>
        </w:trPr>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广东久其软 件有限公司</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3,982,365.84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-78,845.84</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-78,845.84</w:t>
            </w:r>
            <w:r>
              <w:rPr>
                <w:rFonts w:ascii="Times New Roman"/>
                <w:sz w:val="18"/>
              </w:rPr>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5" w:right="0"/>
              <w:jc w:val="center"/>
              <w:rPr>
                <w:rFonts w:ascii="Times New Roman" w:hAnsi="Times New Roman" w:cs="Times New Roman" w:eastAsia="Times New Roman" w:hint="default"/>
                <w:sz w:val="18"/>
                <w:szCs w:val="18"/>
              </w:rPr>
            </w:pPr>
            <w:r>
              <w:rPr>
                <w:rFonts w:ascii="Times New Roman"/>
                <w:sz w:val="18"/>
              </w:rPr>
              <w:t>-138,573.36</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3,545,155.09</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29,049.25</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29,049.25</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-142,940.92</w:t>
            </w:r>
            <w:r>
              <w:rPr>
                <w:rFonts w:ascii="Times New Roman"/>
                <w:sz w:val="18"/>
              </w:rPr>
            </w:r>
          </w:p>
        </w:tc>
      </w:tr>
      <w:tr>
        <w:trPr>
          <w:trHeight w:val="1026" w:hRule="exact"/>
        </w:trPr>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4"/>
              <w:jc w:val="both"/>
              <w:rPr>
                <w:rFonts w:ascii="宋体" w:hAnsi="宋体" w:cs="宋体" w:eastAsia="宋体" w:hint="default"/>
                <w:sz w:val="18"/>
                <w:szCs w:val="18"/>
              </w:rPr>
            </w:pPr>
            <w:r>
              <w:rPr>
                <w:rFonts w:ascii="宋体" w:hAnsi="宋体" w:cs="宋体" w:eastAsia="宋体" w:hint="default"/>
                <w:sz w:val="18"/>
                <w:szCs w:val="18"/>
              </w:rPr>
              <w:t>北京久其政 务软件股份 有限公司</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41,715,711.80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9,017,924.56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9,017,924.56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-2,211,221.98</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50,860,771.48</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13,965,069.30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13,965,069.30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30,196,635.20</w:t>
            </w:r>
          </w:p>
        </w:tc>
      </w:tr>
      <w:tr>
        <w:trPr>
          <w:trHeight w:val="1338" w:hRule="exact"/>
        </w:trPr>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4"/>
              <w:jc w:val="both"/>
              <w:rPr>
                <w:rFonts w:ascii="宋体" w:hAnsi="宋体" w:cs="宋体" w:eastAsia="宋体" w:hint="default"/>
                <w:sz w:val="18"/>
                <w:szCs w:val="18"/>
              </w:rPr>
            </w:pPr>
            <w:r>
              <w:rPr>
                <w:rFonts w:ascii="宋体" w:hAnsi="宋体" w:cs="宋体" w:eastAsia="宋体" w:hint="default"/>
                <w:sz w:val="18"/>
                <w:szCs w:val="18"/>
              </w:rPr>
              <w:t>北京北邮中 望信息科技 有限责任公 司</w:t>
            </w:r>
          </w:p>
        </w:tc>
        <w:tc>
          <w:tcPr>
            <w:tcW w:w="111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1,259,497.10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758,407.83</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758,407.83</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-14,916.80</w:t>
            </w:r>
            <w:r>
              <w:rPr>
                <w:rFonts w:ascii="Times New Roman"/>
                <w:sz w:val="18"/>
              </w:rPr>
            </w:r>
          </w:p>
        </w:tc>
      </w:tr>
      <w:tr>
        <w:trPr>
          <w:trHeight w:val="1026" w:hRule="exact"/>
        </w:trPr>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4"/>
              <w:jc w:val="both"/>
              <w:rPr>
                <w:rFonts w:ascii="宋体" w:hAnsi="宋体" w:cs="宋体" w:eastAsia="宋体" w:hint="default"/>
                <w:sz w:val="18"/>
                <w:szCs w:val="18"/>
              </w:rPr>
            </w:pPr>
            <w:r>
              <w:rPr>
                <w:rFonts w:ascii="宋体" w:hAnsi="宋体" w:cs="宋体" w:eastAsia="宋体" w:hint="default"/>
                <w:sz w:val="18"/>
                <w:szCs w:val="18"/>
              </w:rPr>
              <w:t>北京久其智 通数据科技 有限公司</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1,203,002.26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-4,336,905.65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-4,336,905.65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-3,824,592.90</w:t>
            </w:r>
          </w:p>
        </w:tc>
        <w:tc>
          <w:tcPr>
            <w:tcW w:w="109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-1,216,352.43</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-1,216,352.43</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-1,074,912.65</w:t>
            </w:r>
          </w:p>
        </w:tc>
      </w:tr>
      <w:tr>
        <w:trPr>
          <w:trHeight w:val="1026" w:hRule="exact"/>
        </w:trPr>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4"/>
              <w:jc w:val="both"/>
              <w:rPr>
                <w:rFonts w:ascii="宋体" w:hAnsi="宋体" w:cs="宋体" w:eastAsia="宋体" w:hint="default"/>
                <w:sz w:val="18"/>
                <w:szCs w:val="18"/>
              </w:rPr>
            </w:pPr>
            <w:r>
              <w:rPr>
                <w:rFonts w:ascii="宋体" w:hAnsi="宋体" w:cs="宋体" w:eastAsia="宋体" w:hint="default"/>
                <w:sz w:val="18"/>
                <w:szCs w:val="18"/>
              </w:rPr>
              <w:t>北京久其龙 信数据科技 有限公司</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5,059,475.73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35,727.05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35,727.05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-1,046,219.10</w:t>
            </w:r>
          </w:p>
        </w:tc>
        <w:tc>
          <w:tcPr>
            <w:tcW w:w="109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4"/>
              <w:jc w:val="both"/>
              <w:rPr>
                <w:rFonts w:ascii="宋体" w:hAnsi="宋体" w:cs="宋体" w:eastAsia="宋体" w:hint="default"/>
                <w:sz w:val="18"/>
                <w:szCs w:val="18"/>
              </w:rPr>
            </w:pPr>
            <w:r>
              <w:rPr>
                <w:rFonts w:ascii="宋体" w:hAnsi="宋体" w:cs="宋体" w:eastAsia="宋体" w:hint="default"/>
                <w:sz w:val="18"/>
                <w:szCs w:val="18"/>
              </w:rPr>
              <w:t>北京久其互 联网金融信 息服务有限 公司</w:t>
            </w:r>
          </w:p>
        </w:tc>
        <w:tc>
          <w:tcPr>
            <w:tcW w:w="111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-6,127,485.18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-6,127,485.18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-5,993,286.81</w:t>
            </w:r>
          </w:p>
        </w:tc>
        <w:tc>
          <w:tcPr>
            <w:tcW w:w="109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4"/>
              <w:jc w:val="both"/>
              <w:rPr>
                <w:rFonts w:ascii="宋体" w:hAnsi="宋体" w:cs="宋体" w:eastAsia="宋体" w:hint="default"/>
                <w:sz w:val="18"/>
                <w:szCs w:val="18"/>
              </w:rPr>
            </w:pPr>
            <w:r>
              <w:rPr>
                <w:rFonts w:ascii="宋体" w:hAnsi="宋体" w:cs="宋体" w:eastAsia="宋体" w:hint="default"/>
                <w:sz w:val="18"/>
                <w:szCs w:val="18"/>
              </w:rPr>
              <w:t>北京蜂语网 络科技有限 公司</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123,786.40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-295,040.30</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-295,040.30</w:t>
            </w:r>
            <w:r>
              <w:rPr>
                <w:rFonts w:ascii="Times New Roman"/>
                <w:sz w:val="18"/>
              </w:rPr>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2" w:right="0"/>
              <w:jc w:val="center"/>
              <w:rPr>
                <w:rFonts w:ascii="Times New Roman" w:hAnsi="Times New Roman" w:cs="Times New Roman" w:eastAsia="Times New Roman" w:hint="default"/>
                <w:sz w:val="18"/>
                <w:szCs w:val="18"/>
              </w:rPr>
            </w:pPr>
            <w:r>
              <w:rPr>
                <w:rFonts w:ascii="Times New Roman"/>
                <w:sz w:val="18"/>
              </w:rPr>
              <w:t>-119,033.99</w:t>
            </w:r>
          </w:p>
        </w:tc>
        <w:tc>
          <w:tcPr>
            <w:tcW w:w="109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在合营安排或联营企业中的权益" w:id="305"/>
      <w:bookmarkEnd w:id="305"/>
      <w:r>
        <w:rPr>
          <w:b w:val="0"/>
          <w:bCs w:val="0"/>
        </w:rPr>
      </w:r>
      <w:r>
        <w:rPr>
          <w:rFonts w:ascii="Times New Roman" w:hAnsi="Times New Roman" w:cs="Times New Roman" w:eastAsia="Times New Roman" w:hint="default"/>
        </w:rPr>
        <w:t>2</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重要的合营企业或联营企业" w:id="306"/>
      <w:bookmarkEnd w:id="306"/>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广东同望科技股 份有限公司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民营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19.99%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重要联营企业的主要财务信息" w:id="307"/>
      <w:bookmarkEnd w:id="307"/>
      <w:r>
        <w:rPr>
          <w:b w:val="0"/>
          <w:bCs w:val="0"/>
        </w:rPr>
      </w:r>
      <w:r>
        <w:rPr/>
        <w:t>（</w:t>
      </w:r>
      <w:r>
        <w:rPr>
          <w:rFonts w:ascii="Times New Roman" w:hAnsi="Times New Roman" w:cs="Times New Roman" w:eastAsia="Times New Roman" w:hint="default"/>
        </w:rPr>
        <w:t>2</w:t>
      </w:r>
      <w:r>
        <w:rPr/>
        <w:t>）重要联营企业的主要财务信息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6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511" w:right="0"/>
              <w:jc w:val="left"/>
              <w:rPr>
                <w:rFonts w:ascii="宋体" w:hAnsi="宋体" w:cs="宋体" w:eastAsia="宋体" w:hint="default"/>
                <w:sz w:val="18"/>
                <w:szCs w:val="18"/>
              </w:rPr>
            </w:pPr>
            <w:r>
              <w:rPr>
                <w:rFonts w:ascii="宋体" w:hAnsi="宋体" w:cs="宋体" w:eastAsia="宋体" w:hint="default"/>
                <w:sz w:val="18"/>
                <w:szCs w:val="18"/>
              </w:rPr>
              <w:t>广东同望科技股份有限公司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10" w:right="0"/>
              <w:jc w:val="left"/>
              <w:rPr>
                <w:rFonts w:ascii="宋体" w:hAnsi="宋体" w:cs="宋体" w:eastAsia="宋体" w:hint="default"/>
                <w:sz w:val="18"/>
                <w:szCs w:val="18"/>
              </w:rPr>
            </w:pPr>
            <w:r>
              <w:rPr>
                <w:rFonts w:ascii="宋体" w:hAnsi="宋体" w:cs="宋体" w:eastAsia="宋体" w:hint="default"/>
                <w:sz w:val="18"/>
                <w:szCs w:val="18"/>
              </w:rPr>
              <w:t>广东同望科技股份有限公司</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82,922,719.09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69,154,910.35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84,923,539.31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79,434,687.70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167,846,258.40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148,589,598.05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41,974,727.67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34,566,068.98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266,666.67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42,624,727.67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34,832,735.65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125,221,530.73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113,756,862.40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25,031,783.99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23,149,521.50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30,269,014.29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30,059,389.58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30,269,014.29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6"/>
                <w:szCs w:val="16"/>
              </w:rPr>
            </w:pPr>
            <w:r>
              <w:rPr>
                <w:rFonts w:ascii="Times New Roman"/>
                <w:spacing w:val="-1"/>
                <w:sz w:val="16"/>
              </w:rPr>
              <w:t>30,059,389.58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55,300,798.28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53,208,911.08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80,851,808.64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80,220,054.09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7,864,668.33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6,190,393.63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7,864,668.33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6,190,393.63</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十、与金融工具相关的风险" w:id="308"/>
      <w:bookmarkEnd w:id="308"/>
      <w:r>
        <w:rPr>
          <w:b w:val="0"/>
          <w:bCs w:val="0"/>
        </w:rPr>
      </w: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4" w:lineRule="auto"/>
        <w:ind w:right="1118"/>
        <w:jc w:val="left"/>
      </w:pPr>
      <w:r>
        <w:rPr>
          <w:spacing w:val="-2"/>
        </w:rPr>
        <w:t>本公司在经营过程中面临各种金融风险：信用风险、市场风险和流动性风险。公司董事会全面负责风险管理目标和政策的确</w:t>
      </w:r>
      <w:r>
        <w:rPr>
          <w:spacing w:val="-66"/>
        </w:rPr>
        <w:t> </w:t>
      </w:r>
      <w:r>
        <w:rPr>
          <w:spacing w:val="-66"/>
        </w:rPr>
      </w:r>
      <w:r>
        <w:rPr>
          <w:spacing w:val="-2"/>
        </w:rPr>
        <w:t>定，并对风险管理目标和政策承担最终责任。本公司的内部审计师也会审计风险管理的政策和程序，并且将有关发现汇报给</w:t>
      </w:r>
      <w:r>
        <w:rPr>
          <w:spacing w:val="-66"/>
        </w:rPr>
        <w:t> </w:t>
      </w:r>
      <w:r>
        <w:rPr>
          <w:spacing w:val="-66"/>
        </w:rPr>
      </w:r>
      <w:r>
        <w:rPr/>
        <w:t>审计委员会。 本公司风险管理的总体目标是在不过度影响公司竞争力和应变力的情况下，制定尽可能降低风险的风险管理政策。 </w:t>
      </w:r>
      <w:r>
        <w:rPr>
          <w:rFonts w:ascii="Times New Roman" w:hAnsi="Times New Roman" w:cs="Times New Roman" w:eastAsia="Times New Roman" w:hint="default"/>
          <w:b/>
          <w:bCs/>
        </w:rPr>
        <w:t>(</w:t>
      </w:r>
      <w:r>
        <w:rPr/>
        <w:t>一</w:t>
      </w:r>
      <w:r>
        <w:rPr>
          <w:rFonts w:ascii="Times New Roman" w:hAnsi="Times New Roman" w:cs="Times New Roman" w:eastAsia="Times New Roman" w:hint="default"/>
          <w:b/>
          <w:bCs/>
        </w:rPr>
        <w:t>)</w:t>
      </w:r>
      <w:r>
        <w:rPr/>
        <w:t>信用风险 </w:t>
      </w:r>
      <w:r>
        <w:rPr>
          <w:spacing w:val="-2"/>
        </w:rPr>
        <w:t>信用风险是指金融工具的一方不履行义务，造成另一方发生财务损失的风险。本公司主要面临赊销导致的客户信用风险。在</w:t>
      </w:r>
      <w:r>
        <w:rPr>
          <w:spacing w:val="-66"/>
        </w:rPr>
        <w:t> </w:t>
      </w:r>
      <w:r>
        <w:rPr>
          <w:spacing w:val="-66"/>
        </w:rPr>
      </w:r>
      <w:r>
        <w:rPr>
          <w:spacing w:val="-2"/>
        </w:rPr>
        <w:t>签订新合同之前，本公司会对新客户的信用风险进行评估，包括外部信用评级和在某些情况下的银行资信证明（当此信息可</w:t>
      </w:r>
      <w:r>
        <w:rPr>
          <w:spacing w:val="-65"/>
        </w:rPr>
        <w:t> </w:t>
      </w:r>
      <w:r>
        <w:rPr>
          <w:spacing w:val="-65"/>
        </w:rPr>
      </w:r>
      <w:r>
        <w:rPr>
          <w:spacing w:val="-2"/>
        </w:rPr>
        <w:t>获取时）。公司对每一客户均设置了赊销限额，该限额为无需获得额外批准的最大额度。公司的主要客户为境处客户，为主</w:t>
      </w:r>
      <w:r>
        <w:rPr>
          <w:spacing w:val="-66"/>
        </w:rPr>
        <w:t> </w:t>
      </w:r>
      <w:r>
        <w:rPr>
          <w:spacing w:val="-66"/>
        </w:rPr>
      </w:r>
      <w:r>
        <w:rPr/>
        <w:t>要客户的应收款项办理了出口业务信用保险。 </w:t>
      </w:r>
      <w:r>
        <w:rPr>
          <w:spacing w:val="-2"/>
        </w:rPr>
        <w:t>公司通过对已有客户信用评级的季度监控以及应收账款账龄分析的月度审核来确保公司的整体信用风险在可控的范围内。在</w:t>
      </w:r>
      <w:r>
        <w:rPr>
          <w:spacing w:val="-64"/>
        </w:rPr>
        <w:t> </w:t>
      </w:r>
      <w:r>
        <w:rPr>
          <w:spacing w:val="-64"/>
        </w:rPr>
      </w:r>
      <w:r>
        <w:rPr>
          <w:spacing w:val="-2"/>
        </w:rPr>
        <w:t>监控客户的信用风险时，按照客户的信用特征对其分组。被评为</w:t>
      </w:r>
      <w:r>
        <w:rPr>
          <w:rFonts w:ascii="Times New Roman" w:hAnsi="Times New Roman" w:cs="Times New Roman" w:eastAsia="Times New Roman" w:hint="default"/>
          <w:spacing w:val="-2"/>
        </w:rPr>
        <w:t>“</w:t>
      </w:r>
      <w:r>
        <w:rPr>
          <w:spacing w:val="-2"/>
        </w:rPr>
        <w:t>高风险</w:t>
      </w:r>
      <w:r>
        <w:rPr>
          <w:rFonts w:ascii="Times New Roman" w:hAnsi="Times New Roman" w:cs="Times New Roman" w:eastAsia="Times New Roman" w:hint="default"/>
          <w:spacing w:val="-2"/>
        </w:rPr>
        <w:t>”</w:t>
      </w:r>
      <w:r>
        <w:rPr>
          <w:spacing w:val="-2"/>
        </w:rPr>
        <w:t>级别的客户会放在受限制客户名单里，并且只有在</w:t>
      </w:r>
      <w:r>
        <w:rPr>
          <w:spacing w:val="-44"/>
        </w:rPr>
        <w:t> </w:t>
      </w:r>
      <w:r>
        <w:rPr>
          <w:spacing w:val="-44"/>
        </w:rPr>
      </w:r>
      <w:r>
        <w:rPr/>
        <w:t>额外批准的前提下，公司才可在未来期间内对其赊销，否则必须要求其提前支付相应款项。</w:t>
      </w:r>
    </w:p>
    <w:p>
      <w:pPr>
        <w:pStyle w:val="BodyText"/>
        <w:spacing w:line="309" w:lineRule="auto" w:before="20"/>
        <w:ind w:right="1118"/>
        <w:jc w:val="left"/>
      </w:pPr>
      <w:r>
        <w:rPr>
          <w:rFonts w:ascii="Times New Roman" w:hAnsi="Times New Roman" w:cs="Times New Roman" w:eastAsia="Times New Roman" w:hint="default"/>
          <w:b/>
          <w:bCs/>
        </w:rPr>
        <w:t>(</w:t>
      </w:r>
      <w:r>
        <w:rPr/>
        <w:t>二</w:t>
      </w:r>
      <w:r>
        <w:rPr>
          <w:rFonts w:ascii="Times New Roman" w:hAnsi="Times New Roman" w:cs="Times New Roman" w:eastAsia="Times New Roman" w:hint="default"/>
          <w:b/>
          <w:bCs/>
        </w:rPr>
        <w:t>)</w:t>
      </w:r>
      <w:r>
        <w:rPr/>
        <w:t>市场风险</w:t>
      </w:r>
      <w:r>
        <w:rPr>
          <w:w w:val="99"/>
        </w:rPr>
        <w:t> </w:t>
      </w:r>
      <w:r>
        <w:rPr>
          <w:spacing w:val="-2"/>
        </w:rPr>
        <w:t>金融工具的市场风险，是指金融工具的公允价值或未来现金流量因市场价格变动而发生波动的风险，包括汇率风险、利率风</w:t>
      </w:r>
      <w:r>
        <w:rPr>
          <w:spacing w:val="-67"/>
        </w:rPr>
        <w:t> </w:t>
      </w:r>
      <w:r>
        <w:rPr>
          <w:spacing w:val="-67"/>
        </w:rPr>
      </w:r>
      <w:r>
        <w:rPr/>
        <w:t>险和其他价格风险。</w:t>
      </w:r>
    </w:p>
    <w:p>
      <w:pPr>
        <w:pStyle w:val="BodyText"/>
        <w:spacing w:line="304" w:lineRule="auto" w:before="24"/>
        <w:ind w:right="1118"/>
        <w:jc w:val="left"/>
      </w:pPr>
      <w:r>
        <w:rPr/>
        <w:t>（</w:t>
      </w:r>
      <w:r>
        <w:rPr>
          <w:rFonts w:ascii="Times New Roman" w:hAnsi="Times New Roman" w:cs="Times New Roman" w:eastAsia="Times New Roman" w:hint="default"/>
        </w:rPr>
        <w:t>1</w:t>
      </w:r>
      <w:r>
        <w:rPr/>
        <w:t>）利率风险 </w:t>
      </w:r>
      <w:r>
        <w:rPr>
          <w:spacing w:val="-2"/>
        </w:rPr>
        <w:t>利率风险，是指金融工具的公允价值或未来现金流量因市场利率变动而发生波动的风险。本公司面临的利率风险主要来源于</w:t>
      </w:r>
      <w:r>
        <w:rPr>
          <w:spacing w:val="-64"/>
        </w:rPr>
        <w:t> </w:t>
      </w:r>
      <w:r>
        <w:rPr>
          <w:spacing w:val="-64"/>
        </w:rPr>
      </w:r>
      <w:r>
        <w:rPr>
          <w:spacing w:val="-2"/>
        </w:rPr>
        <w:t>银行短期借款。截至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日止，本公司以同期同档次国家基准利率或上浮一定百分比的利率计息的银行借款人民币</w:t>
      </w:r>
      <w:r>
        <w:rPr>
          <w:spacing w:val="-56"/>
        </w:rPr>
        <w:t> </w:t>
      </w:r>
      <w:r>
        <w:rPr>
          <w:spacing w:val="-56"/>
        </w:rPr>
      </w:r>
      <w:r>
        <w:rPr>
          <w:rFonts w:ascii="Times New Roman" w:hAnsi="Times New Roman" w:cs="Times New Roman" w:eastAsia="Times New Roman" w:hint="default"/>
        </w:rPr>
        <w:t>78,047,200.00</w:t>
      </w:r>
      <w:r>
        <w:rPr/>
        <w:t>元。在其他变量不变的假设下，利率发生合理、可能的</w:t>
      </w:r>
      <w:r>
        <w:rPr>
          <w:rFonts w:ascii="Times New Roman" w:hAnsi="Times New Roman" w:cs="Times New Roman" w:eastAsia="Times New Roman" w:hint="default"/>
        </w:rPr>
        <w:t>100%</w:t>
      </w:r>
      <w:r>
        <w:rPr/>
        <w:t>基准点的变动时，将不会对本公司的利润总额和</w:t>
      </w:r>
      <w:r>
        <w:rPr>
          <w:spacing w:val="-20"/>
        </w:rPr>
        <w:t> </w:t>
      </w:r>
      <w:r>
        <w:rPr>
          <w:spacing w:val="-20"/>
        </w:rPr>
      </w:r>
      <w:r>
        <w:rPr/>
        <w:t>股东权益产生重大的影响。</w:t>
      </w:r>
    </w:p>
    <w:p>
      <w:pPr>
        <w:pStyle w:val="BodyText"/>
        <w:spacing w:line="304" w:lineRule="auto" w:before="28"/>
        <w:ind w:right="1118"/>
        <w:jc w:val="left"/>
      </w:pPr>
      <w:r>
        <w:rPr/>
        <w:t>（</w:t>
      </w:r>
      <w:r>
        <w:rPr>
          <w:rFonts w:ascii="Times New Roman" w:hAnsi="Times New Roman" w:cs="Times New Roman" w:eastAsia="Times New Roman" w:hint="default"/>
        </w:rPr>
        <w:t>2</w:t>
      </w:r>
      <w:r>
        <w:rPr/>
        <w:t>）汇率风险 </w:t>
      </w:r>
      <w:r>
        <w:rPr>
          <w:spacing w:val="-2"/>
        </w:rPr>
        <w:t>汇率风险，是指金融工具的公允价值或未来现金流量因外汇汇率变动而发生波动的风险。本公司尽可能将外币收入与外币支</w:t>
      </w:r>
      <w:r>
        <w:rPr>
          <w:spacing w:val="-64"/>
        </w:rPr>
        <w:t> </w:t>
      </w:r>
      <w:r>
        <w:rPr>
          <w:spacing w:val="-64"/>
        </w:rPr>
      </w:r>
      <w:r>
        <w:rPr>
          <w:spacing w:val="-2"/>
        </w:rPr>
        <w:t>出相匹配以降低汇率风险。此外，公司还可能签署远期外汇合约或货币互换合约以达到规避汇率风险的目的。于</w:t>
      </w:r>
      <w:r>
        <w:rPr>
          <w:rFonts w:ascii="Times New Roman" w:hAnsi="Times New Roman" w:cs="Times New Roman" w:eastAsia="Times New Roman" w:hint="default"/>
          <w:spacing w:val="-2"/>
        </w:rPr>
        <w:t>2014</w:t>
      </w:r>
      <w:r>
        <w:rPr>
          <w:spacing w:val="-2"/>
        </w:rPr>
        <w:t>年度及</w:t>
      </w:r>
      <w:r>
        <w:rPr>
          <w:spacing w:val="-61"/>
        </w:rPr>
        <w:t> </w:t>
      </w:r>
      <w:r>
        <w:rPr>
          <w:rFonts w:ascii="Times New Roman" w:hAnsi="Times New Roman" w:cs="Times New Roman" w:eastAsia="Times New Roman" w:hint="default"/>
        </w:rPr>
        <w:t>2015</w:t>
      </w:r>
      <w:r>
        <w:rPr/>
        <w:t>年度，本公司未签署任何远期外汇合约或货币互换合约。 </w:t>
      </w:r>
      <w:r>
        <w:rPr>
          <w:spacing w:val="-2"/>
        </w:rPr>
        <w:t>本公司面临的汇率风险主要来源于以美元、欧元、港币计价的金融资产和金融负债，外币金融资产和外币金融负债折算成人</w:t>
      </w:r>
    </w:p>
    <w:p>
      <w:pPr>
        <w:spacing w:after="0" w:line="304" w:lineRule="auto"/>
        <w:jc w:val="left"/>
        <w:sectPr>
          <w:pgSz w:w="11910" w:h="16840"/>
          <w:pgMar w:header="87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民币的金额列示如下：</w:t>
      </w:r>
    </w:p>
    <w:p>
      <w:pPr>
        <w:spacing w:line="240" w:lineRule="auto" w:before="4"/>
        <w:rPr>
          <w:rFonts w:ascii="宋体" w:hAnsi="宋体" w:cs="宋体" w:eastAsia="宋体" w:hint="default"/>
          <w:sz w:val="29"/>
          <w:szCs w:val="29"/>
        </w:rPr>
      </w:pPr>
    </w:p>
    <w:tbl>
      <w:tblPr>
        <w:tblW w:w="0" w:type="auto"/>
        <w:jc w:val="left"/>
        <w:tblInd w:w="139" w:type="dxa"/>
        <w:tblLayout w:type="fixed"/>
        <w:tblCellMar>
          <w:top w:w="0" w:type="dxa"/>
          <w:left w:w="0" w:type="dxa"/>
          <w:bottom w:w="0" w:type="dxa"/>
          <w:right w:w="0" w:type="dxa"/>
        </w:tblCellMar>
        <w:tblLook w:val="01E0"/>
      </w:tblPr>
      <w:tblGrid>
        <w:gridCol w:w="1029"/>
        <w:gridCol w:w="1327"/>
        <w:gridCol w:w="1327"/>
        <w:gridCol w:w="926"/>
        <w:gridCol w:w="1207"/>
        <w:gridCol w:w="916"/>
        <w:gridCol w:w="938"/>
        <w:gridCol w:w="875"/>
        <w:gridCol w:w="1115"/>
      </w:tblGrid>
      <w:tr>
        <w:trPr>
          <w:trHeight w:val="382" w:hRule="exact"/>
        </w:trPr>
        <w:tc>
          <w:tcPr>
            <w:tcW w:w="1029"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327" w:type="dxa"/>
            <w:tcBorders>
              <w:top w:val="single" w:sz="4" w:space="0" w:color="000000"/>
              <w:left w:val="single" w:sz="4" w:space="0" w:color="000000"/>
              <w:bottom w:val="single" w:sz="8" w:space="0" w:color="FFFFFF"/>
              <w:right w:val="single" w:sz="4" w:space="0" w:color="000000"/>
            </w:tcBorders>
            <w:shd w:val="clear" w:color="auto" w:fill="D9D9D9"/>
          </w:tcPr>
          <w:p>
            <w:pPr/>
          </w:p>
        </w:tc>
        <w:tc>
          <w:tcPr>
            <w:tcW w:w="3460" w:type="dxa"/>
            <w:gridSpan w:val="3"/>
            <w:tcBorders>
              <w:top w:val="single" w:sz="4" w:space="0" w:color="000000"/>
              <w:left w:val="single" w:sz="4" w:space="0" w:color="000000"/>
              <w:bottom w:val="single" w:sz="8" w:space="0" w:color="FFFFFF"/>
              <w:right w:val="single" w:sz="4" w:space="0" w:color="000000"/>
            </w:tcBorders>
            <w:shd w:val="clear" w:color="auto" w:fill="D9D9D9"/>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916" w:type="dxa"/>
            <w:tcBorders>
              <w:top w:val="single" w:sz="4" w:space="0" w:color="000000"/>
              <w:left w:val="single" w:sz="4" w:space="0" w:color="000000"/>
              <w:bottom w:val="single" w:sz="8" w:space="0" w:color="FFFFFF"/>
              <w:right w:val="single" w:sz="4" w:space="0" w:color="000000"/>
            </w:tcBorders>
            <w:shd w:val="clear" w:color="auto" w:fill="D9D9D9"/>
          </w:tcPr>
          <w:p>
            <w:pPr/>
          </w:p>
        </w:tc>
        <w:tc>
          <w:tcPr>
            <w:tcW w:w="2927" w:type="dxa"/>
            <w:gridSpan w:val="3"/>
            <w:tcBorders>
              <w:top w:val="single" w:sz="4" w:space="0" w:color="000000"/>
              <w:left w:val="single" w:sz="4" w:space="0" w:color="000000"/>
              <w:bottom w:val="single" w:sz="8" w:space="0" w:color="FFFFFF"/>
              <w:right w:val="single" w:sz="4" w:space="0" w:color="000000"/>
            </w:tcBorders>
            <w:shd w:val="clear" w:color="auto" w:fill="D9D9D9"/>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17" w:hRule="exact"/>
        </w:trPr>
        <w:tc>
          <w:tcPr>
            <w:tcW w:w="1029" w:type="dxa"/>
            <w:vMerge/>
            <w:tcBorders>
              <w:left w:val="single" w:sz="4" w:space="0" w:color="000000"/>
              <w:bottom w:val="single" w:sz="4" w:space="0" w:color="000000"/>
              <w:right w:val="single" w:sz="4" w:space="0" w:color="000000"/>
            </w:tcBorders>
            <w:shd w:val="clear" w:color="auto" w:fill="D9D9D9"/>
          </w:tcPr>
          <w:p>
            <w:pPr/>
          </w:p>
        </w:tc>
        <w:tc>
          <w:tcPr>
            <w:tcW w:w="1327" w:type="dxa"/>
            <w:tcBorders>
              <w:top w:val="single" w:sz="8" w:space="0" w:color="FFFFFF"/>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1327" w:type="dxa"/>
            <w:tcBorders>
              <w:top w:val="single" w:sz="8" w:space="0" w:color="FFFFFF"/>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欧元</w:t>
            </w:r>
          </w:p>
        </w:tc>
        <w:tc>
          <w:tcPr>
            <w:tcW w:w="926" w:type="dxa"/>
            <w:tcBorders>
              <w:top w:val="single" w:sz="8" w:space="0" w:color="FFFFFF"/>
              <w:left w:val="single" w:sz="4" w:space="0" w:color="000000"/>
              <w:bottom w:val="single" w:sz="4" w:space="0" w:color="000000"/>
              <w:right w:val="single" w:sz="4" w:space="0" w:color="000000"/>
            </w:tcBorders>
            <w:shd w:val="clear" w:color="auto" w:fill="D9D9D9"/>
          </w:tcPr>
          <w:p>
            <w:pPr>
              <w:pStyle w:val="TableParagraph"/>
              <w:spacing w:line="240" w:lineRule="auto" w:before="10"/>
              <w:ind w:left="277"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207" w:type="dxa"/>
            <w:tcBorders>
              <w:top w:val="single" w:sz="8" w:space="0" w:color="FFFFFF"/>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916" w:type="dxa"/>
            <w:tcBorders>
              <w:top w:val="single" w:sz="8" w:space="0" w:color="FFFFFF"/>
              <w:left w:val="single" w:sz="4" w:space="0" w:color="000000"/>
              <w:bottom w:val="single" w:sz="4" w:space="0" w:color="000000"/>
              <w:right w:val="single" w:sz="4" w:space="0" w:color="000000"/>
            </w:tcBorders>
            <w:shd w:val="clear" w:color="auto" w:fill="D9D9D9"/>
          </w:tcPr>
          <w:p>
            <w:pPr>
              <w:pStyle w:val="TableParagraph"/>
              <w:spacing w:line="240" w:lineRule="auto" w:before="10"/>
              <w:ind w:left="27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938" w:type="dxa"/>
            <w:tcBorders>
              <w:top w:val="single" w:sz="8" w:space="0" w:color="FFFFFF"/>
              <w:left w:val="single" w:sz="4" w:space="0" w:color="000000"/>
              <w:bottom w:val="single" w:sz="4" w:space="0" w:color="000000"/>
              <w:right w:val="single" w:sz="4" w:space="0" w:color="000000"/>
            </w:tcBorders>
            <w:shd w:val="clear" w:color="auto" w:fill="D9D9D9"/>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875" w:type="dxa"/>
            <w:tcBorders>
              <w:top w:val="single" w:sz="8" w:space="0" w:color="FFFFFF"/>
              <w:left w:val="single" w:sz="4" w:space="0" w:color="000000"/>
              <w:bottom w:val="single" w:sz="4" w:space="0" w:color="000000"/>
              <w:right w:val="single" w:sz="4" w:space="0" w:color="000000"/>
            </w:tcBorders>
            <w:shd w:val="clear" w:color="auto" w:fill="D9D9D9"/>
          </w:tcPr>
          <w:p>
            <w:pPr>
              <w:pStyle w:val="TableParagraph"/>
              <w:spacing w:line="240" w:lineRule="auto" w:before="10"/>
              <w:ind w:left="251"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115" w:type="dxa"/>
            <w:tcBorders>
              <w:top w:val="single" w:sz="8" w:space="0" w:color="FFFFFF"/>
              <w:left w:val="single" w:sz="4" w:space="0" w:color="000000"/>
              <w:bottom w:val="single" w:sz="4" w:space="0" w:color="000000"/>
              <w:right w:val="single" w:sz="4" w:space="0" w:color="000000"/>
            </w:tcBorders>
            <w:shd w:val="clear" w:color="auto" w:fill="D9D9D9"/>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22" w:hRule="exact"/>
        </w:trPr>
        <w:tc>
          <w:tcPr>
            <w:tcW w:w="10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77" w:right="0"/>
              <w:jc w:val="left"/>
              <w:rPr>
                <w:rFonts w:ascii="Times New Roman" w:hAnsi="Times New Roman" w:cs="Times New Roman" w:eastAsia="Times New Roman" w:hint="default"/>
                <w:sz w:val="18"/>
                <w:szCs w:val="18"/>
              </w:rPr>
            </w:pPr>
            <w:r>
              <w:rPr>
                <w:rFonts w:ascii="Times New Roman"/>
                <w:sz w:val="18"/>
              </w:rPr>
              <w:t>11,379,972.70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24,132,182.04</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80" w:right="0"/>
              <w:jc w:val="left"/>
              <w:rPr>
                <w:rFonts w:ascii="Times New Roman" w:hAnsi="Times New Roman" w:cs="Times New Roman" w:eastAsia="Times New Roman" w:hint="default"/>
                <w:sz w:val="18"/>
                <w:szCs w:val="18"/>
              </w:rPr>
            </w:pPr>
            <w:r>
              <w:rPr>
                <w:rFonts w:ascii="Times New Roman"/>
                <w:sz w:val="18"/>
              </w:rPr>
              <w:t>5,533.13</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35,517,687.87</w:t>
            </w:r>
          </w:p>
        </w:tc>
        <w:tc>
          <w:tcPr>
            <w:tcW w:w="916"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
        </w:tc>
      </w:tr>
      <w:tr>
        <w:trPr>
          <w:trHeight w:val="422" w:hRule="exact"/>
        </w:trPr>
        <w:tc>
          <w:tcPr>
            <w:tcW w:w="10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27"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78,047,200.00</w:t>
            </w:r>
          </w:p>
        </w:tc>
        <w:tc>
          <w:tcPr>
            <w:tcW w:w="926"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78,047,200.00</w:t>
            </w:r>
          </w:p>
        </w:tc>
        <w:tc>
          <w:tcPr>
            <w:tcW w:w="916"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10"/>
        <w:ind w:left="154" w:right="0"/>
        <w:jc w:val="left"/>
      </w:pPr>
      <w:r>
        <w:rPr>
          <w:spacing w:val="3"/>
        </w:rPr>
        <w:t>于</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日，在所有其他变量保持不变的情况下，如果人民币对美元升值或贬值</w:t>
      </w:r>
      <w:r>
        <w:rPr>
          <w:rFonts w:ascii="Times New Roman" w:hAnsi="Times New Roman" w:cs="Times New Roman" w:eastAsia="Times New Roman" w:hint="default"/>
          <w:spacing w:val="3"/>
        </w:rPr>
        <w:t>1%</w:t>
      </w:r>
      <w:r>
        <w:rPr>
          <w:spacing w:val="3"/>
        </w:rPr>
        <w:t>，则公司将增加或减少净利润</w:t>
      </w:r>
    </w:p>
    <w:p>
      <w:pPr>
        <w:pStyle w:val="BodyText"/>
        <w:spacing w:line="240" w:lineRule="auto" w:before="63"/>
        <w:ind w:left="154" w:right="0"/>
        <w:jc w:val="left"/>
      </w:pPr>
      <w:r>
        <w:rPr>
          <w:rFonts w:ascii="Times New Roman" w:hAnsi="Times New Roman" w:cs="Times New Roman" w:eastAsia="Times New Roman" w:hint="default"/>
        </w:rPr>
        <w:t>113,799.73</w:t>
      </w:r>
      <w:r>
        <w:rPr/>
        <w:t>元、如果人民币对欧元升值或贬值</w:t>
      </w:r>
      <w:r>
        <w:rPr>
          <w:rFonts w:ascii="Times New Roman" w:hAnsi="Times New Roman" w:cs="Times New Roman" w:eastAsia="Times New Roman" w:hint="default"/>
        </w:rPr>
        <w:t>1%</w:t>
      </w:r>
      <w:r>
        <w:rPr/>
        <w:t>，则公司将增加或减少净利润</w:t>
      </w:r>
      <w:r>
        <w:rPr>
          <w:rFonts w:ascii="Times New Roman" w:hAnsi="Times New Roman" w:cs="Times New Roman" w:eastAsia="Times New Roman" w:hint="default"/>
        </w:rPr>
        <w:t>539,150.18</w:t>
      </w:r>
      <w:r>
        <w:rPr/>
        <w:t>元、如果人民币对港币升值或贬值</w:t>
      </w:r>
    </w:p>
    <w:p>
      <w:pPr>
        <w:pStyle w:val="BodyText"/>
        <w:spacing w:line="300" w:lineRule="auto" w:before="63"/>
        <w:ind w:left="154" w:right="1118"/>
        <w:jc w:val="left"/>
      </w:pPr>
      <w:r>
        <w:rPr>
          <w:rFonts w:ascii="Times New Roman" w:hAnsi="Times New Roman" w:cs="Times New Roman" w:eastAsia="Times New Roman" w:hint="default"/>
          <w:spacing w:val="-2"/>
        </w:rPr>
        <w:t>1%</w:t>
      </w:r>
      <w:r>
        <w:rPr>
          <w:spacing w:val="-2"/>
        </w:rPr>
        <w:t>，则公司将增加或减少净利润</w:t>
      </w:r>
      <w:r>
        <w:rPr>
          <w:rFonts w:ascii="Times New Roman" w:hAnsi="Times New Roman" w:cs="Times New Roman" w:eastAsia="Times New Roman" w:hint="default"/>
          <w:spacing w:val="-2"/>
        </w:rPr>
        <w:t>55.33</w:t>
      </w:r>
      <w:r>
        <w:rPr>
          <w:spacing w:val="-2"/>
        </w:rPr>
        <w:t>元。管理层认为</w:t>
      </w:r>
      <w:r>
        <w:rPr>
          <w:rFonts w:ascii="Times New Roman" w:hAnsi="Times New Roman" w:cs="Times New Roman" w:eastAsia="Times New Roman" w:hint="default"/>
          <w:spacing w:val="-2"/>
        </w:rPr>
        <w:t>1%</w:t>
      </w:r>
      <w:r>
        <w:rPr>
          <w:spacing w:val="-2"/>
        </w:rPr>
        <w:t>合理反映了下一年度人民币对美元、欧元及港币可能发生变动的合</w:t>
      </w:r>
      <w:r>
        <w:rPr>
          <w:spacing w:val="-44"/>
        </w:rPr>
        <w:t> </w:t>
      </w:r>
      <w:r>
        <w:rPr>
          <w:spacing w:val="-44"/>
        </w:rPr>
      </w:r>
      <w:r>
        <w:rPr/>
        <w:t>理范围。</w:t>
      </w:r>
    </w:p>
    <w:p>
      <w:pPr>
        <w:pStyle w:val="BodyText"/>
        <w:spacing w:line="300" w:lineRule="auto" w:before="31"/>
        <w:ind w:left="245" w:right="9223" w:hanging="92"/>
        <w:jc w:val="left"/>
      </w:pPr>
      <w:r>
        <w:rPr/>
        <w:t>（</w:t>
      </w:r>
      <w:r>
        <w:rPr>
          <w:rFonts w:ascii="Times New Roman" w:hAnsi="Times New Roman" w:cs="Times New Roman" w:eastAsia="Times New Roman" w:hint="default"/>
        </w:rPr>
        <w:t>3</w:t>
      </w:r>
      <w:r>
        <w:rPr/>
        <w:t>）其他价格风险 无</w:t>
      </w:r>
    </w:p>
    <w:p>
      <w:pPr>
        <w:pStyle w:val="BodyText"/>
        <w:spacing w:line="297" w:lineRule="auto" w:before="6"/>
        <w:ind w:left="154" w:right="0"/>
        <w:jc w:val="left"/>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三</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36"/>
          <w:sz w:val="21"/>
          <w:szCs w:val="21"/>
        </w:rPr>
        <w:t> </w:t>
      </w:r>
      <w:r>
        <w:rPr>
          <w:rFonts w:ascii="宋体" w:hAnsi="宋体" w:cs="宋体" w:eastAsia="宋体" w:hint="default"/>
          <w:b/>
          <w:bCs/>
          <w:sz w:val="21"/>
          <w:szCs w:val="21"/>
        </w:rPr>
        <w:t>流动性风险</w:t>
      </w:r>
      <w:r>
        <w:rPr>
          <w:rFonts w:ascii="宋体" w:hAnsi="宋体" w:cs="宋体" w:eastAsia="宋体" w:hint="default"/>
          <w:b/>
          <w:bCs/>
          <w:w w:val="99"/>
          <w:sz w:val="21"/>
          <w:szCs w:val="21"/>
        </w:rPr>
        <w:t> </w:t>
      </w:r>
      <w:r>
        <w:rPr>
          <w:spacing w:val="-2"/>
        </w:rPr>
        <w:t>流动风险，是指企业在履行以交付现金或其他金融资产的方式结算的义务时发生资金短缺的风险。本公司的政策是确保拥有</w:t>
      </w:r>
      <w:r>
        <w:rPr>
          <w:spacing w:val="-64"/>
        </w:rPr>
        <w:t> </w:t>
      </w:r>
      <w:r>
        <w:rPr>
          <w:spacing w:val="-64"/>
        </w:rPr>
      </w:r>
      <w:r>
        <w:rPr>
          <w:spacing w:val="-2"/>
        </w:rPr>
        <w:t>充足的现金以偿还到期债务。流动性风险由本公司的财务部门集中控制。财务部门通过监控现金余额、确保公司在所有合理</w:t>
      </w:r>
    </w:p>
    <w:p>
      <w:pPr>
        <w:pStyle w:val="BodyText"/>
        <w:spacing w:line="240" w:lineRule="auto" w:before="33"/>
        <w:ind w:left="154" w:right="0"/>
        <w:jc w:val="left"/>
      </w:pPr>
      <w:r>
        <w:rPr/>
        <w:t>预测的情况下拥有充足的资金偿还债务。</w:t>
      </w:r>
    </w:p>
    <w:p>
      <w:pPr>
        <w:spacing w:line="240" w:lineRule="auto" w:before="2"/>
        <w:rPr>
          <w:rFonts w:ascii="宋体" w:hAnsi="宋体" w:cs="宋体" w:eastAsia="宋体" w:hint="default"/>
          <w:sz w:val="25"/>
          <w:szCs w:val="25"/>
        </w:rPr>
      </w:pPr>
    </w:p>
    <w:p>
      <w:pPr>
        <w:pStyle w:val="Heading2"/>
        <w:spacing w:line="240" w:lineRule="auto"/>
        <w:ind w:left="154" w:right="0"/>
        <w:jc w:val="left"/>
        <w:rPr>
          <w:b w:val="0"/>
          <w:bCs w:val="0"/>
        </w:rPr>
      </w:pPr>
      <w:bookmarkStart w:name="十一、公允价值的披露" w:id="309"/>
      <w:bookmarkEnd w:id="309"/>
      <w:r>
        <w:rPr>
          <w:b w:val="0"/>
          <w:bCs w:val="0"/>
        </w:rPr>
      </w:r>
      <w:r>
        <w:rPr/>
        <w:t>十一、公允价值的披露</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2473"/>
        <w:jc w:val="left"/>
      </w:pPr>
      <w:r>
        <w:rPr/>
        <w:t>公允价值计量所使用的输入值划分为三个层次： 第一层次输入值是在计量日能够取得的相同资产或负债在活跃市场上未经调整的报价。 第二层次输入值是除第一层次输入值外相关资产或负债直接或间接可观察的输入值。 第三层次输入值是相关资产或负债的不可观察输入值。 公允价值计量结果所属的层次，由对公允价值计量整体而言具有重要意义的输入值所属的最低层次决定。</w:t>
      </w:r>
    </w:p>
    <w:p>
      <w:pPr>
        <w:spacing w:line="240" w:lineRule="auto" w:before="3"/>
        <w:rPr>
          <w:rFonts w:ascii="宋体" w:hAnsi="宋体" w:cs="宋体" w:eastAsia="宋体" w:hint="default"/>
          <w:sz w:val="18"/>
          <w:szCs w:val="18"/>
        </w:rPr>
      </w:pPr>
    </w:p>
    <w:p>
      <w:pPr>
        <w:pStyle w:val="Heading2"/>
        <w:spacing w:line="240" w:lineRule="auto"/>
        <w:ind w:right="0"/>
        <w:jc w:val="left"/>
        <w:rPr>
          <w:b w:val="0"/>
          <w:bCs w:val="0"/>
        </w:rPr>
      </w:pPr>
      <w:bookmarkStart w:name="十二、关联方及关联交易" w:id="310"/>
      <w:bookmarkEnd w:id="310"/>
      <w:r>
        <w:rPr>
          <w:b w:val="0"/>
          <w:bCs w:val="0"/>
        </w:rPr>
      </w:r>
      <w:r>
        <w:rPr/>
        <w:t>十二、关联方及关联交易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本企业的母公司情况" w:id="311"/>
      <w:bookmarkEnd w:id="311"/>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北京久其科技投资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民营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10,500,000.00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24.17%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006" w:right="0"/>
              <w:jc w:val="left"/>
              <w:rPr>
                <w:rFonts w:ascii="Times New Roman" w:hAnsi="Times New Roman" w:cs="Times New Roman" w:eastAsia="Times New Roman" w:hint="default"/>
                <w:sz w:val="18"/>
                <w:szCs w:val="18"/>
              </w:rPr>
            </w:pPr>
            <w:r>
              <w:rPr>
                <w:rFonts w:ascii="Times New Roman"/>
                <w:sz w:val="18"/>
              </w:rPr>
              <w:t>24.17%</w:t>
            </w:r>
          </w:p>
        </w:tc>
      </w:tr>
    </w:tbl>
    <w:p>
      <w:pPr>
        <w:pStyle w:val="BodyText"/>
        <w:spacing w:line="240" w:lineRule="auto" w:before="51"/>
        <w:ind w:left="154" w:right="0"/>
        <w:jc w:val="left"/>
      </w:pPr>
      <w:r>
        <w:rPr/>
        <w:t>本企业的母公司情况的说明</w:t>
      </w:r>
    </w:p>
    <w:p>
      <w:pPr>
        <w:spacing w:line="240" w:lineRule="auto" w:before="5"/>
        <w:rPr>
          <w:rFonts w:ascii="宋体" w:hAnsi="宋体" w:cs="宋体" w:eastAsia="宋体" w:hint="default"/>
          <w:sz w:val="8"/>
          <w:szCs w:val="8"/>
        </w:rPr>
      </w:pPr>
    </w:p>
    <w:tbl>
      <w:tblPr>
        <w:tblW w:w="0" w:type="auto"/>
        <w:jc w:val="left"/>
        <w:tblInd w:w="139" w:type="dxa"/>
        <w:tblLayout w:type="fixed"/>
        <w:tblCellMar>
          <w:top w:w="0" w:type="dxa"/>
          <w:left w:w="0" w:type="dxa"/>
          <w:bottom w:w="0" w:type="dxa"/>
          <w:right w:w="0" w:type="dxa"/>
        </w:tblCellMar>
        <w:tblLook w:val="01E0"/>
      </w:tblPr>
      <w:tblGrid>
        <w:gridCol w:w="1146"/>
        <w:gridCol w:w="912"/>
        <w:gridCol w:w="605"/>
        <w:gridCol w:w="596"/>
        <w:gridCol w:w="786"/>
        <w:gridCol w:w="780"/>
        <w:gridCol w:w="1056"/>
        <w:gridCol w:w="966"/>
        <w:gridCol w:w="1062"/>
        <w:gridCol w:w="818"/>
        <w:gridCol w:w="930"/>
      </w:tblGrid>
      <w:tr>
        <w:trPr>
          <w:trHeight w:val="1041" w:hRule="exact"/>
        </w:trPr>
        <w:tc>
          <w:tcPr>
            <w:tcW w:w="11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117"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关联关系</w:t>
            </w:r>
          </w:p>
        </w:tc>
        <w:tc>
          <w:tcPr>
            <w:tcW w:w="6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6"/>
              <w:ind w:left="207" w:right="25" w:hanging="180"/>
              <w:jc w:val="left"/>
              <w:rPr>
                <w:rFonts w:ascii="宋体" w:hAnsi="宋体" w:cs="宋体" w:eastAsia="宋体" w:hint="default"/>
                <w:sz w:val="18"/>
                <w:szCs w:val="18"/>
              </w:rPr>
            </w:pPr>
            <w:r>
              <w:rPr>
                <w:rFonts w:ascii="宋体" w:hAnsi="宋体" w:cs="宋体" w:eastAsia="宋体" w:hint="default"/>
                <w:sz w:val="18"/>
                <w:szCs w:val="18"/>
              </w:rPr>
              <w:t>企业类 型</w:t>
            </w:r>
          </w:p>
        </w:tc>
        <w:tc>
          <w:tcPr>
            <w:tcW w:w="5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注册地</w:t>
            </w:r>
          </w:p>
        </w:tc>
        <w:tc>
          <w:tcPr>
            <w:tcW w:w="7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6"/>
              <w:ind w:left="298" w:right="27" w:hanging="270"/>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7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0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9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6"/>
              <w:ind w:left="27" w:right="26"/>
              <w:jc w:val="center"/>
              <w:rPr>
                <w:rFonts w:ascii="Times New Roman" w:hAnsi="Times New Roman" w:cs="Times New Roman" w:eastAsia="Times New Roman" w:hint="default"/>
                <w:sz w:val="18"/>
                <w:szCs w:val="18"/>
              </w:rPr>
            </w:pPr>
            <w:r>
              <w:rPr>
                <w:rFonts w:ascii="宋体" w:hAnsi="宋体" w:cs="宋体" w:eastAsia="宋体" w:hint="default"/>
                <w:sz w:val="18"/>
                <w:szCs w:val="18"/>
              </w:rPr>
              <w:t>母公司对本 公司的持股 比例</w:t>
            </w:r>
            <w:r>
              <w:rPr>
                <w:rFonts w:ascii="Times New Roman" w:hAnsi="Times New Roman" w:cs="Times New Roman" w:eastAsia="Times New Roman" w:hint="default"/>
                <w:sz w:val="18"/>
                <w:szCs w:val="18"/>
              </w:rPr>
              <w:t>(%)</w:t>
            </w:r>
          </w:p>
        </w:tc>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38" w:lineRule="auto" w:before="56"/>
              <w:ind w:left="76" w:right="75"/>
              <w:jc w:val="center"/>
              <w:rPr>
                <w:rFonts w:ascii="Times New Roman" w:hAnsi="Times New Roman" w:cs="Times New Roman" w:eastAsia="Times New Roman" w:hint="default"/>
                <w:sz w:val="18"/>
                <w:szCs w:val="18"/>
              </w:rPr>
            </w:pPr>
            <w:r>
              <w:rPr>
                <w:rFonts w:ascii="宋体" w:hAnsi="宋体" w:cs="宋体" w:eastAsia="宋体" w:hint="default"/>
                <w:sz w:val="18"/>
                <w:szCs w:val="18"/>
              </w:rPr>
              <w:t>对本公司的 表决权比例 </w:t>
            </w:r>
            <w:r>
              <w:rPr>
                <w:rFonts w:ascii="Times New Roman" w:hAnsi="Times New Roman" w:cs="Times New Roman" w:eastAsia="Times New Roman" w:hint="default"/>
                <w:sz w:val="18"/>
                <w:szCs w:val="18"/>
              </w:rPr>
              <w:t>(%)</w:t>
            </w:r>
          </w:p>
        </w:tc>
        <w:tc>
          <w:tcPr>
            <w:tcW w:w="8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6"/>
              <w:ind w:left="44" w:right="42"/>
              <w:jc w:val="left"/>
              <w:rPr>
                <w:rFonts w:ascii="宋体" w:hAnsi="宋体" w:cs="宋体" w:eastAsia="宋体" w:hint="default"/>
                <w:sz w:val="18"/>
                <w:szCs w:val="18"/>
              </w:rPr>
            </w:pPr>
            <w:r>
              <w:rPr>
                <w:rFonts w:ascii="宋体" w:hAnsi="宋体" w:cs="宋体" w:eastAsia="宋体" w:hint="default"/>
                <w:sz w:val="18"/>
                <w:szCs w:val="18"/>
              </w:rPr>
              <w:t>本公司最 终控制方</w:t>
            </w:r>
          </w:p>
        </w:tc>
        <w:tc>
          <w:tcPr>
            <w:tcW w:w="9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6"/>
              <w:ind w:left="369" w:right="8"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735" w:hRule="exact"/>
        </w:trPr>
        <w:tc>
          <w:tcPr>
            <w:tcW w:w="11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62"/>
              <w:ind w:left="4" w:right="51"/>
              <w:jc w:val="left"/>
              <w:rPr>
                <w:rFonts w:ascii="宋体" w:hAnsi="宋体" w:cs="宋体" w:eastAsia="宋体" w:hint="default"/>
                <w:sz w:val="18"/>
                <w:szCs w:val="18"/>
              </w:rPr>
            </w:pPr>
            <w:r>
              <w:rPr>
                <w:rFonts w:ascii="宋体" w:hAnsi="宋体" w:cs="宋体" w:eastAsia="宋体" w:hint="default"/>
                <w:sz w:val="18"/>
                <w:szCs w:val="18"/>
              </w:rPr>
              <w:t>北京久其科技 投资有限公司</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母公司</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27" w:right="25"/>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18" w:right="0"/>
              <w:jc w:val="left"/>
              <w:rPr>
                <w:rFonts w:ascii="宋体" w:hAnsi="宋体" w:cs="宋体" w:eastAsia="宋体" w:hint="default"/>
                <w:sz w:val="18"/>
                <w:szCs w:val="18"/>
              </w:rPr>
            </w:pPr>
            <w:r>
              <w:rPr>
                <w:rFonts w:ascii="宋体" w:hAnsi="宋体" w:cs="宋体" w:eastAsia="宋体" w:hint="default"/>
                <w:sz w:val="18"/>
                <w:szCs w:val="18"/>
              </w:rPr>
              <w:t>董泰湘</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民营</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10,500,000.00</w:t>
            </w:r>
          </w:p>
        </w:tc>
        <w:tc>
          <w:tcPr>
            <w:tcW w:w="96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z w:val="18"/>
              </w:rPr>
              <w:t>24.17</w:t>
            </w:r>
          </w:p>
        </w:tc>
        <w:tc>
          <w:tcPr>
            <w:tcW w:w="106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z w:val="18"/>
              </w:rPr>
              <w:t>24.17</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63361327-X</w:t>
            </w:r>
          </w:p>
        </w:tc>
      </w:tr>
      <w:tr>
        <w:trPr>
          <w:trHeight w:val="654" w:hRule="exact"/>
        </w:trPr>
        <w:tc>
          <w:tcPr>
            <w:tcW w:w="11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董泰湘</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360" w:right="90" w:hanging="270"/>
              <w:jc w:val="left"/>
              <w:rPr>
                <w:rFonts w:ascii="宋体" w:hAnsi="宋体" w:cs="宋体" w:eastAsia="宋体" w:hint="default"/>
                <w:sz w:val="18"/>
                <w:szCs w:val="18"/>
              </w:rPr>
            </w:pPr>
            <w:r>
              <w:rPr>
                <w:rFonts w:ascii="宋体" w:hAnsi="宋体" w:cs="宋体" w:eastAsia="宋体" w:hint="default"/>
                <w:sz w:val="18"/>
                <w:szCs w:val="18"/>
              </w:rPr>
              <w:t>实际控制 人</w:t>
            </w:r>
          </w:p>
        </w:tc>
        <w:tc>
          <w:tcPr>
            <w:tcW w:w="605"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15.29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15.29</w:t>
            </w:r>
          </w:p>
        </w:tc>
        <w:tc>
          <w:tcPr>
            <w:tcW w:w="818"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37" w:type="dxa"/>
        <w:tblLayout w:type="fixed"/>
        <w:tblCellMar>
          <w:top w:w="0" w:type="dxa"/>
          <w:left w:w="0" w:type="dxa"/>
          <w:bottom w:w="0" w:type="dxa"/>
          <w:right w:w="0" w:type="dxa"/>
        </w:tblCellMar>
        <w:tblLook w:val="01E0"/>
      </w:tblPr>
      <w:tblGrid>
        <w:gridCol w:w="1149"/>
        <w:gridCol w:w="912"/>
        <w:gridCol w:w="605"/>
        <w:gridCol w:w="596"/>
        <w:gridCol w:w="786"/>
        <w:gridCol w:w="780"/>
        <w:gridCol w:w="1056"/>
        <w:gridCol w:w="966"/>
        <w:gridCol w:w="1062"/>
        <w:gridCol w:w="818"/>
        <w:gridCol w:w="930"/>
      </w:tblGrid>
      <w:tr>
        <w:trPr>
          <w:trHeight w:val="654" w:hRule="exact"/>
        </w:trPr>
        <w:tc>
          <w:tcPr>
            <w:tcW w:w="11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赵福君</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360" w:right="90" w:hanging="270"/>
              <w:jc w:val="left"/>
              <w:rPr>
                <w:rFonts w:ascii="宋体" w:hAnsi="宋体" w:cs="宋体" w:eastAsia="宋体" w:hint="default"/>
                <w:sz w:val="18"/>
                <w:szCs w:val="18"/>
              </w:rPr>
            </w:pPr>
            <w:r>
              <w:rPr>
                <w:rFonts w:ascii="宋体" w:hAnsi="宋体" w:cs="宋体" w:eastAsia="宋体" w:hint="default"/>
                <w:sz w:val="18"/>
                <w:szCs w:val="18"/>
              </w:rPr>
              <w:t>实际控制 人</w:t>
            </w:r>
          </w:p>
        </w:tc>
        <w:tc>
          <w:tcPr>
            <w:tcW w:w="605"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47" w:right="0"/>
              <w:jc w:val="left"/>
              <w:rPr>
                <w:rFonts w:ascii="Times New Roman" w:hAnsi="Times New Roman" w:cs="Times New Roman" w:eastAsia="Times New Roman" w:hint="default"/>
                <w:sz w:val="18"/>
                <w:szCs w:val="18"/>
              </w:rPr>
            </w:pPr>
            <w:r>
              <w:rPr>
                <w:rFonts w:ascii="Times New Roman"/>
                <w:sz w:val="18"/>
              </w:rPr>
              <w:t>11.04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43" w:right="0"/>
              <w:jc w:val="left"/>
              <w:rPr>
                <w:rFonts w:ascii="Times New Roman" w:hAnsi="Times New Roman" w:cs="Times New Roman" w:eastAsia="Times New Roman" w:hint="default"/>
                <w:sz w:val="18"/>
                <w:szCs w:val="18"/>
              </w:rPr>
            </w:pPr>
            <w:r>
              <w:rPr>
                <w:rFonts w:ascii="Times New Roman"/>
                <w:sz w:val="18"/>
              </w:rPr>
              <w:t>11.04</w:t>
            </w:r>
          </w:p>
        </w:tc>
        <w:tc>
          <w:tcPr>
            <w:tcW w:w="818"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本企业最终控制方是赵福君、董泰湘夫妻。</w:t>
      </w:r>
    </w:p>
    <w:p>
      <w:pPr>
        <w:spacing w:line="240" w:lineRule="auto" w:before="11"/>
        <w:rPr>
          <w:rFonts w:ascii="宋体" w:hAnsi="宋体" w:cs="宋体" w:eastAsia="宋体" w:hint="default"/>
          <w:sz w:val="26"/>
          <w:szCs w:val="26"/>
        </w:rPr>
      </w:pPr>
    </w:p>
    <w:p>
      <w:pPr>
        <w:spacing w:line="547" w:lineRule="auto" w:before="0"/>
        <w:ind w:left="153" w:right="5373" w:firstLine="0"/>
        <w:jc w:val="left"/>
        <w:rPr>
          <w:rFonts w:ascii="宋体" w:hAnsi="宋体" w:cs="宋体" w:eastAsia="宋体" w:hint="default"/>
          <w:sz w:val="21"/>
          <w:szCs w:val="21"/>
        </w:rPr>
      </w:pPr>
      <w:bookmarkStart w:name="2、本企业的子公司情况" w:id="312"/>
      <w:bookmarkEnd w:id="31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w:t>
      </w:r>
      <w:r>
        <w:rPr>
          <w:rFonts w:ascii="Times New Roman" w:hAnsi="Times New Roman" w:cs="Times New Roman" w:eastAsia="Times New Roman" w:hint="default"/>
          <w:sz w:val="18"/>
          <w:szCs w:val="18"/>
        </w:rPr>
        <w:t>“</w:t>
      </w:r>
      <w:r>
        <w:rPr>
          <w:rFonts w:ascii="宋体" w:hAnsi="宋体" w:cs="宋体" w:eastAsia="宋体" w:hint="default"/>
          <w:sz w:val="18"/>
          <w:szCs w:val="18"/>
        </w:rPr>
        <w:t>九、在其他主体中的权益</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bookmarkStart w:name="3、本企业合营和联营企业情况" w:id="313"/>
      <w:bookmarkEnd w:id="313"/>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b/>
          <w:bCs/>
          <w:w w:val="99"/>
          <w:sz w:val="21"/>
          <w:szCs w:val="21"/>
        </w:rPr>
        <w:t> </w:t>
      </w:r>
      <w:r>
        <w:rPr>
          <w:rFonts w:ascii="宋体" w:hAnsi="宋体" w:cs="宋体" w:eastAsia="宋体" w:hint="default"/>
          <w:sz w:val="18"/>
          <w:szCs w:val="18"/>
        </w:rPr>
        <w:t>本企业重要的合营或联营企业详见附注</w:t>
      </w:r>
      <w:r>
        <w:rPr>
          <w:rFonts w:ascii="Times New Roman" w:hAnsi="Times New Roman" w:cs="Times New Roman" w:eastAsia="Times New Roman" w:hint="default"/>
          <w:sz w:val="18"/>
          <w:szCs w:val="18"/>
        </w:rPr>
        <w:t>“</w:t>
      </w:r>
      <w:r>
        <w:rPr>
          <w:rFonts w:ascii="宋体" w:hAnsi="宋体" w:cs="宋体" w:eastAsia="宋体" w:hint="default"/>
          <w:sz w:val="18"/>
          <w:szCs w:val="18"/>
        </w:rPr>
        <w:t>九、在其他主体中的权益</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bookmarkStart w:name="4、其他关联方情况" w:id="314"/>
      <w:bookmarkEnd w:id="314"/>
      <w:r>
        <w:rPr>
          <w:rFonts w:ascii="宋体" w:hAnsi="宋体" w:cs="宋体" w:eastAsia="宋体" w:hint="default"/>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、其他关联方情况</w:t>
      </w:r>
      <w:r>
        <w:rPr>
          <w:rFonts w:ascii="宋体" w:hAnsi="宋体" w:cs="宋体" w:eastAsia="宋体" w:hint="default"/>
          <w:sz w:val="21"/>
          <w:szCs w:val="21"/>
        </w:rPr>
      </w:r>
    </w:p>
    <w:p>
      <w:pPr>
        <w:spacing w:line="240" w:lineRule="auto" w:before="0"/>
        <w:rPr>
          <w:rFonts w:ascii="宋体" w:hAnsi="宋体" w:cs="宋体" w:eastAsia="宋体" w:hint="default"/>
          <w:b/>
          <w:bCs/>
          <w:sz w:val="3"/>
          <w:szCs w:val="3"/>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北京久其移动商务科技有限公司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同受母公司控制</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5、关联交易情况" w:id="315"/>
      <w:bookmarkEnd w:id="315"/>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购销商品、提供和接受劳务的关联交易" w:id="316"/>
      <w:bookmarkEnd w:id="316"/>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广东同望科技股份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软件销售</w:t>
            </w:r>
          </w:p>
        </w:tc>
        <w:tc>
          <w:tcPr>
            <w:tcW w:w="1455"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53" w:right="0"/>
              <w:jc w:val="left"/>
              <w:rPr>
                <w:rFonts w:ascii="Times New Roman" w:hAnsi="Times New Roman" w:cs="Times New Roman" w:eastAsia="Times New Roman" w:hint="default"/>
                <w:sz w:val="18"/>
                <w:szCs w:val="18"/>
              </w:rPr>
            </w:pPr>
            <w:r>
              <w:rPr>
                <w:rFonts w:ascii="Times New Roman"/>
                <w:sz w:val="18"/>
              </w:rPr>
              <w:t>61,723.25</w:t>
            </w:r>
          </w:p>
        </w:tc>
      </w:tr>
    </w:tbl>
    <w:p>
      <w:pPr>
        <w:pStyle w:val="BodyText"/>
        <w:spacing w:line="240" w:lineRule="auto" w:before="51"/>
        <w:ind w:left="154"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10"/>
        <w:gridCol w:w="2260"/>
        <w:gridCol w:w="2258"/>
        <w:gridCol w:w="2654"/>
      </w:tblGrid>
      <w:tr>
        <w:trPr>
          <w:trHeight w:val="401"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5"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35"/>
              <w:jc w:val="left"/>
              <w:rPr>
                <w:rFonts w:ascii="宋体" w:hAnsi="宋体" w:cs="宋体" w:eastAsia="宋体" w:hint="default"/>
                <w:sz w:val="18"/>
                <w:szCs w:val="18"/>
              </w:rPr>
            </w:pPr>
            <w:r>
              <w:rPr>
                <w:rFonts w:ascii="宋体" w:hAnsi="宋体" w:cs="宋体" w:eastAsia="宋体" w:hint="default"/>
                <w:sz w:val="18"/>
                <w:szCs w:val="18"/>
              </w:rPr>
              <w:t>北京久其移动商务科技有限公 司</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共享服务费</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79,245.28</w:t>
            </w:r>
          </w:p>
        </w:tc>
        <w:tc>
          <w:tcPr>
            <w:tcW w:w="265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关联租赁情况" w:id="317"/>
      <w:bookmarkEnd w:id="317"/>
      <w:r>
        <w:rPr>
          <w:b w:val="0"/>
          <w:bCs w:val="0"/>
        </w:rPr>
      </w:r>
      <w:r>
        <w:rPr/>
        <w:t>（</w:t>
      </w:r>
      <w:r>
        <w:rPr>
          <w:rFonts w:ascii="Times New Roman" w:hAnsi="Times New Roman" w:cs="Times New Roman" w:eastAsia="Times New Roman" w:hint="default"/>
        </w:rPr>
        <w:t>2</w:t>
      </w:r>
      <w:r>
        <w:rPr/>
        <w:t>）关联租赁情况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本公司作为出租方：</w:t>
      </w:r>
    </w:p>
    <w:p>
      <w:pPr>
        <w:pStyle w:val="BodyText"/>
        <w:spacing w:line="240" w:lineRule="auto" w:before="116"/>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71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95"/>
              <w:jc w:val="left"/>
              <w:rPr>
                <w:rFonts w:ascii="宋体" w:hAnsi="宋体" w:cs="宋体" w:eastAsia="宋体" w:hint="default"/>
                <w:sz w:val="18"/>
                <w:szCs w:val="18"/>
              </w:rPr>
            </w:pPr>
            <w:r>
              <w:rPr>
                <w:rFonts w:ascii="宋体" w:hAnsi="宋体" w:cs="宋体" w:eastAsia="宋体" w:hint="default"/>
                <w:sz w:val="18"/>
                <w:szCs w:val="18"/>
              </w:rPr>
              <w:t>北京久其移动商务科技有限 公司</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69,348.00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138,696.00</w:t>
            </w:r>
          </w:p>
        </w:tc>
      </w:tr>
      <w:tr>
        <w:trPr>
          <w:trHeight w:val="715"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5"/>
              <w:jc w:val="left"/>
              <w:rPr>
                <w:rFonts w:ascii="宋体" w:hAnsi="宋体" w:cs="宋体" w:eastAsia="宋体" w:hint="default"/>
                <w:sz w:val="18"/>
                <w:szCs w:val="18"/>
              </w:rPr>
            </w:pPr>
            <w:r>
              <w:rPr>
                <w:rFonts w:ascii="宋体" w:hAnsi="宋体" w:cs="宋体" w:eastAsia="宋体" w:hint="default"/>
                <w:sz w:val="18"/>
                <w:szCs w:val="18"/>
              </w:rPr>
              <w:t>北京久其移动商务科技有限 公司</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车辆</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66,308.00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3）关键管理人员报酬" w:id="318"/>
      <w:bookmarkEnd w:id="318"/>
      <w:r>
        <w:rPr>
          <w:b w:val="0"/>
          <w:bCs w:val="0"/>
        </w:rPr>
      </w:r>
      <w:r>
        <w:rPr/>
        <w:t>（</w:t>
      </w:r>
      <w:r>
        <w:rPr>
          <w:rFonts w:ascii="Times New Roman" w:hAnsi="Times New Roman" w:cs="Times New Roman" w:eastAsia="Times New Roman" w:hint="default"/>
        </w:rPr>
        <w:t>3</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5,345,477.49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4,580,006.44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其他关联交易" w:id="319"/>
      <w:bookmarkEnd w:id="319"/>
      <w:r>
        <w:rPr>
          <w:b w:val="0"/>
          <w:bCs w:val="0"/>
        </w:rPr>
      </w:r>
      <w:r>
        <w:rPr/>
        <w:t>（</w:t>
      </w:r>
      <w:r>
        <w:rPr>
          <w:rFonts w:ascii="Times New Roman" w:hAnsi="Times New Roman" w:cs="Times New Roman" w:eastAsia="Times New Roman" w:hint="default"/>
        </w:rPr>
        <w:t>4</w:t>
      </w:r>
      <w:r>
        <w:rPr/>
        <w:t>）其他关联交易</w:t>
      </w:r>
      <w:r>
        <w:rPr>
          <w:b w:val="0"/>
          <w:bCs w:val="0"/>
        </w:rPr>
      </w:r>
    </w:p>
    <w:p>
      <w:pPr>
        <w:spacing w:line="240" w:lineRule="auto" w:before="9"/>
        <w:rPr>
          <w:rFonts w:ascii="宋体" w:hAnsi="宋体" w:cs="宋体" w:eastAsia="宋体" w:hint="default"/>
          <w:b/>
          <w:bCs/>
          <w:sz w:val="25"/>
          <w:szCs w:val="25"/>
        </w:rPr>
      </w:pPr>
    </w:p>
    <w:tbl>
      <w:tblPr>
        <w:tblW w:w="0" w:type="auto"/>
        <w:jc w:val="left"/>
        <w:tblInd w:w="137" w:type="dxa"/>
        <w:tblLayout w:type="fixed"/>
        <w:tblCellMar>
          <w:top w:w="0" w:type="dxa"/>
          <w:left w:w="0" w:type="dxa"/>
          <w:bottom w:w="0" w:type="dxa"/>
          <w:right w:w="0" w:type="dxa"/>
        </w:tblCellMar>
        <w:tblLook w:val="01E0"/>
      </w:tblPr>
      <w:tblGrid>
        <w:gridCol w:w="3676"/>
        <w:gridCol w:w="2608"/>
        <w:gridCol w:w="1686"/>
        <w:gridCol w:w="1688"/>
      </w:tblGrid>
      <w:tr>
        <w:trPr>
          <w:trHeight w:val="347" w:hRule="exact"/>
        </w:trPr>
        <w:tc>
          <w:tcPr>
            <w:tcW w:w="367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60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1" w:lineRule="exact"/>
              <w:ind w:left="666" w:right="0"/>
              <w:jc w:val="left"/>
              <w:rPr>
                <w:rFonts w:ascii="宋体" w:hAnsi="宋体" w:cs="宋体" w:eastAsia="宋体" w:hint="default"/>
                <w:sz w:val="21"/>
                <w:szCs w:val="21"/>
              </w:rPr>
            </w:pPr>
            <w:r>
              <w:rPr>
                <w:rFonts w:ascii="宋体" w:hAnsi="宋体" w:cs="宋体" w:eastAsia="宋体" w:hint="default"/>
                <w:sz w:val="21"/>
                <w:szCs w:val="21"/>
              </w:rPr>
              <w:t>关联业务内容</w:t>
            </w:r>
          </w:p>
        </w:tc>
        <w:tc>
          <w:tcPr>
            <w:tcW w:w="168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1" w:lineRule="exact"/>
              <w:ind w:left="31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68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1" w:lineRule="exact"/>
              <w:ind w:left="31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47" w:hRule="exact"/>
        </w:trPr>
        <w:tc>
          <w:tcPr>
            <w:tcW w:w="3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北京久其移动商务科技有限公司</w:t>
            </w:r>
          </w:p>
        </w:tc>
        <w:tc>
          <w:tcPr>
            <w:tcW w:w="2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代收代缴网络宽带费</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11,320.75</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22,641.51</w:t>
            </w:r>
          </w:p>
        </w:tc>
      </w:tr>
      <w:tr>
        <w:trPr>
          <w:trHeight w:val="347" w:hRule="exact"/>
        </w:trPr>
        <w:tc>
          <w:tcPr>
            <w:tcW w:w="3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北京久其移动商务科技有限公司</w:t>
            </w:r>
          </w:p>
        </w:tc>
        <w:tc>
          <w:tcPr>
            <w:tcW w:w="2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代收代缴电费</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10,769.23</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21,538.47</w:t>
            </w:r>
          </w:p>
        </w:tc>
      </w:tr>
      <w:tr>
        <w:trPr>
          <w:trHeight w:val="348" w:hRule="exact"/>
        </w:trPr>
        <w:tc>
          <w:tcPr>
            <w:tcW w:w="3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北京久其移动商务科技有限公司</w:t>
            </w:r>
          </w:p>
        </w:tc>
        <w:tc>
          <w:tcPr>
            <w:tcW w:w="2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物业费</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3,114.00</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十三、承诺及或有事项" w:id="320"/>
      <w:bookmarkEnd w:id="320"/>
      <w:r>
        <w:rPr>
          <w:b w:val="0"/>
          <w:bCs w:val="0"/>
        </w:rPr>
      </w:r>
      <w:r>
        <w:rPr/>
        <w:t>十三、承诺及或有事项</w:t>
      </w:r>
      <w:r>
        <w:rPr>
          <w:b w:val="0"/>
          <w:bCs w:val="0"/>
        </w:rPr>
      </w:r>
    </w:p>
    <w:p>
      <w:pPr>
        <w:spacing w:line="240" w:lineRule="auto" w:before="8"/>
        <w:rPr>
          <w:rFonts w:ascii="宋体" w:hAnsi="宋体" w:cs="宋体" w:eastAsia="宋体" w:hint="default"/>
          <w:b/>
          <w:bCs/>
          <w:sz w:val="24"/>
          <w:szCs w:val="24"/>
        </w:rPr>
      </w:pPr>
    </w:p>
    <w:p>
      <w:pPr>
        <w:spacing w:line="547" w:lineRule="auto" w:before="0"/>
        <w:ind w:left="154" w:right="6432" w:firstLine="0"/>
        <w:jc w:val="left"/>
        <w:rPr>
          <w:rFonts w:ascii="宋体" w:hAnsi="宋体" w:cs="宋体" w:eastAsia="宋体" w:hint="default"/>
          <w:sz w:val="21"/>
          <w:szCs w:val="21"/>
        </w:rPr>
      </w:pPr>
      <w:bookmarkStart w:name="1、重要承诺事项" w:id="321"/>
      <w:bookmarkEnd w:id="321"/>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b/>
          <w:bCs/>
          <w:w w:val="99"/>
          <w:sz w:val="21"/>
          <w:szCs w:val="21"/>
        </w:rPr>
        <w:t> </w:t>
      </w:r>
      <w:r>
        <w:rPr>
          <w:rFonts w:ascii="宋体" w:hAnsi="宋体" w:cs="宋体" w:eastAsia="宋体" w:hint="default"/>
          <w:sz w:val="18"/>
          <w:szCs w:val="18"/>
        </w:rPr>
        <w:t>截至</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日，本公司无需要披露的承诺事项。 </w:t>
      </w:r>
      <w:bookmarkStart w:name="2、或有事项" w:id="322"/>
      <w:bookmarkEnd w:id="322"/>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、或有事项</w:t>
      </w:r>
      <w:r>
        <w:rPr>
          <w:rFonts w:ascii="宋体" w:hAnsi="宋体" w:cs="宋体" w:eastAsia="宋体" w:hint="default"/>
          <w:sz w:val="21"/>
          <w:szCs w:val="21"/>
        </w:rPr>
      </w:r>
    </w:p>
    <w:p>
      <w:pPr>
        <w:pStyle w:val="Heading3"/>
        <w:spacing w:line="240" w:lineRule="auto" w:before="25"/>
        <w:ind w:right="0"/>
        <w:jc w:val="left"/>
        <w:rPr>
          <w:b w:val="0"/>
          <w:bCs w:val="0"/>
        </w:rPr>
      </w:pPr>
      <w:bookmarkStart w:name="（1）资产负债表日存在的重要或有事项" w:id="323"/>
      <w:bookmarkEnd w:id="323"/>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日，本公司无需要披露的承诺事项。</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2）公司没有需要披露的重要或有事项，也应予以说明" w:id="324"/>
      <w:bookmarkEnd w:id="324"/>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公司不存在需要披露的重要或有事项。</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十四、资产负债表日后事项" w:id="325"/>
      <w:bookmarkEnd w:id="325"/>
      <w:r>
        <w:rPr>
          <w:b w:val="0"/>
          <w:bCs w:val="0"/>
        </w:rPr>
      </w:r>
      <w:r>
        <w:rPr/>
        <w:t>十四、资产负债表日后事项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7"/>
        </w:rPr>
        <w:t> </w:t>
      </w:r>
      <w:r>
        <w:rPr/>
        <w:t>年</w:t>
      </w:r>
      <w:r>
        <w:rPr>
          <w:spacing w:val="-37"/>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月</w:t>
      </w:r>
      <w:r>
        <w:rPr>
          <w:spacing w:val="-38"/>
        </w:rPr>
        <w:t> </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t>日，公司预披露公告了《关于</w:t>
      </w:r>
      <w:r>
        <w:rPr>
          <w:spacing w:val="-38"/>
        </w:rPr>
        <w:t> </w:t>
      </w:r>
      <w:r>
        <w:rPr>
          <w:rFonts w:ascii="Times New Roman" w:hAnsi="Times New Roman" w:cs="Times New Roman" w:eastAsia="Times New Roman" w:hint="default"/>
        </w:rPr>
        <w:t>2015</w:t>
      </w:r>
      <w:r>
        <w:rPr>
          <w:rFonts w:ascii="Times New Roman" w:hAnsi="Times New Roman" w:cs="Times New Roman" w:eastAsia="Times New Roman" w:hint="default"/>
          <w:spacing w:val="8"/>
        </w:rPr>
        <w:t> </w:t>
      </w:r>
      <w:r>
        <w:rPr/>
        <w:t>年度利润分配及资本公积转增股本预案的提议及承诺</w:t>
      </w:r>
      <w:r>
        <w:rPr>
          <w:spacing w:val="-90"/>
        </w:rPr>
        <w:t>》</w:t>
      </w:r>
      <w:r>
        <w:rPr/>
        <w:t>，具体预案为：以</w:t>
      </w:r>
    </w:p>
    <w:p>
      <w:pPr>
        <w:pStyle w:val="BodyText"/>
        <w:spacing w:line="240" w:lineRule="auto" w:before="63"/>
        <w:ind w:right="0"/>
        <w:jc w:val="left"/>
      </w:pPr>
      <w:r>
        <w:rPr/>
        <w:t>公司未来实施分配方案时股权登记日的总股本为基数</w:t>
      </w:r>
      <w:r>
        <w:rPr>
          <w:spacing w:val="-21"/>
        </w:rPr>
        <w:t>，</w:t>
      </w:r>
      <w:r>
        <w:rPr/>
        <w:t>向全体股东每</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股派发现金红利</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元人民</w:t>
      </w:r>
      <w:r>
        <w:rPr>
          <w:spacing w:val="-20"/>
        </w:rPr>
        <w:t>币</w:t>
      </w:r>
      <w:r>
        <w:rPr/>
        <w:t>（含税</w:t>
      </w:r>
      <w:r>
        <w:rPr>
          <w:spacing w:val="-90"/>
        </w:rPr>
        <w:t>）</w:t>
      </w:r>
      <w:r>
        <w:rPr>
          <w:spacing w:val="-21"/>
        </w:rPr>
        <w:t>；</w:t>
      </w:r>
      <w:r>
        <w:rPr/>
        <w:t>同时</w:t>
      </w:r>
      <w:r>
        <w:rPr>
          <w:spacing w:val="-21"/>
        </w:rPr>
        <w:t>，</w:t>
      </w:r>
      <w:r>
        <w:rPr/>
        <w:t>以资本</w:t>
      </w:r>
    </w:p>
    <w:p>
      <w:pPr>
        <w:pStyle w:val="BodyText"/>
        <w:spacing w:line="240" w:lineRule="auto" w:before="64"/>
        <w:ind w:right="0"/>
        <w:jc w:val="left"/>
      </w:pPr>
      <w:r>
        <w:rPr/>
        <w:t>公积金向全体股东每</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股转增</w:t>
      </w:r>
      <w:r>
        <w:rPr>
          <w:spacing w:val="-46"/>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股。</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十五、其他重要事项" w:id="326"/>
      <w:bookmarkEnd w:id="326"/>
      <w:r>
        <w:rPr>
          <w:b w:val="0"/>
          <w:bCs w:val="0"/>
        </w:rPr>
      </w:r>
      <w:r>
        <w:rPr/>
        <w:t>十五、其他重要事项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公司于</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日召</w:t>
      </w:r>
      <w:r>
        <w:rPr>
          <w:spacing w:val="1"/>
        </w:rPr>
        <w:t>开</w:t>
      </w:r>
      <w:r>
        <w:rPr/>
        <w:t>的</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年第</w:t>
      </w:r>
      <w:r>
        <w:rPr>
          <w:spacing w:val="1"/>
        </w:rPr>
        <w:t>三</w:t>
      </w:r>
      <w:r>
        <w:rPr/>
        <w:t>次临时股东大会审议通过了公</w:t>
      </w:r>
      <w:r>
        <w:rPr>
          <w:spacing w:val="-13"/>
        </w:rPr>
        <w:t>司</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年员工持股计</w:t>
      </w:r>
      <w:r>
        <w:rPr>
          <w:spacing w:val="-13"/>
        </w:rPr>
        <w:t>划</w:t>
      </w:r>
      <w:r>
        <w:rPr/>
        <w:t>（草案</w:t>
      </w:r>
      <w:r>
        <w:rPr>
          <w:spacing w:val="-90"/>
        </w:rPr>
        <w:t>）</w:t>
      </w:r>
      <w:r>
        <w:rPr>
          <w:spacing w:val="-13"/>
        </w:rPr>
        <w:t>》</w:t>
      </w:r>
      <w:r>
        <w:rPr/>
        <w:t>及</w:t>
      </w:r>
      <w:r>
        <w:rPr>
          <w:spacing w:val="-2"/>
        </w:rPr>
        <w:t>相</w:t>
      </w:r>
      <w:r>
        <w:rPr/>
        <w:t>关议</w:t>
      </w:r>
      <w:r>
        <w:rPr>
          <w:spacing w:val="1"/>
        </w:rPr>
        <w:t>案</w:t>
      </w:r>
      <w:r>
        <w:rPr/>
        <w:t>，</w:t>
      </w:r>
    </w:p>
    <w:p>
      <w:pPr>
        <w:pStyle w:val="BodyText"/>
        <w:spacing w:line="302" w:lineRule="auto" w:before="63"/>
        <w:ind w:right="0"/>
        <w:jc w:val="left"/>
      </w:pPr>
      <w:r>
        <w:rPr/>
        <w:t>同意公司实施本次员工持股计划，并委托财通证券资产管理有限公司设立</w:t>
      </w:r>
      <w:r>
        <w:rPr>
          <w:rFonts w:ascii="Times New Roman" w:hAnsi="Times New Roman" w:cs="Times New Roman" w:eastAsia="Times New Roman" w:hint="default"/>
        </w:rPr>
        <w:t>“</w:t>
      </w:r>
      <w:r>
        <w:rPr/>
        <w:t>财通证券资管久其财富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t>号集合资产管理计划</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进行管理，通过二级市场购买的方式取得并持有本公司股票。</w:t>
      </w:r>
    </w:p>
    <w:p>
      <w:pPr>
        <w:pStyle w:val="BodyText"/>
        <w:spacing w:line="240" w:lineRule="auto" w:before="69"/>
        <w:ind w:right="0"/>
        <w:jc w:val="left"/>
      </w:pPr>
      <w:r>
        <w:rPr/>
        <w:t>公司</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年员工持股计划的具体内容如下：</w:t>
      </w:r>
    </w:p>
    <w:p>
      <w:pPr>
        <w:pStyle w:val="BodyText"/>
        <w:spacing w:line="240" w:lineRule="auto" w:before="101"/>
        <w:ind w:right="0"/>
        <w:jc w:val="left"/>
      </w:pPr>
      <w:r>
        <w:rPr/>
        <w:t>公司</w:t>
      </w:r>
      <w:r>
        <w:rPr>
          <w:spacing w:val="-49"/>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年员工持股计划总额为</w:t>
      </w:r>
      <w:r>
        <w:rPr>
          <w:spacing w:val="-49"/>
        </w:rPr>
        <w:t> </w:t>
      </w:r>
      <w:r>
        <w:rPr>
          <w:rFonts w:ascii="Times New Roman" w:hAnsi="Times New Roman" w:cs="Times New Roman" w:eastAsia="Times New Roman" w:hint="default"/>
        </w:rPr>
        <w:t>10,050</w:t>
      </w:r>
      <w:r>
        <w:rPr>
          <w:rFonts w:ascii="Times New Roman" w:hAnsi="Times New Roman" w:cs="Times New Roman" w:eastAsia="Times New Roman" w:hint="default"/>
          <w:spacing w:val="-4"/>
        </w:rPr>
        <w:t> </w:t>
      </w:r>
      <w:r>
        <w:rPr/>
        <w:t>万元。截止到</w:t>
      </w:r>
      <w:r>
        <w:rPr>
          <w:spacing w:val="-49"/>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日，本员工持股计划（财通证券资管久其财富</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号集</w:t>
      </w:r>
    </w:p>
    <w:p>
      <w:pPr>
        <w:pStyle w:val="BodyText"/>
        <w:spacing w:line="240" w:lineRule="auto" w:before="63"/>
        <w:ind w:right="0"/>
        <w:jc w:val="left"/>
      </w:pPr>
      <w:r>
        <w:rPr/>
        <w:t>合资产管理计划）已完成公司股票的购买，通过深圳证券交易所交易系统累计购买公司股票</w:t>
      </w:r>
      <w:r>
        <w:rPr>
          <w:spacing w:val="-41"/>
        </w:rPr>
        <w:t> </w:t>
      </w:r>
      <w:r>
        <w:rPr>
          <w:rFonts w:ascii="Times New Roman" w:hAnsi="Times New Roman" w:cs="Times New Roman" w:eastAsia="Times New Roman" w:hint="default"/>
        </w:rPr>
        <w:t>2,061,369</w:t>
      </w:r>
      <w:r>
        <w:rPr>
          <w:rFonts w:ascii="Times New Roman" w:hAnsi="Times New Roman" w:cs="Times New Roman" w:eastAsia="Times New Roman" w:hint="default"/>
          <w:spacing w:val="3"/>
        </w:rPr>
        <w:t> </w:t>
      </w:r>
      <w:r>
        <w:rPr/>
        <w:t>股，占公司截至报告</w:t>
      </w:r>
    </w:p>
    <w:p>
      <w:pPr>
        <w:spacing w:after="0" w:line="240" w:lineRule="auto"/>
        <w:jc w:val="left"/>
        <w:sectPr>
          <w:pgSz w:w="11910" w:h="16840"/>
          <w:pgMar w:header="87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期末总股本比例为</w:t>
      </w:r>
      <w:r>
        <w:rPr>
          <w:spacing w:val="-47"/>
        </w:rPr>
        <w:t> </w:t>
      </w:r>
      <w:r>
        <w:rPr>
          <w:rFonts w:ascii="Times New Roman" w:hAnsi="Times New Roman" w:cs="Times New Roman" w:eastAsia="Times New Roman" w:hint="default"/>
        </w:rPr>
        <w:t>0.9517%</w:t>
      </w:r>
      <w:r>
        <w:rPr/>
        <w:t>，成交均价约为</w:t>
      </w:r>
      <w:r>
        <w:rPr>
          <w:spacing w:val="-47"/>
        </w:rPr>
        <w:t> </w:t>
      </w:r>
      <w:r>
        <w:rPr>
          <w:rFonts w:ascii="Times New Roman" w:hAnsi="Times New Roman" w:cs="Times New Roman" w:eastAsia="Times New Roman" w:hint="default"/>
        </w:rPr>
        <w:t>47.89</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股，成交金额为</w:t>
      </w:r>
      <w:r>
        <w:rPr>
          <w:spacing w:val="-47"/>
        </w:rPr>
        <w:t> </w:t>
      </w:r>
      <w:r>
        <w:rPr>
          <w:rFonts w:ascii="Times New Roman" w:hAnsi="Times New Roman" w:cs="Times New Roman" w:eastAsia="Times New Roman" w:hint="default"/>
        </w:rPr>
        <w:t>98,712,492.59</w:t>
      </w:r>
      <w:r>
        <w:rPr>
          <w:rFonts w:ascii="Times New Roman" w:hAnsi="Times New Roman" w:cs="Times New Roman" w:eastAsia="Times New Roman" w:hint="default"/>
          <w:spacing w:val="-1"/>
        </w:rPr>
        <w:t> </w:t>
      </w:r>
      <w:r>
        <w:rPr/>
        <w:t>元，剩余资金留作备付资金。</w:t>
      </w:r>
    </w:p>
    <w:p>
      <w:pPr>
        <w:pStyle w:val="BodyText"/>
        <w:spacing w:line="240" w:lineRule="auto" w:before="102"/>
        <w:ind w:right="0"/>
        <w:jc w:val="left"/>
      </w:pPr>
      <w:r>
        <w:rPr/>
        <w:t>本次员工持股计划已完成公司股票的购买，该计划所购买的公司股票锁定期为自</w:t>
      </w:r>
      <w:r>
        <w:rPr>
          <w:spacing w:val="-4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日起</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个月。</w:t>
      </w:r>
    </w:p>
    <w:p>
      <w:pPr>
        <w:spacing w:line="240" w:lineRule="auto" w:before="0"/>
        <w:rPr>
          <w:rFonts w:ascii="宋体" w:hAnsi="宋体" w:cs="宋体" w:eastAsia="宋体" w:hint="default"/>
          <w:sz w:val="24"/>
          <w:szCs w:val="24"/>
        </w:rPr>
      </w:pPr>
    </w:p>
    <w:p>
      <w:pPr>
        <w:pStyle w:val="Heading2"/>
        <w:spacing w:line="240" w:lineRule="auto"/>
        <w:ind w:left="154" w:right="0"/>
        <w:jc w:val="left"/>
        <w:rPr>
          <w:b w:val="0"/>
          <w:bCs w:val="0"/>
        </w:rPr>
      </w:pPr>
      <w:bookmarkStart w:name="十六、母公司财务报表主要项目注释" w:id="327"/>
      <w:bookmarkEnd w:id="327"/>
      <w:r>
        <w:rPr>
          <w:b w:val="0"/>
          <w:bCs w:val="0"/>
        </w:rPr>
      </w:r>
      <w:r>
        <w:rPr/>
        <w:t>十六、母公司财务报表主要项目注释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应收账款" w:id="328"/>
      <w:bookmarkEnd w:id="328"/>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账款分类披露" w:id="329"/>
      <w:bookmarkEnd w:id="329"/>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854"/>
        <w:gridCol w:w="746"/>
        <w:gridCol w:w="702"/>
        <w:gridCol w:w="1000"/>
        <w:gridCol w:w="702"/>
        <w:gridCol w:w="1092"/>
        <w:gridCol w:w="1092"/>
        <w:gridCol w:w="702"/>
        <w:gridCol w:w="1001"/>
        <w:gridCol w:w="702"/>
        <w:gridCol w:w="1090"/>
      </w:tblGrid>
      <w:tr>
        <w:trPr>
          <w:trHeight w:val="397" w:hRule="exact"/>
        </w:trPr>
        <w:tc>
          <w:tcPr>
            <w:tcW w:w="854" w:type="dxa"/>
            <w:vMerge w:val="restart"/>
            <w:tcBorders>
              <w:top w:val="single" w:sz="4" w:space="0" w:color="000000"/>
              <w:left w:val="single" w:sz="4" w:space="0" w:color="000000"/>
              <w:right w:val="single" w:sz="4" w:space="0" w:color="000000"/>
            </w:tcBorders>
            <w:shd w:val="clear" w:color="auto" w:fill="D2D2D2"/>
          </w:tcPr>
          <w:p>
            <w:pPr/>
          </w:p>
        </w:tc>
        <w:tc>
          <w:tcPr>
            <w:tcW w:w="424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58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854" w:type="dxa"/>
            <w:vMerge/>
            <w:tcBorders>
              <w:left w:val="single" w:sz="4" w:space="0" w:color="000000"/>
              <w:bottom w:val="nil" w:sz="6" w:space="0" w:color="auto"/>
              <w:right w:val="single" w:sz="4" w:space="0" w:color="000000"/>
            </w:tcBorders>
            <w:shd w:val="clear" w:color="auto" w:fill="D2D2D2"/>
          </w:tcPr>
          <w:p>
            <w:pPr/>
          </w:p>
        </w:tc>
        <w:tc>
          <w:tcPr>
            <w:tcW w:w="14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0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8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92" w:type="dxa"/>
            <w:vMerge w:val="restart"/>
            <w:tcBorders>
              <w:top w:val="single" w:sz="4" w:space="0" w:color="000000"/>
              <w:left w:val="single" w:sz="4" w:space="0" w:color="000000"/>
              <w:right w:val="single" w:sz="4" w:space="0" w:color="000000"/>
            </w:tcBorders>
            <w:shd w:val="clear" w:color="auto" w:fill="D2D2D2"/>
          </w:tcPr>
          <w:p>
            <w:pPr/>
          </w:p>
        </w:tc>
        <w:tc>
          <w:tcPr>
            <w:tcW w:w="179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0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8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90"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8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1"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1448" w:type="dxa"/>
            <w:gridSpan w:val="2"/>
            <w:vMerge/>
            <w:tcBorders>
              <w:left w:val="single" w:sz="4" w:space="0" w:color="000000"/>
              <w:bottom w:val="single" w:sz="4" w:space="0" w:color="000000"/>
              <w:right w:val="single" w:sz="4" w:space="0" w:color="000000"/>
            </w:tcBorders>
            <w:shd w:val="clear" w:color="auto" w:fill="D2D2D2"/>
          </w:tcPr>
          <w:p>
            <w:pPr/>
          </w:p>
        </w:tc>
        <w:tc>
          <w:tcPr>
            <w:tcW w:w="1702" w:type="dxa"/>
            <w:gridSpan w:val="2"/>
            <w:vMerge/>
            <w:tcBorders>
              <w:left w:val="single" w:sz="4" w:space="0" w:color="000000"/>
              <w:bottom w:val="single" w:sz="4" w:space="0" w:color="000000"/>
              <w:right w:val="single" w:sz="4" w:space="0" w:color="000000"/>
            </w:tcBorders>
            <w:shd w:val="clear" w:color="auto" w:fill="D2D2D2"/>
          </w:tcPr>
          <w:p>
            <w:pPr/>
          </w:p>
        </w:tc>
        <w:tc>
          <w:tcPr>
            <w:tcW w:w="1092" w:type="dxa"/>
            <w:vMerge/>
            <w:tcBorders>
              <w:left w:val="single" w:sz="4" w:space="0" w:color="000000"/>
              <w:bottom w:val="nil" w:sz="6" w:space="0" w:color="auto"/>
              <w:right w:val="single" w:sz="4" w:space="0" w:color="000000"/>
            </w:tcBorders>
            <w:shd w:val="clear" w:color="auto" w:fill="D2D2D2"/>
          </w:tcPr>
          <w:p>
            <w:pPr/>
          </w:p>
        </w:tc>
        <w:tc>
          <w:tcPr>
            <w:tcW w:w="1794" w:type="dxa"/>
            <w:gridSpan w:val="2"/>
            <w:vMerge/>
            <w:tcBorders>
              <w:left w:val="single" w:sz="4" w:space="0" w:color="000000"/>
              <w:bottom w:val="single" w:sz="4" w:space="0" w:color="000000"/>
              <w:right w:val="single" w:sz="4" w:space="0" w:color="000000"/>
            </w:tcBorders>
            <w:shd w:val="clear" w:color="auto" w:fill="D2D2D2"/>
          </w:tcPr>
          <w:p>
            <w:pPr/>
          </w:p>
        </w:tc>
        <w:tc>
          <w:tcPr>
            <w:tcW w:w="1703" w:type="dxa"/>
            <w:gridSpan w:val="2"/>
            <w:vMerge/>
            <w:tcBorders>
              <w:left w:val="single" w:sz="4" w:space="0" w:color="000000"/>
              <w:bottom w:val="single" w:sz="4" w:space="0" w:color="000000"/>
              <w:right w:val="single" w:sz="4" w:space="0" w:color="000000"/>
            </w:tcBorders>
            <w:shd w:val="clear" w:color="auto" w:fill="D2D2D2"/>
          </w:tcPr>
          <w:p>
            <w:pPr/>
          </w:p>
        </w:tc>
        <w:tc>
          <w:tcPr>
            <w:tcW w:w="1090"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854" w:type="dxa"/>
            <w:vMerge/>
            <w:tcBorders>
              <w:left w:val="single" w:sz="4" w:space="0" w:color="000000"/>
              <w:bottom w:val="nil" w:sz="6" w:space="0" w:color="auto"/>
              <w:right w:val="single" w:sz="4" w:space="0" w:color="000000"/>
            </w:tcBorders>
            <w:shd w:val="clear" w:color="auto" w:fill="D2D2D2"/>
          </w:tcPr>
          <w:p>
            <w:pPr/>
          </w:p>
        </w:tc>
        <w:tc>
          <w:tcPr>
            <w:tcW w:w="74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56" w:right="7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0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8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9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70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55" w:right="7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0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8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1" w:hRule="exact"/>
        </w:trPr>
        <w:tc>
          <w:tcPr>
            <w:tcW w:w="854" w:type="dxa"/>
            <w:vMerge w:val="restart"/>
            <w:tcBorders>
              <w:top w:val="nil" w:sz="6" w:space="0" w:color="auto"/>
              <w:left w:val="single" w:sz="4" w:space="0" w:color="000000"/>
              <w:right w:val="single" w:sz="4" w:space="0" w:color="000000"/>
            </w:tcBorders>
            <w:shd w:val="clear" w:color="auto" w:fill="D2D2D2"/>
          </w:tcPr>
          <w:p>
            <w:pPr/>
          </w:p>
        </w:tc>
        <w:tc>
          <w:tcPr>
            <w:tcW w:w="7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02" w:type="dxa"/>
            <w:vMerge/>
            <w:tcBorders>
              <w:left w:val="single" w:sz="4" w:space="0" w:color="000000"/>
              <w:right w:val="single" w:sz="4" w:space="0" w:color="000000"/>
            </w:tcBorders>
            <w:shd w:val="clear" w:color="auto" w:fill="D2D2D2"/>
          </w:tcPr>
          <w:p>
            <w:pPr/>
          </w:p>
        </w:tc>
        <w:tc>
          <w:tcPr>
            <w:tcW w:w="1092" w:type="dxa"/>
            <w:vMerge/>
            <w:tcBorders>
              <w:left w:val="single" w:sz="4" w:space="0" w:color="000000"/>
              <w:bottom w:val="nil" w:sz="6" w:space="0" w:color="auto"/>
              <w:right w:val="single" w:sz="4" w:space="0" w:color="000000"/>
            </w:tcBorders>
            <w:shd w:val="clear" w:color="auto" w:fill="D2D2D2"/>
          </w:tcPr>
          <w:p>
            <w:pPr/>
          </w:p>
        </w:tc>
        <w:tc>
          <w:tcPr>
            <w:tcW w:w="10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02" w:type="dxa"/>
            <w:vMerge/>
            <w:tcBorders>
              <w:left w:val="single" w:sz="4" w:space="0" w:color="000000"/>
              <w:right w:val="single" w:sz="4" w:space="0" w:color="000000"/>
            </w:tcBorders>
            <w:shd w:val="clear" w:color="auto" w:fill="D2D2D2"/>
          </w:tcPr>
          <w:p>
            <w:pPr/>
          </w:p>
        </w:tc>
        <w:tc>
          <w:tcPr>
            <w:tcW w:w="1090"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854" w:type="dxa"/>
            <w:vMerge/>
            <w:tcBorders>
              <w:left w:val="single" w:sz="4" w:space="0" w:color="000000"/>
              <w:right w:val="single" w:sz="4" w:space="0" w:color="000000"/>
            </w:tcBorders>
            <w:shd w:val="clear" w:color="auto" w:fill="D2D2D2"/>
          </w:tcPr>
          <w:p>
            <w:pPr/>
          </w:p>
        </w:tc>
        <w:tc>
          <w:tcPr>
            <w:tcW w:w="746" w:type="dxa"/>
            <w:vMerge/>
            <w:tcBorders>
              <w:left w:val="single" w:sz="4" w:space="0" w:color="000000"/>
              <w:bottom w:val="nil" w:sz="6" w:space="0" w:color="auto"/>
              <w:right w:val="single" w:sz="4" w:space="0" w:color="000000"/>
            </w:tcBorders>
            <w:shd w:val="clear" w:color="auto" w:fill="D2D2D2"/>
          </w:tcPr>
          <w:p>
            <w:pPr/>
          </w:p>
        </w:tc>
        <w:tc>
          <w:tcPr>
            <w:tcW w:w="702" w:type="dxa"/>
            <w:vMerge/>
            <w:tcBorders>
              <w:left w:val="single" w:sz="4" w:space="0" w:color="000000"/>
              <w:bottom w:val="nil" w:sz="6" w:space="0" w:color="auto"/>
              <w:right w:val="single" w:sz="4" w:space="0" w:color="000000"/>
            </w:tcBorders>
            <w:shd w:val="clear" w:color="auto" w:fill="D2D2D2"/>
          </w:tcPr>
          <w:p>
            <w:pPr/>
          </w:p>
        </w:tc>
        <w:tc>
          <w:tcPr>
            <w:tcW w:w="1000" w:type="dxa"/>
            <w:vMerge/>
            <w:tcBorders>
              <w:left w:val="single" w:sz="4" w:space="0" w:color="000000"/>
              <w:bottom w:val="nil" w:sz="6" w:space="0" w:color="auto"/>
              <w:right w:val="single" w:sz="4" w:space="0" w:color="000000"/>
            </w:tcBorders>
            <w:shd w:val="clear" w:color="auto" w:fill="D2D2D2"/>
          </w:tcPr>
          <w:p>
            <w:pPr/>
          </w:p>
        </w:tc>
        <w:tc>
          <w:tcPr>
            <w:tcW w:w="702" w:type="dxa"/>
            <w:vMerge/>
            <w:tcBorders>
              <w:left w:val="single" w:sz="4" w:space="0" w:color="000000"/>
              <w:right w:val="single" w:sz="4" w:space="0" w:color="000000"/>
            </w:tcBorders>
            <w:shd w:val="clear" w:color="auto" w:fill="D2D2D2"/>
          </w:tcPr>
          <w:p>
            <w:pPr/>
          </w:p>
        </w:tc>
        <w:tc>
          <w:tcPr>
            <w:tcW w:w="1092" w:type="dxa"/>
            <w:vMerge w:val="restart"/>
            <w:tcBorders>
              <w:top w:val="nil" w:sz="6" w:space="0" w:color="auto"/>
              <w:left w:val="single" w:sz="4" w:space="0" w:color="000000"/>
              <w:right w:val="single" w:sz="4" w:space="0" w:color="000000"/>
            </w:tcBorders>
            <w:shd w:val="clear" w:color="auto" w:fill="D2D2D2"/>
          </w:tcPr>
          <w:p>
            <w:pPr/>
          </w:p>
        </w:tc>
        <w:tc>
          <w:tcPr>
            <w:tcW w:w="1092" w:type="dxa"/>
            <w:vMerge/>
            <w:tcBorders>
              <w:left w:val="single" w:sz="4" w:space="0" w:color="000000"/>
              <w:bottom w:val="nil" w:sz="6" w:space="0" w:color="auto"/>
              <w:right w:val="single" w:sz="4" w:space="0" w:color="000000"/>
            </w:tcBorders>
            <w:shd w:val="clear" w:color="auto" w:fill="D2D2D2"/>
          </w:tcPr>
          <w:p>
            <w:pPr/>
          </w:p>
        </w:tc>
        <w:tc>
          <w:tcPr>
            <w:tcW w:w="702" w:type="dxa"/>
            <w:vMerge/>
            <w:tcBorders>
              <w:left w:val="single" w:sz="4" w:space="0" w:color="000000"/>
              <w:bottom w:val="nil" w:sz="6" w:space="0" w:color="auto"/>
              <w:right w:val="single" w:sz="4" w:space="0" w:color="000000"/>
            </w:tcBorders>
            <w:shd w:val="clear" w:color="auto" w:fill="D2D2D2"/>
          </w:tcPr>
          <w:p>
            <w:pPr/>
          </w:p>
        </w:tc>
        <w:tc>
          <w:tcPr>
            <w:tcW w:w="1001" w:type="dxa"/>
            <w:vMerge/>
            <w:tcBorders>
              <w:left w:val="single" w:sz="4" w:space="0" w:color="000000"/>
              <w:bottom w:val="nil" w:sz="6" w:space="0" w:color="auto"/>
              <w:right w:val="single" w:sz="4" w:space="0" w:color="000000"/>
            </w:tcBorders>
            <w:shd w:val="clear" w:color="auto" w:fill="D2D2D2"/>
          </w:tcPr>
          <w:p>
            <w:pPr/>
          </w:p>
        </w:tc>
        <w:tc>
          <w:tcPr>
            <w:tcW w:w="702" w:type="dxa"/>
            <w:vMerge/>
            <w:tcBorders>
              <w:left w:val="single" w:sz="4" w:space="0" w:color="000000"/>
              <w:right w:val="single" w:sz="4" w:space="0" w:color="000000"/>
            </w:tcBorders>
            <w:shd w:val="clear" w:color="auto" w:fill="D2D2D2"/>
          </w:tcPr>
          <w:p>
            <w:pPr/>
          </w:p>
        </w:tc>
        <w:tc>
          <w:tcPr>
            <w:tcW w:w="1090"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854" w:type="dxa"/>
            <w:vMerge/>
            <w:tcBorders>
              <w:left w:val="single" w:sz="4" w:space="0" w:color="000000"/>
              <w:bottom w:val="single" w:sz="4" w:space="0" w:color="000000"/>
              <w:right w:val="single" w:sz="4" w:space="0" w:color="000000"/>
            </w:tcBorders>
            <w:shd w:val="clear" w:color="auto" w:fill="D2D2D2"/>
          </w:tcPr>
          <w:p>
            <w:pPr/>
          </w:p>
        </w:tc>
        <w:tc>
          <w:tcPr>
            <w:tcW w:w="746" w:type="dxa"/>
            <w:tcBorders>
              <w:top w:val="nil" w:sz="6" w:space="0" w:color="auto"/>
              <w:left w:val="single" w:sz="4" w:space="0" w:color="000000"/>
              <w:bottom w:val="single" w:sz="4" w:space="0" w:color="000000"/>
              <w:right w:val="single" w:sz="4" w:space="0" w:color="000000"/>
            </w:tcBorders>
            <w:shd w:val="clear" w:color="auto" w:fill="D2D2D2"/>
          </w:tcPr>
          <w:p>
            <w:pPr/>
          </w:p>
        </w:tc>
        <w:tc>
          <w:tcPr>
            <w:tcW w:w="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2" w:type="dxa"/>
            <w:vMerge/>
            <w:tcBorders>
              <w:left w:val="single" w:sz="4" w:space="0" w:color="000000"/>
              <w:bottom w:val="single" w:sz="4" w:space="0" w:color="000000"/>
              <w:right w:val="single" w:sz="4" w:space="0" w:color="000000"/>
            </w:tcBorders>
            <w:shd w:val="clear" w:color="auto" w:fill="D2D2D2"/>
          </w:tcPr>
          <w:p>
            <w:pPr/>
          </w:p>
        </w:tc>
        <w:tc>
          <w:tcPr>
            <w:tcW w:w="1092" w:type="dxa"/>
            <w:vMerge/>
            <w:tcBorders>
              <w:left w:val="single" w:sz="4" w:space="0" w:color="000000"/>
              <w:bottom w:val="single" w:sz="4" w:space="0" w:color="000000"/>
              <w:right w:val="single" w:sz="4" w:space="0" w:color="000000"/>
            </w:tcBorders>
            <w:shd w:val="clear" w:color="auto" w:fill="D2D2D2"/>
          </w:tcPr>
          <w:p>
            <w:pPr/>
          </w:p>
        </w:tc>
        <w:tc>
          <w:tcPr>
            <w:tcW w:w="1092" w:type="dxa"/>
            <w:tcBorders>
              <w:top w:val="nil" w:sz="6" w:space="0" w:color="auto"/>
              <w:left w:val="single" w:sz="4" w:space="0" w:color="000000"/>
              <w:bottom w:val="single" w:sz="4" w:space="0" w:color="000000"/>
              <w:right w:val="single" w:sz="4" w:space="0" w:color="000000"/>
            </w:tcBorders>
            <w:shd w:val="clear" w:color="auto" w:fill="D2D2D2"/>
          </w:tcPr>
          <w:p>
            <w:pPr/>
          </w:p>
        </w:tc>
        <w:tc>
          <w:tcPr>
            <w:tcW w:w="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702" w:type="dxa"/>
            <w:vMerge/>
            <w:tcBorders>
              <w:left w:val="single" w:sz="4" w:space="0" w:color="000000"/>
              <w:bottom w:val="single" w:sz="4" w:space="0" w:color="000000"/>
              <w:right w:val="single" w:sz="4" w:space="0" w:color="000000"/>
            </w:tcBorders>
            <w:shd w:val="clear" w:color="auto" w:fill="D2D2D2"/>
          </w:tcPr>
          <w:p>
            <w:pPr/>
          </w:p>
        </w:tc>
        <w:tc>
          <w:tcPr>
            <w:tcW w:w="1090" w:type="dxa"/>
            <w:vMerge/>
            <w:tcBorders>
              <w:left w:val="single" w:sz="4" w:space="0" w:color="000000"/>
              <w:bottom w:val="single" w:sz="4" w:space="0" w:color="000000"/>
              <w:right w:val="single" w:sz="4" w:space="0" w:color="000000"/>
            </w:tcBorders>
            <w:shd w:val="clear" w:color="auto" w:fill="D2D2D2"/>
          </w:tcPr>
          <w:p>
            <w:pPr/>
          </w:p>
        </w:tc>
      </w:tr>
      <w:tr>
        <w:trPr>
          <w:trHeight w:val="1650" w:hRule="exact"/>
        </w:trPr>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11"/>
              <w:jc w:val="both"/>
              <w:rPr>
                <w:rFonts w:ascii="宋体" w:hAnsi="宋体" w:cs="宋体" w:eastAsia="宋体" w:hint="default"/>
                <w:sz w:val="18"/>
                <w:szCs w:val="18"/>
              </w:rPr>
            </w:pPr>
            <w:r>
              <w:rPr>
                <w:rFonts w:ascii="宋体" w:hAnsi="宋体" w:cs="宋体" w:eastAsia="宋体" w:hint="default"/>
                <w:sz w:val="18"/>
                <w:szCs w:val="18"/>
              </w:rPr>
              <w:t>按信用风 险特征组 合计提坏 账准备的 应收账款</w:t>
            </w:r>
          </w:p>
        </w:tc>
        <w:tc>
          <w:tcPr>
            <w:tcW w:w="7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72,550,8</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30.88</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90" w:right="0"/>
              <w:jc w:val="center"/>
              <w:rPr>
                <w:rFonts w:ascii="Times New Roman" w:hAnsi="Times New Roman" w:cs="Times New Roman" w:eastAsia="Times New Roman" w:hint="default"/>
                <w:sz w:val="18"/>
                <w:szCs w:val="18"/>
              </w:rPr>
            </w:pPr>
            <w:r>
              <w:rPr>
                <w:rFonts w:ascii="Times New Roman"/>
                <w:sz w:val="18"/>
              </w:rPr>
              <w:t>97.77%</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1,611,230.65</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2.22%</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70,939,600.23</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57,590,282.84</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96.77%</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1,298,326.7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2.25%</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56,291,956.1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r>
      <w:tr>
        <w:trPr>
          <w:trHeight w:val="1962" w:hRule="exact"/>
        </w:trPr>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11"/>
              <w:jc w:val="both"/>
              <w:rPr>
                <w:rFonts w:ascii="宋体" w:hAnsi="宋体" w:cs="宋体" w:eastAsia="宋体" w:hint="default"/>
                <w:sz w:val="18"/>
                <w:szCs w:val="18"/>
              </w:rPr>
            </w:pPr>
            <w:r>
              <w:rPr>
                <w:rFonts w:ascii="宋体" w:hAnsi="宋体" w:cs="宋体" w:eastAsia="宋体" w:hint="default"/>
                <w:sz w:val="18"/>
                <w:szCs w:val="18"/>
              </w:rPr>
              <w:t>单项金额 不重大但 单独计提 坏账准备 的应收账 款</w:t>
            </w:r>
          </w:p>
        </w:tc>
        <w:tc>
          <w:tcPr>
            <w:tcW w:w="7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1,655,54</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4.00</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80" w:right="0"/>
              <w:jc w:val="center"/>
              <w:rPr>
                <w:rFonts w:ascii="Times New Roman" w:hAnsi="Times New Roman" w:cs="Times New Roman" w:eastAsia="Times New Roman" w:hint="default"/>
                <w:sz w:val="18"/>
                <w:szCs w:val="18"/>
              </w:rPr>
            </w:pPr>
            <w:r>
              <w:rPr>
                <w:rFonts w:ascii="Times New Roman"/>
                <w:sz w:val="18"/>
              </w:rPr>
              <w:t>2.23%</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1,655,544.0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1,920,044.00</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3.23%</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1,920,044.0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09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8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46" w:type="dxa"/>
            <w:vMerge w:val="restart"/>
            <w:tcBorders>
              <w:top w:val="single" w:sz="4" w:space="0" w:color="000000"/>
              <w:left w:val="single" w:sz="9" w:space="0" w:color="D2D2D2"/>
              <w:right w:val="single" w:sz="4" w:space="0" w:color="000000"/>
            </w:tcBorders>
          </w:tcPr>
          <w:p>
            <w:pPr>
              <w:pStyle w:val="TableParagraph"/>
              <w:spacing w:line="240" w:lineRule="auto" w:before="91"/>
              <w:ind w:left="77" w:right="0"/>
              <w:jc w:val="left"/>
              <w:rPr>
                <w:rFonts w:ascii="Times New Roman" w:hAnsi="Times New Roman" w:cs="Times New Roman" w:eastAsia="Times New Roman" w:hint="default"/>
                <w:sz w:val="18"/>
                <w:szCs w:val="18"/>
              </w:rPr>
            </w:pPr>
            <w:r>
              <w:rPr>
                <w:rFonts w:ascii="Times New Roman"/>
                <w:sz w:val="18"/>
              </w:rPr>
              <w:t>74,206,3</w:t>
            </w:r>
          </w:p>
          <w:p>
            <w:pPr>
              <w:pStyle w:val="TableParagraph"/>
              <w:spacing w:line="240" w:lineRule="auto" w:before="106"/>
              <w:ind w:left="303" w:right="0"/>
              <w:jc w:val="left"/>
              <w:rPr>
                <w:rFonts w:ascii="Times New Roman" w:hAnsi="Times New Roman" w:cs="Times New Roman" w:eastAsia="Times New Roman" w:hint="default"/>
                <w:sz w:val="18"/>
                <w:szCs w:val="18"/>
              </w:rPr>
            </w:pPr>
            <w:r>
              <w:rPr>
                <w:rFonts w:ascii="Times New Roman"/>
                <w:sz w:val="18"/>
              </w:rPr>
              <w:t>74.88</w:t>
            </w:r>
          </w:p>
        </w:tc>
        <w:tc>
          <w:tcPr>
            <w:tcW w:w="70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1000"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3,266,774.6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70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4.40%</w:t>
            </w:r>
          </w:p>
        </w:tc>
        <w:tc>
          <w:tcPr>
            <w:tcW w:w="10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70,939,600.23</w:t>
            </w:r>
          </w:p>
        </w:tc>
        <w:tc>
          <w:tcPr>
            <w:tcW w:w="10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59,510,326.84</w:t>
            </w:r>
          </w:p>
        </w:tc>
        <w:tc>
          <w:tcPr>
            <w:tcW w:w="70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100.00%</w:t>
            </w:r>
          </w:p>
        </w:tc>
        <w:tc>
          <w:tcPr>
            <w:tcW w:w="1001"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3,218,370.7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0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5.41%</w:t>
            </w:r>
          </w:p>
        </w:tc>
        <w:tc>
          <w:tcPr>
            <w:tcW w:w="1090"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56,291,956.1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r>
      <w:tr>
        <w:trPr>
          <w:trHeight w:val="392" w:hRule="exact"/>
        </w:trPr>
        <w:tc>
          <w:tcPr>
            <w:tcW w:w="8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46" w:type="dxa"/>
            <w:vMerge/>
            <w:tcBorders>
              <w:left w:val="single" w:sz="9" w:space="0" w:color="D2D2D2"/>
              <w:right w:val="single" w:sz="4" w:space="0" w:color="000000"/>
            </w:tcBorders>
          </w:tcPr>
          <w:p>
            <w:pPr/>
          </w:p>
        </w:tc>
        <w:tc>
          <w:tcPr>
            <w:tcW w:w="702" w:type="dxa"/>
            <w:vMerge/>
            <w:tcBorders>
              <w:left w:val="single" w:sz="4" w:space="0" w:color="000000"/>
              <w:right w:val="single" w:sz="4" w:space="0" w:color="000000"/>
            </w:tcBorders>
          </w:tcPr>
          <w:p>
            <w:pPr/>
          </w:p>
        </w:tc>
        <w:tc>
          <w:tcPr>
            <w:tcW w:w="1000" w:type="dxa"/>
            <w:vMerge/>
            <w:tcBorders>
              <w:left w:val="single" w:sz="4" w:space="0" w:color="000000"/>
              <w:right w:val="single" w:sz="4" w:space="0" w:color="000000"/>
            </w:tcBorders>
          </w:tcPr>
          <w:p>
            <w:pPr/>
          </w:p>
        </w:tc>
        <w:tc>
          <w:tcPr>
            <w:tcW w:w="702" w:type="dxa"/>
            <w:vMerge/>
            <w:tcBorders>
              <w:left w:val="single" w:sz="4" w:space="0" w:color="000000"/>
              <w:right w:val="single" w:sz="4" w:space="0" w:color="000000"/>
            </w:tcBorders>
          </w:tcPr>
          <w:p>
            <w:pPr/>
          </w:p>
        </w:tc>
        <w:tc>
          <w:tcPr>
            <w:tcW w:w="1092" w:type="dxa"/>
            <w:vMerge/>
            <w:tcBorders>
              <w:left w:val="single" w:sz="4" w:space="0" w:color="000000"/>
              <w:right w:val="single" w:sz="4" w:space="0" w:color="000000"/>
            </w:tcBorders>
          </w:tcPr>
          <w:p>
            <w:pPr/>
          </w:p>
        </w:tc>
        <w:tc>
          <w:tcPr>
            <w:tcW w:w="1092" w:type="dxa"/>
            <w:vMerge/>
            <w:tcBorders>
              <w:left w:val="single" w:sz="4" w:space="0" w:color="000000"/>
              <w:right w:val="single" w:sz="4" w:space="0" w:color="000000"/>
            </w:tcBorders>
          </w:tcPr>
          <w:p>
            <w:pPr/>
          </w:p>
        </w:tc>
        <w:tc>
          <w:tcPr>
            <w:tcW w:w="702"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702" w:type="dxa"/>
            <w:vMerge/>
            <w:tcBorders>
              <w:left w:val="single" w:sz="4" w:space="0" w:color="000000"/>
              <w:right w:val="single" w:sz="4" w:space="0" w:color="000000"/>
            </w:tcBorders>
          </w:tcPr>
          <w:p>
            <w:pPr/>
          </w:p>
        </w:tc>
        <w:tc>
          <w:tcPr>
            <w:tcW w:w="1090" w:type="dxa"/>
            <w:vMerge/>
            <w:tcBorders>
              <w:left w:val="single" w:sz="4" w:space="0" w:color="000000"/>
              <w:right w:val="single" w:sz="4" w:space="0" w:color="000000"/>
            </w:tcBorders>
          </w:tcPr>
          <w:p>
            <w:pPr/>
          </w:p>
        </w:tc>
      </w:tr>
      <w:tr>
        <w:trPr>
          <w:trHeight w:val="161" w:hRule="exact"/>
        </w:trPr>
        <w:tc>
          <w:tcPr>
            <w:tcW w:w="8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46" w:type="dxa"/>
            <w:vMerge/>
            <w:tcBorders>
              <w:left w:val="single" w:sz="9" w:space="0" w:color="D2D2D2"/>
              <w:bottom w:val="single" w:sz="4" w:space="0" w:color="000000"/>
              <w:right w:val="single" w:sz="4" w:space="0" w:color="000000"/>
            </w:tcBorders>
          </w:tcPr>
          <w:p>
            <w:pPr/>
          </w:p>
        </w:tc>
        <w:tc>
          <w:tcPr>
            <w:tcW w:w="702" w:type="dxa"/>
            <w:vMerge/>
            <w:tcBorders>
              <w:left w:val="single" w:sz="4" w:space="0" w:color="000000"/>
              <w:bottom w:val="single" w:sz="4" w:space="0" w:color="000000"/>
              <w:right w:val="single" w:sz="4" w:space="0" w:color="000000"/>
            </w:tcBorders>
          </w:tcPr>
          <w:p>
            <w:pPr/>
          </w:p>
        </w:tc>
        <w:tc>
          <w:tcPr>
            <w:tcW w:w="1000" w:type="dxa"/>
            <w:vMerge/>
            <w:tcBorders>
              <w:left w:val="single" w:sz="4" w:space="0" w:color="000000"/>
              <w:bottom w:val="single" w:sz="4" w:space="0" w:color="000000"/>
              <w:right w:val="single" w:sz="4" w:space="0" w:color="000000"/>
            </w:tcBorders>
          </w:tcPr>
          <w:p>
            <w:pPr/>
          </w:p>
        </w:tc>
        <w:tc>
          <w:tcPr>
            <w:tcW w:w="702" w:type="dxa"/>
            <w:vMerge/>
            <w:tcBorders>
              <w:left w:val="single" w:sz="4" w:space="0" w:color="000000"/>
              <w:bottom w:val="single" w:sz="4" w:space="0" w:color="000000"/>
              <w:right w:val="single" w:sz="4" w:space="0" w:color="000000"/>
            </w:tcBorders>
          </w:tcPr>
          <w:p>
            <w:pPr/>
          </w:p>
        </w:tc>
        <w:tc>
          <w:tcPr>
            <w:tcW w:w="1092" w:type="dxa"/>
            <w:vMerge/>
            <w:tcBorders>
              <w:left w:val="single" w:sz="4" w:space="0" w:color="000000"/>
              <w:bottom w:val="single" w:sz="4" w:space="0" w:color="000000"/>
              <w:right w:val="single" w:sz="4" w:space="0" w:color="000000"/>
            </w:tcBorders>
          </w:tcPr>
          <w:p>
            <w:pPr/>
          </w:p>
        </w:tc>
        <w:tc>
          <w:tcPr>
            <w:tcW w:w="1092" w:type="dxa"/>
            <w:vMerge/>
            <w:tcBorders>
              <w:left w:val="single" w:sz="4" w:space="0" w:color="000000"/>
              <w:bottom w:val="single" w:sz="4" w:space="0" w:color="000000"/>
              <w:right w:val="single" w:sz="4" w:space="0" w:color="000000"/>
            </w:tcBorders>
          </w:tcPr>
          <w:p>
            <w:pPr/>
          </w:p>
        </w:tc>
        <w:tc>
          <w:tcPr>
            <w:tcW w:w="702" w:type="dxa"/>
            <w:vMerge/>
            <w:tcBorders>
              <w:left w:val="single" w:sz="4" w:space="0" w:color="000000"/>
              <w:bottom w:val="single" w:sz="4" w:space="0" w:color="000000"/>
              <w:right w:val="single" w:sz="4" w:space="0" w:color="000000"/>
            </w:tcBorders>
          </w:tcPr>
          <w:p>
            <w:pPr/>
          </w:p>
        </w:tc>
        <w:tc>
          <w:tcPr>
            <w:tcW w:w="1001" w:type="dxa"/>
            <w:vMerge/>
            <w:tcBorders>
              <w:left w:val="single" w:sz="4" w:space="0" w:color="000000"/>
              <w:bottom w:val="single" w:sz="4" w:space="0" w:color="000000"/>
              <w:right w:val="single" w:sz="4" w:space="0" w:color="000000"/>
            </w:tcBorders>
          </w:tcPr>
          <w:p>
            <w:pPr/>
          </w:p>
        </w:tc>
        <w:tc>
          <w:tcPr>
            <w:tcW w:w="702" w:type="dxa"/>
            <w:vMerge/>
            <w:tcBorders>
              <w:left w:val="single" w:sz="4" w:space="0" w:color="000000"/>
              <w:bottom w:val="single" w:sz="4" w:space="0" w:color="000000"/>
              <w:right w:val="single" w:sz="4" w:space="0" w:color="000000"/>
            </w:tcBorders>
          </w:tcPr>
          <w:p>
            <w:pPr/>
          </w:p>
        </w:tc>
        <w:tc>
          <w:tcPr>
            <w:tcW w:w="1090"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pStyle w:val="BodyText"/>
        <w:spacing w:line="240" w:lineRule="auto" w:before="51"/>
        <w:ind w:left="154" w:right="-20"/>
        <w:jc w:val="left"/>
      </w:pPr>
      <w:r>
        <w:rPr/>
        <w:t>期末单项金额重大并单项计提坏账准备的应收账款：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3"/>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402"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56,611,990.88</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5,141,291.00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257,064.55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61,753,281.88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257,064.55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0.42%</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8,492,561.00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849,256.10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82"/>
        <w:gridCol w:w="2307"/>
        <w:gridCol w:w="2391"/>
        <w:gridCol w:w="2389"/>
      </w:tblGrid>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1,465,880.00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219,882.00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692,600.00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138,520.00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146,508.00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146,508.00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72,550,830.88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1,611,230.65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2.22%</w:t>
            </w:r>
          </w:p>
        </w:tc>
      </w:tr>
    </w:tbl>
    <w:p>
      <w:pPr>
        <w:pStyle w:val="BodyText"/>
        <w:spacing w:line="240" w:lineRule="auto" w:before="51"/>
        <w:ind w:left="154" w:right="0"/>
        <w:jc w:val="left"/>
      </w:pPr>
      <w:r>
        <w:rPr/>
        <w:t>组合中，采用余额百分比法计提坏账准备的应收账款：</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2"/>
        <w:rPr>
          <w:rFonts w:ascii="宋体" w:hAnsi="宋体" w:cs="宋体" w:eastAsia="宋体" w:hint="default"/>
          <w:sz w:val="21"/>
          <w:szCs w:val="21"/>
        </w:rPr>
      </w:pPr>
    </w:p>
    <w:p>
      <w:pPr>
        <w:pStyle w:val="Heading3"/>
        <w:spacing w:line="240" w:lineRule="auto"/>
        <w:ind w:left="153" w:right="0"/>
        <w:jc w:val="left"/>
        <w:rPr>
          <w:b w:val="0"/>
          <w:bCs w:val="0"/>
        </w:rPr>
      </w:pPr>
      <w:bookmarkStart w:name="（2）本期计提、收回或转回的坏账准备情况" w:id="330"/>
      <w:bookmarkEnd w:id="330"/>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本期计提坏账准备金额</w:t>
      </w:r>
      <w:r>
        <w:rPr>
          <w:spacing w:val="-46"/>
        </w:rPr>
        <w:t> </w:t>
      </w:r>
      <w:r>
        <w:rPr>
          <w:rFonts w:ascii="Times New Roman" w:hAnsi="Times New Roman" w:cs="Times New Roman" w:eastAsia="Times New Roman" w:hint="default"/>
        </w:rPr>
        <w:t>48,403.95</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3）按欠款方归集的期末余额前五名的应收账款情况" w:id="331"/>
      <w:bookmarkEnd w:id="331"/>
      <w:r>
        <w:rPr>
          <w:b w:val="0"/>
          <w:bCs w:val="0"/>
        </w:rPr>
      </w: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12"/>
        <w:rPr>
          <w:rFonts w:ascii="宋体" w:hAnsi="宋体" w:cs="宋体" w:eastAsia="宋体" w:hint="default"/>
          <w:b/>
          <w:bCs/>
          <w:sz w:val="26"/>
          <w:szCs w:val="26"/>
        </w:rPr>
      </w:pPr>
    </w:p>
    <w:tbl>
      <w:tblPr>
        <w:tblW w:w="0" w:type="auto"/>
        <w:jc w:val="left"/>
        <w:tblInd w:w="141" w:type="dxa"/>
        <w:tblLayout w:type="fixed"/>
        <w:tblCellMar>
          <w:top w:w="0" w:type="dxa"/>
          <w:left w:w="0" w:type="dxa"/>
          <w:bottom w:w="0" w:type="dxa"/>
          <w:right w:w="0" w:type="dxa"/>
        </w:tblCellMar>
        <w:tblLook w:val="01E0"/>
      </w:tblPr>
      <w:tblGrid>
        <w:gridCol w:w="3300"/>
        <w:gridCol w:w="2471"/>
        <w:gridCol w:w="2115"/>
        <w:gridCol w:w="1771"/>
      </w:tblGrid>
      <w:tr>
        <w:trPr>
          <w:trHeight w:val="352" w:hRule="exact"/>
        </w:trPr>
        <w:tc>
          <w:tcPr>
            <w:tcW w:w="3300"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8"/>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6357"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669" w:hRule="exact"/>
        </w:trPr>
        <w:tc>
          <w:tcPr>
            <w:tcW w:w="3300" w:type="dxa"/>
            <w:vMerge/>
            <w:tcBorders>
              <w:left w:val="single" w:sz="4" w:space="0" w:color="000000"/>
              <w:bottom w:val="single" w:sz="4" w:space="0" w:color="000000"/>
              <w:right w:val="single" w:sz="4" w:space="0" w:color="000000"/>
            </w:tcBorders>
            <w:shd w:val="clear" w:color="auto" w:fill="D9D9D9"/>
          </w:tcPr>
          <w:p>
            <w:pPr/>
          </w:p>
        </w:tc>
        <w:tc>
          <w:tcPr>
            <w:tcW w:w="24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11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5"/>
              <w:ind w:right="0"/>
              <w:jc w:val="center"/>
              <w:rPr>
                <w:rFonts w:ascii="宋体" w:hAnsi="宋体" w:cs="宋体" w:eastAsia="宋体" w:hint="default"/>
                <w:sz w:val="18"/>
                <w:szCs w:val="18"/>
              </w:rPr>
            </w:pPr>
            <w:r>
              <w:rPr>
                <w:rFonts w:ascii="宋体" w:hAnsi="宋体" w:cs="宋体" w:eastAsia="宋体" w:hint="default"/>
                <w:sz w:val="18"/>
                <w:szCs w:val="18"/>
              </w:rPr>
              <w:t>占应收账款合计数的比例</w:t>
            </w:r>
          </w:p>
          <w:p>
            <w:pPr>
              <w:pStyle w:val="TableParagraph"/>
              <w:spacing w:line="240" w:lineRule="auto" w:before="116"/>
              <w:ind w:right="1"/>
              <w:jc w:val="center"/>
              <w:rPr>
                <w:rFonts w:ascii="Times New Roman" w:hAnsi="Times New Roman" w:cs="Times New Roman" w:eastAsia="Times New Roman" w:hint="default"/>
                <w:sz w:val="18"/>
                <w:szCs w:val="18"/>
              </w:rPr>
            </w:pPr>
            <w:r>
              <w:rPr>
                <w:rFonts w:ascii="Times New Roman"/>
                <w:sz w:val="18"/>
              </w:rPr>
              <w:t>(%)</w:t>
            </w:r>
          </w:p>
        </w:tc>
        <w:tc>
          <w:tcPr>
            <w:tcW w:w="17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52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21" w:hRule="exact"/>
        </w:trPr>
        <w:tc>
          <w:tcPr>
            <w:tcW w:w="33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471"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9,007,600.00</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12.14</w:t>
            </w: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22" w:hRule="exact"/>
        </w:trPr>
        <w:tc>
          <w:tcPr>
            <w:tcW w:w="33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471"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2,523,000.00</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3.40</w:t>
            </w: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23" w:hRule="exact"/>
        </w:trPr>
        <w:tc>
          <w:tcPr>
            <w:tcW w:w="33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471"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2,320,000.00</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3.13</w:t>
            </w: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21" w:hRule="exact"/>
        </w:trPr>
        <w:tc>
          <w:tcPr>
            <w:tcW w:w="33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471"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2,020,000.00</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2.72</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38,400.00</w:t>
            </w:r>
          </w:p>
        </w:tc>
      </w:tr>
      <w:tr>
        <w:trPr>
          <w:trHeight w:val="422" w:hRule="exact"/>
        </w:trPr>
        <w:tc>
          <w:tcPr>
            <w:tcW w:w="33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471"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1,950,200.00</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2.63</w:t>
            </w: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22" w:hRule="exact"/>
        </w:trPr>
        <w:tc>
          <w:tcPr>
            <w:tcW w:w="33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71"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17,820,800.00</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24.02</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38,400.00</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其他应收款" w:id="332"/>
      <w:bookmarkEnd w:id="332"/>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分类披露" w:id="333"/>
      <w:bookmarkEnd w:id="333"/>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890"/>
        <w:gridCol w:w="1092"/>
        <w:gridCol w:w="701"/>
        <w:gridCol w:w="1001"/>
        <w:gridCol w:w="521"/>
        <w:gridCol w:w="1091"/>
        <w:gridCol w:w="1085"/>
        <w:gridCol w:w="702"/>
        <w:gridCol w:w="1001"/>
        <w:gridCol w:w="521"/>
        <w:gridCol w:w="1091"/>
      </w:tblGrid>
      <w:tr>
        <w:trPr>
          <w:trHeight w:val="397" w:hRule="exact"/>
        </w:trPr>
        <w:tc>
          <w:tcPr>
            <w:tcW w:w="890" w:type="dxa"/>
            <w:vMerge w:val="restart"/>
            <w:tcBorders>
              <w:top w:val="single" w:sz="4" w:space="0" w:color="000000"/>
              <w:left w:val="single" w:sz="4" w:space="0" w:color="000000"/>
              <w:right w:val="single" w:sz="4" w:space="0" w:color="000000"/>
            </w:tcBorders>
            <w:shd w:val="clear" w:color="auto" w:fill="D2D2D2"/>
          </w:tcPr>
          <w:p>
            <w:pPr/>
          </w:p>
        </w:tc>
        <w:tc>
          <w:tcPr>
            <w:tcW w:w="440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0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890" w:type="dxa"/>
            <w:vMerge/>
            <w:tcBorders>
              <w:left w:val="single" w:sz="4" w:space="0" w:color="000000"/>
              <w:bottom w:val="nil" w:sz="6" w:space="0" w:color="auto"/>
              <w:right w:val="single" w:sz="4" w:space="0" w:color="000000"/>
            </w:tcBorders>
            <w:shd w:val="clear" w:color="auto" w:fill="D2D2D2"/>
          </w:tcPr>
          <w:p>
            <w:pPr/>
          </w:p>
        </w:tc>
        <w:tc>
          <w:tcPr>
            <w:tcW w:w="179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91" w:type="dxa"/>
            <w:vMerge w:val="restart"/>
            <w:tcBorders>
              <w:top w:val="single" w:sz="4" w:space="0" w:color="000000"/>
              <w:left w:val="single" w:sz="4" w:space="0" w:color="000000"/>
              <w:right w:val="single" w:sz="4" w:space="0" w:color="000000"/>
            </w:tcBorders>
            <w:shd w:val="clear" w:color="auto" w:fill="D2D2D2"/>
          </w:tcPr>
          <w:p>
            <w:pPr/>
          </w:p>
        </w:tc>
        <w:tc>
          <w:tcPr>
            <w:tcW w:w="178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2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91"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8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59"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1793" w:type="dxa"/>
            <w:gridSpan w:val="2"/>
            <w:vMerge/>
            <w:tcBorders>
              <w:left w:val="single" w:sz="4" w:space="0" w:color="000000"/>
              <w:bottom w:val="single" w:sz="4" w:space="0" w:color="000000"/>
              <w:right w:val="single" w:sz="4" w:space="0" w:color="000000"/>
            </w:tcBorders>
            <w:shd w:val="clear" w:color="auto" w:fill="D2D2D2"/>
          </w:tcPr>
          <w:p>
            <w:pPr/>
          </w:p>
        </w:tc>
        <w:tc>
          <w:tcPr>
            <w:tcW w:w="1522" w:type="dxa"/>
            <w:gridSpan w:val="2"/>
            <w:vMerge/>
            <w:tcBorders>
              <w:left w:val="single" w:sz="4" w:space="0" w:color="000000"/>
              <w:bottom w:val="single" w:sz="4" w:space="0" w:color="000000"/>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c>
          <w:tcPr>
            <w:tcW w:w="1787" w:type="dxa"/>
            <w:gridSpan w:val="2"/>
            <w:vMerge/>
            <w:tcBorders>
              <w:left w:val="single" w:sz="4" w:space="0" w:color="000000"/>
              <w:bottom w:val="single" w:sz="4" w:space="0" w:color="000000"/>
              <w:right w:val="single" w:sz="4" w:space="0" w:color="000000"/>
            </w:tcBorders>
            <w:shd w:val="clear" w:color="auto" w:fill="D2D2D2"/>
          </w:tcPr>
          <w:p>
            <w:pPr/>
          </w:p>
        </w:tc>
        <w:tc>
          <w:tcPr>
            <w:tcW w:w="1522" w:type="dxa"/>
            <w:gridSpan w:val="2"/>
            <w:vMerge/>
            <w:tcBorders>
              <w:left w:val="single" w:sz="4" w:space="0" w:color="000000"/>
              <w:bottom w:val="single" w:sz="4" w:space="0" w:color="000000"/>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890" w:type="dxa"/>
            <w:vMerge/>
            <w:tcBorders>
              <w:left w:val="single" w:sz="4" w:space="0" w:color="000000"/>
              <w:bottom w:val="nil" w:sz="6" w:space="0" w:color="auto"/>
              <w:right w:val="single" w:sz="4" w:space="0" w:color="000000"/>
            </w:tcBorders>
            <w:shd w:val="clear" w:color="auto" w:fill="D2D2D2"/>
          </w:tcPr>
          <w:p>
            <w:pPr/>
          </w:p>
        </w:tc>
        <w:tc>
          <w:tcPr>
            <w:tcW w:w="109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52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75" w:right="73"/>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0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7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85" w:type="dxa"/>
            <w:tcBorders>
              <w:top w:val="single" w:sz="4" w:space="0" w:color="000000"/>
              <w:left w:val="single" w:sz="4" w:space="0" w:color="000000"/>
              <w:bottom w:val="nil" w:sz="6" w:space="0" w:color="auto"/>
              <w:right w:val="single" w:sz="4" w:space="0" w:color="000000"/>
            </w:tcBorders>
            <w:shd w:val="clear" w:color="auto" w:fill="D2D2D2"/>
          </w:tcPr>
          <w:p>
            <w:pPr/>
          </w:p>
        </w:tc>
        <w:tc>
          <w:tcPr>
            <w:tcW w:w="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52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75" w:right="73"/>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0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8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1" w:hRule="exact"/>
        </w:trPr>
        <w:tc>
          <w:tcPr>
            <w:tcW w:w="890" w:type="dxa"/>
            <w:vMerge w:val="restart"/>
            <w:tcBorders>
              <w:top w:val="nil" w:sz="6" w:space="0" w:color="auto"/>
              <w:left w:val="single" w:sz="4" w:space="0" w:color="000000"/>
              <w:right w:val="single" w:sz="4" w:space="0" w:color="000000"/>
            </w:tcBorders>
            <w:shd w:val="clear" w:color="auto" w:fill="D2D2D2"/>
          </w:tcPr>
          <w:p>
            <w:pPr/>
          </w:p>
        </w:tc>
        <w:tc>
          <w:tcPr>
            <w:tcW w:w="10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21"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c>
          <w:tcPr>
            <w:tcW w:w="108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5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21"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890" w:type="dxa"/>
            <w:vMerge/>
            <w:tcBorders>
              <w:left w:val="single" w:sz="4" w:space="0" w:color="000000"/>
              <w:right w:val="single" w:sz="4" w:space="0" w:color="000000"/>
            </w:tcBorders>
            <w:shd w:val="clear" w:color="auto" w:fill="D2D2D2"/>
          </w:tcPr>
          <w:p>
            <w:pPr/>
          </w:p>
        </w:tc>
        <w:tc>
          <w:tcPr>
            <w:tcW w:w="1092" w:type="dxa"/>
            <w:vMerge/>
            <w:tcBorders>
              <w:left w:val="single" w:sz="4" w:space="0" w:color="000000"/>
              <w:bottom w:val="nil" w:sz="6" w:space="0" w:color="auto"/>
              <w:right w:val="single" w:sz="4" w:space="0" w:color="000000"/>
            </w:tcBorders>
            <w:shd w:val="clear" w:color="auto" w:fill="D2D2D2"/>
          </w:tcPr>
          <w:p>
            <w:pPr/>
          </w:p>
        </w:tc>
        <w:tc>
          <w:tcPr>
            <w:tcW w:w="701" w:type="dxa"/>
            <w:vMerge/>
            <w:tcBorders>
              <w:left w:val="single" w:sz="4" w:space="0" w:color="000000"/>
              <w:bottom w:val="nil" w:sz="6" w:space="0" w:color="auto"/>
              <w:right w:val="single" w:sz="4" w:space="0" w:color="000000"/>
            </w:tcBorders>
            <w:shd w:val="clear" w:color="auto" w:fill="D2D2D2"/>
          </w:tcPr>
          <w:p>
            <w:pPr/>
          </w:p>
        </w:tc>
        <w:tc>
          <w:tcPr>
            <w:tcW w:w="1001" w:type="dxa"/>
            <w:vMerge/>
            <w:tcBorders>
              <w:left w:val="single" w:sz="4" w:space="0" w:color="000000"/>
              <w:bottom w:val="nil" w:sz="6" w:space="0" w:color="auto"/>
              <w:right w:val="single" w:sz="4" w:space="0" w:color="000000"/>
            </w:tcBorders>
            <w:shd w:val="clear" w:color="auto" w:fill="D2D2D2"/>
          </w:tcPr>
          <w:p>
            <w:pPr/>
          </w:p>
        </w:tc>
        <w:tc>
          <w:tcPr>
            <w:tcW w:w="521" w:type="dxa"/>
            <w:vMerge/>
            <w:tcBorders>
              <w:left w:val="single" w:sz="4" w:space="0" w:color="000000"/>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000000"/>
            </w:tcBorders>
            <w:shd w:val="clear" w:color="auto" w:fill="D2D2D2"/>
          </w:tcPr>
          <w:p>
            <w:pPr/>
          </w:p>
        </w:tc>
        <w:tc>
          <w:tcPr>
            <w:tcW w:w="1085" w:type="dxa"/>
            <w:vMerge/>
            <w:tcBorders>
              <w:left w:val="single" w:sz="4" w:space="0" w:color="000000"/>
              <w:bottom w:val="nil" w:sz="6" w:space="0" w:color="auto"/>
              <w:right w:val="single" w:sz="4" w:space="0" w:color="000000"/>
            </w:tcBorders>
            <w:shd w:val="clear" w:color="auto" w:fill="D2D2D2"/>
          </w:tcPr>
          <w:p>
            <w:pPr/>
          </w:p>
        </w:tc>
        <w:tc>
          <w:tcPr>
            <w:tcW w:w="702" w:type="dxa"/>
            <w:vMerge/>
            <w:tcBorders>
              <w:left w:val="single" w:sz="4" w:space="0" w:color="000000"/>
              <w:bottom w:val="nil" w:sz="6" w:space="0" w:color="auto"/>
              <w:right w:val="single" w:sz="4" w:space="0" w:color="000000"/>
            </w:tcBorders>
            <w:shd w:val="clear" w:color="auto" w:fill="D2D2D2"/>
          </w:tcPr>
          <w:p>
            <w:pPr/>
          </w:p>
        </w:tc>
        <w:tc>
          <w:tcPr>
            <w:tcW w:w="1001" w:type="dxa"/>
            <w:vMerge/>
            <w:tcBorders>
              <w:left w:val="single" w:sz="4" w:space="0" w:color="000000"/>
              <w:bottom w:val="nil" w:sz="6" w:space="0" w:color="auto"/>
              <w:right w:val="single" w:sz="4" w:space="0" w:color="000000"/>
            </w:tcBorders>
            <w:shd w:val="clear" w:color="auto" w:fill="D2D2D2"/>
          </w:tcPr>
          <w:p>
            <w:pPr/>
          </w:p>
        </w:tc>
        <w:tc>
          <w:tcPr>
            <w:tcW w:w="521" w:type="dxa"/>
            <w:vMerge/>
            <w:tcBorders>
              <w:left w:val="single" w:sz="4" w:space="0" w:color="000000"/>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890" w:type="dxa"/>
            <w:vMerge/>
            <w:tcBorders>
              <w:left w:val="single" w:sz="4" w:space="0" w:color="000000"/>
              <w:bottom w:val="single" w:sz="4" w:space="0" w:color="000000"/>
              <w:right w:val="single" w:sz="4" w:space="0" w:color="000000"/>
            </w:tcBorders>
            <w:shd w:val="clear" w:color="auto" w:fill="D2D2D2"/>
          </w:tcPr>
          <w:p>
            <w:pPr/>
          </w:p>
        </w:tc>
        <w:tc>
          <w:tcPr>
            <w:tcW w:w="1092" w:type="dxa"/>
            <w:tcBorders>
              <w:top w:val="nil" w:sz="6" w:space="0" w:color="auto"/>
              <w:left w:val="single" w:sz="4" w:space="0" w:color="000000"/>
              <w:bottom w:val="single" w:sz="4" w:space="0" w:color="000000"/>
              <w:right w:val="single" w:sz="4" w:space="0" w:color="000000"/>
            </w:tcBorders>
            <w:shd w:val="clear" w:color="auto" w:fill="D2D2D2"/>
          </w:tcPr>
          <w:p>
            <w:pPr/>
          </w:p>
        </w:tc>
        <w:tc>
          <w:tcPr>
            <w:tcW w:w="7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521" w:type="dxa"/>
            <w:vMerge/>
            <w:tcBorders>
              <w:left w:val="single" w:sz="4" w:space="0" w:color="000000"/>
              <w:bottom w:val="single" w:sz="4" w:space="0" w:color="000000"/>
              <w:right w:val="single" w:sz="4" w:space="0" w:color="000000"/>
            </w:tcBorders>
            <w:shd w:val="clear" w:color="auto" w:fill="D2D2D2"/>
          </w:tcPr>
          <w:p>
            <w:pPr/>
          </w:p>
        </w:tc>
        <w:tc>
          <w:tcPr>
            <w:tcW w:w="1091" w:type="dxa"/>
            <w:vMerge/>
            <w:tcBorders>
              <w:left w:val="single" w:sz="4" w:space="0" w:color="000000"/>
              <w:bottom w:val="single" w:sz="4" w:space="0" w:color="000000"/>
              <w:right w:val="single" w:sz="4" w:space="0" w:color="000000"/>
            </w:tcBorders>
            <w:shd w:val="clear" w:color="auto" w:fill="D2D2D2"/>
          </w:tcPr>
          <w:p>
            <w:pPr/>
          </w:p>
        </w:tc>
        <w:tc>
          <w:tcPr>
            <w:tcW w:w="1085" w:type="dxa"/>
            <w:tcBorders>
              <w:top w:val="nil" w:sz="6" w:space="0" w:color="auto"/>
              <w:left w:val="single" w:sz="4" w:space="0" w:color="000000"/>
              <w:bottom w:val="single" w:sz="4" w:space="0" w:color="000000"/>
              <w:right w:val="single" w:sz="4" w:space="0" w:color="000000"/>
            </w:tcBorders>
            <w:shd w:val="clear" w:color="auto" w:fill="D2D2D2"/>
          </w:tcPr>
          <w:p>
            <w:pPr/>
          </w:p>
        </w:tc>
        <w:tc>
          <w:tcPr>
            <w:tcW w:w="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521" w:type="dxa"/>
            <w:vMerge/>
            <w:tcBorders>
              <w:left w:val="single" w:sz="4" w:space="0" w:color="000000"/>
              <w:bottom w:val="single" w:sz="4" w:space="0" w:color="000000"/>
              <w:right w:val="single" w:sz="4" w:space="0" w:color="000000"/>
            </w:tcBorders>
            <w:shd w:val="clear" w:color="auto" w:fill="D2D2D2"/>
          </w:tcPr>
          <w:p>
            <w:pPr/>
          </w:p>
        </w:tc>
        <w:tc>
          <w:tcPr>
            <w:tcW w:w="1091" w:type="dxa"/>
            <w:vMerge/>
            <w:tcBorders>
              <w:left w:val="single" w:sz="4" w:space="0" w:color="000000"/>
              <w:bottom w:val="single" w:sz="4" w:space="0" w:color="000000"/>
              <w:right w:val="single" w:sz="4" w:space="0" w:color="000000"/>
            </w:tcBorders>
            <w:shd w:val="clear" w:color="auto" w:fill="D2D2D2"/>
          </w:tcPr>
          <w:p>
            <w:pPr/>
          </w:p>
        </w:tc>
      </w:tr>
      <w:tr>
        <w:trPr>
          <w:trHeight w:val="1962" w:hRule="exact"/>
        </w:trPr>
        <w:tc>
          <w:tcPr>
            <w:tcW w:w="8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35"/>
              <w:jc w:val="both"/>
              <w:rPr>
                <w:rFonts w:ascii="宋体" w:hAnsi="宋体" w:cs="宋体" w:eastAsia="宋体" w:hint="default"/>
                <w:sz w:val="18"/>
                <w:szCs w:val="18"/>
              </w:rPr>
            </w:pPr>
            <w:r>
              <w:rPr>
                <w:rFonts w:ascii="宋体" w:hAnsi="宋体" w:cs="宋体" w:eastAsia="宋体" w:hint="default"/>
                <w:sz w:val="18"/>
                <w:szCs w:val="18"/>
              </w:rPr>
              <w:t>按信用风 险特征组 合计提坏 账准备的 其他应收 款</w:t>
            </w:r>
          </w:p>
        </w:tc>
        <w:tc>
          <w:tcPr>
            <w:tcW w:w="10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3" w:right="0"/>
              <w:jc w:val="left"/>
              <w:rPr>
                <w:rFonts w:ascii="Times New Roman" w:hAnsi="Times New Roman" w:cs="Times New Roman" w:eastAsia="Times New Roman" w:hint="default"/>
                <w:sz w:val="18"/>
                <w:szCs w:val="18"/>
              </w:rPr>
            </w:pPr>
            <w:r>
              <w:rPr>
                <w:rFonts w:ascii="Times New Roman"/>
                <w:sz w:val="18"/>
              </w:rPr>
              <w:t>26,752,055.75</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1,400,798.00</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5.24%</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25,351,257.75</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32,851,112.15</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100.00%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1,131,728.40</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3.45%</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31,719,383.75</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21" w:type="dxa"/>
        <w:tblLayout w:type="fixed"/>
        <w:tblCellMar>
          <w:top w:w="0" w:type="dxa"/>
          <w:left w:w="0" w:type="dxa"/>
          <w:bottom w:w="0" w:type="dxa"/>
          <w:right w:w="0" w:type="dxa"/>
        </w:tblCellMar>
        <w:tblLook w:val="01E0"/>
      </w:tblPr>
      <w:tblGrid>
        <w:gridCol w:w="878"/>
        <w:gridCol w:w="1103"/>
        <w:gridCol w:w="701"/>
        <w:gridCol w:w="1001"/>
        <w:gridCol w:w="521"/>
        <w:gridCol w:w="1091"/>
        <w:gridCol w:w="1085"/>
        <w:gridCol w:w="702"/>
        <w:gridCol w:w="1001"/>
        <w:gridCol w:w="521"/>
        <w:gridCol w:w="1091"/>
      </w:tblGrid>
      <w:tr>
        <w:trPr>
          <w:trHeight w:val="402" w:hRule="exact"/>
        </w:trPr>
        <w:tc>
          <w:tcPr>
            <w:tcW w:w="8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26,752,055.75</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1,400,798.00</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5.24%</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25,351,257.75</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32,851,112.15</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100.00%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1,131,728.40</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3.45%</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31,719,383.75</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060" w:bottom="1160" w:left="980" w:right="0"/>
        </w:sectPr>
      </w:pPr>
    </w:p>
    <w:p>
      <w:pPr>
        <w:pStyle w:val="BodyText"/>
        <w:spacing w:line="240" w:lineRule="auto" w:before="51"/>
        <w:ind w:left="154" w:right="-20"/>
        <w:jc w:val="left"/>
      </w:pPr>
      <w:r>
        <w:rPr/>
        <w:t>期末单项金额重大并单项计提坏账准备的其他应收款：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3"/>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12,745,454.20</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1,875,248.00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93,762.40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14,620,702.20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93,762.40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0.64%</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3,002,251.00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300,225.10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2,813,670.00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422,050.50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1,130,870.00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226,174.00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358,586.00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358,586.00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21,926,079.20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1,400,798.00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6.39%</w:t>
            </w:r>
          </w:p>
        </w:tc>
      </w:tr>
    </w:tbl>
    <w:p>
      <w:pPr>
        <w:pStyle w:val="BodyText"/>
        <w:spacing w:line="240" w:lineRule="auto" w:before="51"/>
        <w:ind w:left="154" w:right="0"/>
        <w:jc w:val="left"/>
      </w:pPr>
      <w:r>
        <w:rPr/>
        <w:t>组合中，采用其他方法计提坏账准备的其他应收款：</w:t>
      </w:r>
    </w:p>
    <w:p>
      <w:pPr>
        <w:pStyle w:val="BodyText"/>
        <w:spacing w:line="240" w:lineRule="auto" w:before="116"/>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2）本期计提、收回或转回的坏账准备情况" w:id="334"/>
      <w:bookmarkEnd w:id="334"/>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本期计提坏账准备金额</w:t>
      </w:r>
      <w:r>
        <w:rPr>
          <w:spacing w:val="-46"/>
        </w:rPr>
        <w:t> </w:t>
      </w:r>
      <w:r>
        <w:rPr>
          <w:rFonts w:ascii="Times New Roman" w:hAnsi="Times New Roman" w:cs="Times New Roman" w:eastAsia="Times New Roman" w:hint="default"/>
        </w:rPr>
        <w:t>269,069.60</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3）其他应收款按款项性质分类情况" w:id="335"/>
      <w:bookmarkEnd w:id="335"/>
      <w:r>
        <w:rPr>
          <w:b w:val="0"/>
          <w:bCs w:val="0"/>
        </w:rPr>
      </w: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押金、保证金等</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18,408,833.20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11,138,627.00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4,474,376.55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4,397,811.97</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3,868,846.00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17,314,673.18</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26,752,055.75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32,851,112.15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按欠款方归集的期末余额前五名的其他应收款情况" w:id="336"/>
      <w:bookmarkEnd w:id="336"/>
      <w:r>
        <w:rPr>
          <w:b w:val="0"/>
          <w:bCs w:val="0"/>
        </w:rPr>
      </w: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2,177,040.00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326,556.00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1,827,034.00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45,241.70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1,039,850.00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个月、</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12,970.00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827,300.00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12,691.70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6,671,224.00</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24.94%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477,459.40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长期股权投资" w:id="337"/>
      <w:bookmarkEnd w:id="337"/>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1,205,143,424.58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1,205,143,424.58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66,595,924.58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66,595,924.58</w:t>
            </w: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55,300,798.28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55,300,798.28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53,208,911.08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53,208,911.08</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1,260,444,222.86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1,260,444,222.86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119,804,835.66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119,804,835.66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对子公司投资" w:id="338"/>
      <w:bookmarkEnd w:id="338"/>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西安久其软件有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8" w:right="0"/>
              <w:jc w:val="left"/>
              <w:rPr>
                <w:rFonts w:ascii="Times New Roman" w:hAnsi="Times New Roman" w:cs="Times New Roman" w:eastAsia="Times New Roman" w:hint="default"/>
                <w:sz w:val="18"/>
                <w:szCs w:val="18"/>
              </w:rPr>
            </w:pPr>
            <w:r>
              <w:rPr>
                <w:rFonts w:ascii="Times New Roman"/>
                <w:sz w:val="18"/>
              </w:rPr>
              <w:t>2,974,522.70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2,974,522.70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上海久其软件有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8" w:right="0"/>
              <w:jc w:val="left"/>
              <w:rPr>
                <w:rFonts w:ascii="Times New Roman" w:hAnsi="Times New Roman" w:cs="Times New Roman" w:eastAsia="Times New Roman" w:hint="default"/>
                <w:sz w:val="18"/>
                <w:szCs w:val="18"/>
              </w:rPr>
            </w:pPr>
            <w:r>
              <w:rPr>
                <w:rFonts w:ascii="Times New Roman"/>
                <w:sz w:val="18"/>
              </w:rPr>
              <w:t>3,203,281.00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3,203,281.00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成都久其软件有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8" w:right="0"/>
              <w:jc w:val="left"/>
              <w:rPr>
                <w:rFonts w:ascii="Times New Roman" w:hAnsi="Times New Roman" w:cs="Times New Roman" w:eastAsia="Times New Roman" w:hint="default"/>
                <w:sz w:val="18"/>
                <w:szCs w:val="18"/>
              </w:rPr>
            </w:pPr>
            <w:r>
              <w:rPr>
                <w:rFonts w:ascii="Times New Roman"/>
                <w:sz w:val="18"/>
              </w:rPr>
              <w:t>2,952,000.00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2,952,000.00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广东久其软件有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8" w:right="0"/>
              <w:jc w:val="left"/>
              <w:rPr>
                <w:rFonts w:ascii="Times New Roman" w:hAnsi="Times New Roman" w:cs="Times New Roman" w:eastAsia="Times New Roman" w:hint="default"/>
                <w:sz w:val="18"/>
                <w:szCs w:val="18"/>
              </w:rPr>
            </w:pPr>
            <w:r>
              <w:rPr>
                <w:rFonts w:ascii="Times New Roman"/>
                <w:sz w:val="18"/>
              </w:rPr>
              <w:t>1,504,638.24</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1,504,638.24</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北京久其政务软 件股份有限公司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10,582,354.54</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17,910,000.00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28,492,354.54</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新疆久其科技有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8" w:right="0"/>
              <w:jc w:val="left"/>
              <w:rPr>
                <w:rFonts w:ascii="Times New Roman" w:hAnsi="Times New Roman" w:cs="Times New Roman" w:eastAsia="Times New Roman" w:hint="default"/>
                <w:sz w:val="18"/>
                <w:szCs w:val="18"/>
              </w:rPr>
            </w:pPr>
            <w:r>
              <w:rPr>
                <w:rFonts w:ascii="Times New Roman"/>
                <w:sz w:val="18"/>
              </w:rPr>
              <w:t>2,876,628.10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2,876,628.10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重庆久其软件有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海南久其云计算 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15,000,000.00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23,000,000.00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北京久其智通数 据科技有限公司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北京亿起联科技 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北京久其龙信数 据科技有限公司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北京久其互联网 金融信息服务有 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北京华夏电通科 技有限公司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北京蜂语网络科 技有限公司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2,040,000.00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2,040,000.00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北京北邮中望信 息科技有限责任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7,502,500.00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7,502,500.00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66,595,924.58</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1,146,050,000.00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7,502,500.00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1,205,143,424.58</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对联营、合营企业投资" w:id="339"/>
      <w:bookmarkEnd w:id="339"/>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广东同望 科技股份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53,208,91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1.08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1,572,147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519,740.0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55,300,79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8.28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53,208,91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1.08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1,572,147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519,740.0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55,300,79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8.28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53,208,91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1.08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1,572,147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519,740.0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55,300,79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8.28</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营业收入和营业成本" w:id="340"/>
      <w:bookmarkEnd w:id="340"/>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3750"/>
        <w:gridCol w:w="3815"/>
      </w:tblGrid>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971"/>
        <w:gridCol w:w="1850"/>
        <w:gridCol w:w="1913"/>
        <w:gridCol w:w="1913"/>
        <w:gridCol w:w="1913"/>
      </w:tblGrid>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309,023,004.00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20,916,381.23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255,746,122.10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12,991,213.25</w:t>
            </w: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1,230,095.96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759,225.00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310,253,099.96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20,916,381.23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256,505,347.10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12,991,213.25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投资收益" w:id="341"/>
      <w:bookmarkEnd w:id="341"/>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1,572,147.20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1,453,558.98</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-7,246,431.90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6,699,645.98</w:t>
            </w: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8"/>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 益的金融资产取得的投资收益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3,066,688.55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3,809,526.69</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持有至到期投资在持有期间的投资收益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5,856,520.50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处置持有至到期投资取得的投资收益</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5,980,840.14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984,516.18</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3,373,243.99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18,803,768.33</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十七、补充资料" w:id="342"/>
      <w:bookmarkEnd w:id="342"/>
      <w:r>
        <w:rPr>
          <w:b w:val="0"/>
          <w:bCs w:val="0"/>
        </w:rPr>
      </w:r>
      <w:r>
        <w:rPr/>
        <w:t>十七、补充资料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当期非经常性损益明细表" w:id="343"/>
      <w:bookmarkEnd w:id="343"/>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-325,926.50</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3,445,243.49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1"/>
              <w:jc w:val="both"/>
              <w:rPr>
                <w:rFonts w:ascii="宋体" w:hAnsi="宋体" w:cs="宋体" w:eastAsia="宋体" w:hint="default"/>
                <w:sz w:val="18"/>
                <w:szCs w:val="18"/>
              </w:rPr>
            </w:pPr>
            <w:r>
              <w:rPr>
                <w:rFonts w:ascii="宋体" w:hAnsi="宋体" w:cs="宋体" w:eastAsia="宋体" w:hint="default"/>
                <w:sz w:val="18"/>
                <w:szCs w:val="18"/>
              </w:rPr>
              <w:t>公司报告期内获得政府补助明细请参看 本节“七、合并财务报表项目注释”中 的“</w:t>
            </w:r>
            <w:r>
              <w:rPr>
                <w:rFonts w:ascii="Times New Roman" w:hAnsi="Times New Roman" w:cs="Times New Roman" w:eastAsia="Times New Roman" w:hint="default"/>
                <w:sz w:val="18"/>
                <w:szCs w:val="18"/>
              </w:rPr>
              <w:t>39</w:t>
            </w:r>
            <w:r>
              <w:rPr>
                <w:rFonts w:ascii="宋体" w:hAnsi="宋体" w:cs="宋体" w:eastAsia="宋体" w:hint="default"/>
                <w:sz w:val="18"/>
                <w:szCs w:val="18"/>
              </w:rPr>
              <w:t>、营业外收入”</w:t>
            </w: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5,980,840.14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公司报告期内购买的信托产品的投资收 益</w:t>
            </w:r>
          </w:p>
        </w:tc>
      </w:tr>
      <w:tr>
        <w:trPr>
          <w:trHeight w:val="1650"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3,066,688.55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93"/>
              <w:jc w:val="left"/>
              <w:rPr>
                <w:rFonts w:ascii="宋体" w:hAnsi="宋体" w:cs="宋体" w:eastAsia="宋体" w:hint="default"/>
                <w:sz w:val="18"/>
                <w:szCs w:val="18"/>
              </w:rPr>
            </w:pPr>
            <w:r>
              <w:rPr>
                <w:rFonts w:ascii="宋体" w:hAnsi="宋体" w:cs="宋体" w:eastAsia="宋体" w:hint="default"/>
                <w:sz w:val="18"/>
                <w:szCs w:val="18"/>
              </w:rPr>
              <w:t>公司报告期内购买的银行理财产品、资 管产品的投资收益</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-532,381.60</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3,204,866.35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9"/>
              <w:jc w:val="center"/>
              <w:rPr>
                <w:rFonts w:ascii="宋体" w:hAnsi="宋体" w:cs="宋体" w:eastAsia="宋体" w:hint="default"/>
                <w:sz w:val="18"/>
                <w:szCs w:val="18"/>
              </w:rPr>
            </w:pPr>
            <w:r>
              <w:rPr>
                <w:rFonts w:ascii="宋体" w:hAnsi="宋体" w:cs="宋体" w:eastAsia="宋体" w:hint="default"/>
                <w:sz w:val="18"/>
                <w:szCs w:val="18"/>
              </w:rPr>
              <w:t>公司报告期内处置北邮中望的投资收益</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1,999,886.33</w:t>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120,458.55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12,718,985.55</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left="15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净资产收益率及每股收益" w:id="344"/>
      <w:bookmarkEnd w:id="344"/>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0.6827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0.6827</w:t>
            </w:r>
          </w:p>
        </w:tc>
      </w:tr>
      <w:tr>
        <w:trPr>
          <w:trHeight w:val="71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0.6184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0.6184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right="4249"/>
        <w:jc w:val="center"/>
        <w:rPr>
          <w:b w:val="0"/>
          <w:bCs w:val="0"/>
        </w:rPr>
      </w:pPr>
      <w:bookmarkStart w:name="第十一节 备查文件目录" w:id="345"/>
      <w:bookmarkEnd w:id="345"/>
      <w:r>
        <w:rPr>
          <w:b w:val="0"/>
          <w:bCs w:val="0"/>
        </w:rPr>
      </w:r>
      <w:bookmarkStart w:name="_bookmark10" w:id="346"/>
      <w:bookmarkEnd w:id="346"/>
      <w:r>
        <w:rPr>
          <w:b w:val="0"/>
          <w:bCs w:val="0"/>
        </w:rPr>
      </w:r>
      <w:r>
        <w:rPr/>
        <w:t>第十一节</w:t>
      </w:r>
      <w:r>
        <w:rPr>
          <w:spacing w:val="-8"/>
        </w:rPr>
        <w:t> </w:t>
      </w:r>
      <w:r>
        <w:rPr/>
        <w:t>备查文件目录</w:t>
      </w:r>
      <w:r>
        <w:rPr>
          <w:b w:val="0"/>
          <w:bCs w:val="0"/>
        </w:rPr>
      </w:r>
    </w:p>
    <w:p>
      <w:pPr>
        <w:spacing w:line="240" w:lineRule="auto" w:before="7"/>
        <w:rPr>
          <w:rFonts w:ascii="宋体" w:hAnsi="宋体" w:cs="宋体" w:eastAsia="宋体" w:hint="default"/>
          <w:b/>
          <w:bCs/>
          <w:sz w:val="42"/>
          <w:szCs w:val="42"/>
        </w:rPr>
      </w:pPr>
    </w:p>
    <w:p>
      <w:pPr>
        <w:pStyle w:val="BodyText"/>
        <w:spacing w:line="240" w:lineRule="auto"/>
        <w:ind w:right="0"/>
        <w:jc w:val="left"/>
      </w:pPr>
      <w:r>
        <w:rPr>
          <w:rFonts w:ascii="Times New Roman" w:hAnsi="Times New Roman" w:cs="Times New Roman" w:eastAsia="Times New Roman" w:hint="default"/>
        </w:rPr>
        <w:t>1</w:t>
      </w:r>
      <w:r>
        <w:rPr/>
        <w:t>、载有公司法定代表人赵福君、公司财务总监邱安超及会计机构负责人马巧红签名并盖章的会计报表。</w:t>
      </w:r>
    </w:p>
    <w:p>
      <w:pPr>
        <w:pStyle w:val="BodyText"/>
        <w:spacing w:line="240" w:lineRule="auto" w:before="63"/>
        <w:ind w:left="0" w:right="1139"/>
        <w:jc w:val="right"/>
      </w:pPr>
      <w:r>
        <w:rPr>
          <w:rFonts w:ascii="Times New Roman" w:hAnsi="Times New Roman" w:cs="Times New Roman" w:eastAsia="Times New Roman" w:hint="default"/>
        </w:rPr>
        <w:t>2</w:t>
      </w:r>
      <w:r>
        <w:rPr/>
        <w:t>、载有立信会计师事务所（特殊普通合伙）盖章、注册会计师陈勇波、梁谦海签名并盖章的公司</w:t>
      </w:r>
      <w:r>
        <w:rPr>
          <w:rFonts w:ascii="Times New Roman" w:hAnsi="Times New Roman" w:cs="Times New Roman" w:eastAsia="Times New Roman" w:hint="default"/>
        </w:rPr>
        <w:t>2015</w:t>
      </w:r>
      <w:r>
        <w:rPr/>
        <w:t>年度审计报告原件。</w:t>
      </w:r>
    </w:p>
    <w:p>
      <w:pPr>
        <w:pStyle w:val="BodyText"/>
        <w:spacing w:line="240" w:lineRule="auto" w:before="63"/>
        <w:ind w:right="0"/>
        <w:jc w:val="left"/>
      </w:pPr>
      <w:r>
        <w:rPr>
          <w:rFonts w:ascii="Times New Roman" w:hAnsi="Times New Roman" w:cs="Times New Roman" w:eastAsia="Times New Roman" w:hint="default"/>
        </w:rPr>
        <w:t>3</w:t>
      </w:r>
      <w:r>
        <w:rPr/>
        <w:t>、报告期内在中国证监会指定报纸上公开披露过的所有公司文件正本及公告的原稿。</w:t>
      </w:r>
    </w:p>
    <w:p>
      <w:pPr>
        <w:pStyle w:val="BodyText"/>
        <w:spacing w:line="240" w:lineRule="auto" w:before="63"/>
        <w:ind w:right="0"/>
        <w:jc w:val="left"/>
      </w:pPr>
      <w:r>
        <w:rPr>
          <w:rFonts w:ascii="Times New Roman" w:hAnsi="Times New Roman" w:cs="Times New Roman" w:eastAsia="Times New Roman" w:hint="default"/>
        </w:rPr>
        <w:t>4</w:t>
      </w:r>
      <w:r>
        <w:rPr/>
        <w:t>、载有公司董事长签名的</w:t>
      </w:r>
      <w:r>
        <w:rPr>
          <w:rFonts w:ascii="Times New Roman" w:hAnsi="Times New Roman" w:cs="Times New Roman" w:eastAsia="Times New Roman" w:hint="default"/>
        </w:rPr>
        <w:t>2015</w:t>
      </w:r>
      <w:r>
        <w:rPr/>
        <w:t>年度报告文本原件。</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6"/>
          <w:szCs w:val="16"/>
        </w:rPr>
      </w:pPr>
    </w:p>
    <w:p>
      <w:pPr>
        <w:pStyle w:val="BodyText"/>
        <w:spacing w:line="316" w:lineRule="auto"/>
        <w:ind w:left="8173" w:right="1130" w:hanging="540"/>
        <w:jc w:val="right"/>
      </w:pPr>
      <w:r>
        <w:rPr/>
        <w:t>北京久其软件股份有限公司 法定代表人：赵福君 </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30</w:t>
      </w:r>
      <w:r>
        <w:rPr/>
        <w:t>日</w:t>
      </w:r>
    </w:p>
    <w:sectPr>
      <w:pgSz w:w="11910" w:h="16840"/>
      <w:pgMar w:header="87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83024" type="#_x0000_t75" stroked="false">
          <v:imagedata r:id="rId1" o:title=""/>
        </v:shape>
      </w:pict>
    </w:r>
    <w:r>
      <w:rPr/>
      <w:pict>
        <v:shape style="position:absolute;margin-left:533.179993pt;margin-top:795.517944pt;width:6.5pt;height:11pt;mso-position-horizontal-relative:page;mso-position-vertical-relative:page;z-index:-88300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82496" type="#_x0000_t75" stroked="false">
          <v:imagedata r:id="rId1" o:title=""/>
        </v:shape>
      </w:pict>
    </w:r>
    <w:r>
      <w:rPr/>
      <w:pict>
        <v:shape style="position:absolute;margin-left:523.179993pt;margin-top:781.957947pt;width:17.5pt;height:11pt;mso-position-horizontal-relative:page;mso-position-vertical-relative:page;z-index:-8824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82976" type="#_x0000_t75" stroked="false">
          <v:imagedata r:id="rId1" o:title=""/>
        </v:shape>
      </w:pict>
    </w:r>
    <w:r>
      <w:rPr/>
      <w:pict>
        <v:shape style="position:absolute;margin-left:527.679993pt;margin-top:781.957947pt;width:13pt;height:11pt;mso-position-horizontal-relative:page;mso-position-vertical-relative:page;z-index:-8829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4.419983pt;margin-top:556.820007pt;width:67.5pt;height:38.5pt;mso-position-horizontal-relative:page;mso-position-vertical-relative:page;z-index:-882904" type="#_x0000_t75" stroked="false">
          <v:imagedata r:id="rId1" o:title=""/>
        </v:shape>
      </w:pict>
    </w:r>
    <w:r>
      <w:rPr/>
      <w:pict>
        <v:shape style="position:absolute;margin-left:758.97998pt;margin-top:535.357971pt;width:13pt;height:11pt;mso-position-horizontal-relative:page;mso-position-vertical-relative:page;z-index:-88288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35</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82808" type="#_x0000_t75" stroked="false">
          <v:imagedata r:id="rId1" o:title=""/>
        </v:shape>
      </w:pict>
    </w:r>
    <w:r>
      <w:rPr/>
      <w:pict>
        <v:shape style="position:absolute;margin-left:527.679993pt;margin-top:781.957947pt;width:13pt;height:11pt;mso-position-horizontal-relative:page;mso-position-vertical-relative:page;z-index:-8827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3.960022pt;margin-top:535.357971pt;width:11pt;height:11pt;mso-position-horizontal-relative:page;mso-position-vertical-relative:page;z-index:-88273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83</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4.419983pt;margin-top:556.820007pt;width:67.5pt;height:38.5pt;mso-position-horizontal-relative:page;mso-position-vertical-relative:page;z-index:-882712" type="#_x0000_t75" stroked="false">
          <v:imagedata r:id="rId1" o:title=""/>
        </v:shape>
      </w:pict>
    </w:r>
    <w:r>
      <w:rPr/>
      <w:pict>
        <v:shape style="position:absolute;margin-left:542.960022pt;margin-top:535.357971pt;width:13pt;height:11pt;mso-position-horizontal-relative:page;mso-position-vertical-relative:page;z-index:-8826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84</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8.679993pt;margin-top:781.957947pt;width:11pt;height:11pt;mso-position-horizontal-relative:page;mso-position-vertical-relative:page;z-index:-88261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91</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82592" type="#_x0000_t75" stroked="false">
          <v:imagedata r:id="rId1" o:title=""/>
        </v:shape>
      </w:pict>
    </w:r>
    <w:r>
      <w:rPr/>
      <w:pict>
        <v:shape style="position:absolute;margin-left:527.679993pt;margin-top:781.957947pt;width:13pt;height:11pt;mso-position-horizontal-relative:page;mso-position-vertical-relative:page;z-index:-8825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92</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82544" type="#_x0000_t75" stroked="false">
          <v:imagedata r:id="rId1" o:title=""/>
        </v:shape>
      </w:pict>
    </w:r>
    <w:r>
      <w:rPr/>
      <w:pict>
        <v:shape style="position:absolute;margin-left:524.179993pt;margin-top:781.957947pt;width:15.5pt;height:11pt;mso-position-horizontal-relative:page;mso-position-vertical-relative:page;z-index:-88252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220001pt;margin-top:36.325607pt;width:195.5pt;height:11.5pt;mso-position-horizontal-relative:page;mso-position-vertical-relative:page;z-index:-883048" type="#_x0000_t202" filled="false" stroked="false">
          <v:textbox inset="0,0,0,0">
            <w:txbxContent>
              <w:p>
                <w:pPr>
                  <w:pStyle w:val="BodyText"/>
                  <w:spacing w:line="214" w:lineRule="exact"/>
                  <w:ind w:left="20" w:right="0"/>
                  <w:jc w:val="left"/>
                </w:pPr>
                <w:r>
                  <w:rPr/>
                  <w:t>北京久其软件股份有限公司</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520020pt;margin-top:42.865631pt;width:195.5pt;height:11.5pt;mso-position-horizontal-relative:page;mso-position-vertical-relative:page;z-index:-882928" type="#_x0000_t202" filled="false" stroked="false">
          <v:textbox inset="0,0,0,0">
            <w:txbxContent>
              <w:p>
                <w:pPr>
                  <w:pStyle w:val="BodyText"/>
                  <w:spacing w:line="214" w:lineRule="exact"/>
                  <w:ind w:left="20" w:right="0"/>
                  <w:jc w:val="left"/>
                </w:pPr>
                <w:r>
                  <w:rPr/>
                  <w:t>北京久其软件股份有限公司</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882856"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44.220001pt;margin-top:42.865608pt;width:195.5pt;height:11.5pt;mso-position-horizontal-relative:page;mso-position-vertical-relative:page;z-index:-882832" type="#_x0000_t202" filled="false" stroked="false">
          <v:textbox inset="0,0,0,0">
            <w:txbxContent>
              <w:p>
                <w:pPr>
                  <w:pStyle w:val="BodyText"/>
                  <w:spacing w:line="214" w:lineRule="exact"/>
                  <w:ind w:left="20" w:right="0"/>
                  <w:jc w:val="left"/>
                </w:pPr>
                <w:r>
                  <w:rPr/>
                  <w:t>北京久其软件股份有限公司</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520020pt;margin-top:42.865631pt;width:195.5pt;height:11.5pt;mso-position-horizontal-relative:page;mso-position-vertical-relative:page;z-index:-882760" type="#_x0000_t202" filled="false" stroked="false">
          <v:textbox inset="0,0,0,0">
            <w:txbxContent>
              <w:p>
                <w:pPr>
                  <w:pStyle w:val="BodyText"/>
                  <w:spacing w:line="214" w:lineRule="exact"/>
                  <w:ind w:left="20" w:right="0"/>
                  <w:jc w:val="left"/>
                </w:pPr>
                <w:r>
                  <w:rPr/>
                  <w:t>北京久其软件股份有限公司</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619984pt;width:485pt;height:.1pt;mso-position-horizontal-relative:page;mso-position-vertical-relative:page;z-index:-882664"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44.220001pt;margin-top:42.865608pt;width:195.5pt;height:11.5pt;mso-position-horizontal-relative:page;mso-position-vertical-relative:page;z-index:-882640" type="#_x0000_t202" filled="false" stroked="false">
          <v:textbox inset="0,0,0,0">
            <w:txbxContent>
              <w:p>
                <w:pPr>
                  <w:pStyle w:val="BodyText"/>
                  <w:spacing w:line="214" w:lineRule="exact"/>
                  <w:ind w:left="20" w:right="0"/>
                  <w:jc w:val="left"/>
                </w:pPr>
                <w:r>
                  <w:rPr/>
                  <w:t>北京久其软件股份有限公司</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331"/>
      <w:ind w:left="153"/>
    </w:pPr>
    <w:rPr>
      <w:rFonts w:ascii="宋体" w:hAnsi="宋体" w:eastAsia="宋体"/>
      <w:b/>
      <w:bCs/>
      <w:sz w:val="24"/>
      <w:szCs w:val="24"/>
    </w:rPr>
  </w:style>
  <w:style w:styleId="BodyText" w:type="paragraph">
    <w:name w:val="Body Text"/>
    <w:basedOn w:val="Normal"/>
    <w:uiPriority w:val="1"/>
    <w:qFormat/>
    <w:pPr>
      <w:ind w:left="153"/>
    </w:pPr>
    <w:rPr>
      <w:rFonts w:ascii="宋体" w:hAnsi="宋体" w:eastAsia="宋体"/>
      <w:sz w:val="18"/>
      <w:szCs w:val="18"/>
    </w:rPr>
  </w:style>
  <w:style w:styleId="Heading1" w:type="paragraph">
    <w:name w:val="Heading 1"/>
    <w:basedOn w:val="Normal"/>
    <w:uiPriority w:val="1"/>
    <w:qFormat/>
    <w:pPr>
      <w:spacing w:before="1"/>
      <w:ind w:left="3270"/>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jiuqi.com.cn/" TargetMode="External"/><Relationship Id="rId10" Type="http://schemas.openxmlformats.org/officeDocument/2006/relationships/hyperlink" Target="mailto:002279@jiuqi.com.cn" TargetMode="External"/><Relationship Id="rId11" Type="http://schemas.openxmlformats.org/officeDocument/2006/relationships/hyperlink" Target="mailto:whx@jiuqi.com.cn" TargetMode="External"/><Relationship Id="rId12" Type="http://schemas.openxmlformats.org/officeDocument/2006/relationships/hyperlink" Target="mailto:liuwenjia@jiuqi.com.cn" TargetMode="External"/><Relationship Id="rId13" Type="http://schemas.openxmlformats.org/officeDocument/2006/relationships/hyperlink" Target="http://www.cninfo.com.cn/" TargetMode="External"/><Relationship Id="rId14" Type="http://schemas.openxmlformats.org/officeDocument/2006/relationships/hyperlink" Target="http://www.dakahr.com/" TargetMode="External"/><Relationship Id="rId15" Type="http://schemas.openxmlformats.org/officeDocument/2006/relationships/hyperlink" Target="http://www.97gg.net/" TargetMode="External"/><Relationship Id="rId16" Type="http://schemas.openxmlformats.org/officeDocument/2006/relationships/hyperlink" Target="http://www.jqfax.com/" TargetMode="External"/><Relationship Id="rId17" Type="http://schemas.openxmlformats.org/officeDocument/2006/relationships/hyperlink" Target="http://www.sijiyizhan.com/" TargetMode="External"/><Relationship Id="rId18" Type="http://schemas.openxmlformats.org/officeDocument/2006/relationships/hyperlink" Target="http://irm.cninfo.com.cn/ssessgs/S002279/index.html" TargetMode="External"/><Relationship Id="rId19" Type="http://schemas.openxmlformats.org/officeDocument/2006/relationships/header" Target="header2.xml"/><Relationship Id="rId20" Type="http://schemas.openxmlformats.org/officeDocument/2006/relationships/footer" Target="footer3.xml"/><Relationship Id="rId21" Type="http://schemas.openxmlformats.org/officeDocument/2006/relationships/header" Target="header3.xml"/><Relationship Id="rId22" Type="http://schemas.openxmlformats.org/officeDocument/2006/relationships/footer" Target="footer4.xml"/><Relationship Id="rId23" Type="http://schemas.openxmlformats.org/officeDocument/2006/relationships/image" Target="media/image3.jpeg"/><Relationship Id="rId24" Type="http://schemas.openxmlformats.org/officeDocument/2006/relationships/hyperlink" Target="http://www.cninfo.com.cn&#20026;&#20844;&#21496;&#20449;&#24687;&#25259;&#38706;&#30340;/" TargetMode="External"/><Relationship Id="rId25" Type="http://schemas.openxmlformats.org/officeDocument/2006/relationships/header" Target="header4.xml"/><Relationship Id="rId26" Type="http://schemas.openxmlformats.org/officeDocument/2006/relationships/footer" Target="footer5.xml"/><Relationship Id="rId27" Type="http://schemas.openxmlformats.org/officeDocument/2006/relationships/image" Target="media/image1.png"/><Relationship Id="rId28" Type="http://schemas.openxmlformats.org/officeDocument/2006/relationships/footer" Target="footer6.xml"/><Relationship Id="rId29" Type="http://schemas.openxmlformats.org/officeDocument/2006/relationships/header" Target="header5.xml"/><Relationship Id="rId30" Type="http://schemas.openxmlformats.org/officeDocument/2006/relationships/footer" Target="footer7.xml"/><Relationship Id="rId31" Type="http://schemas.openxmlformats.org/officeDocument/2006/relationships/footer" Target="footer8.xml"/><Relationship Id="rId32" Type="http://schemas.openxmlformats.org/officeDocument/2006/relationships/footer" Target="footer9.xml"/><Relationship Id="rId33" Type="http://schemas.openxmlformats.org/officeDocument/2006/relationships/footer" Target="footer10.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0.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_rels/foot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北京久其软件股份有限公司</dc:creator>
  <dc:title>北京久其软件股份有限公司2015年年度报告全文</dc:title>
  <dcterms:created xsi:type="dcterms:W3CDTF">2020-05-04T13:04:31Z</dcterms:created>
  <dcterms:modified xsi:type="dcterms:W3CDTF">2020-05-04T13:04:31Z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2016-03-30T00:00:00Z</vt:filetime>
  </property>
  <property fmtid="{D5CDD505-2E9C-101B-9397-08002B2CF9AE}" pid="3" name="Creator">
    <vt:lpwstr>Microsoft® Office Word 2007</vt:lpwstr>
  </property>
  <property fmtid="{D5CDD505-2E9C-101B-9397-08002B2CF9AE}" pid="4" name="LastSaved">
    <vt:filetime>2020-05-04T00:00:00Z</vt:filetime>
  </property>
</Properties>
</file>