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390" w:lineRule="exact"/>
        <w:ind w:left="12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4753352" cy="151790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753352" cy="1517903"/>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10"/>
        <w:rPr>
          <w:rFonts w:ascii="Times New Roman" w:hAnsi="Times New Roman" w:cs="Times New Roman" w:eastAsia="Times New Roman" w:hint="default"/>
          <w:sz w:val="20"/>
          <w:szCs w:val="20"/>
        </w:rPr>
      </w:pPr>
    </w:p>
    <w:p>
      <w:pPr>
        <w:spacing w:line="487" w:lineRule="exact" w:before="0"/>
        <w:ind w:left="3270" w:right="4246"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2017</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6"/>
        <w:rPr>
          <w:rFonts w:ascii="宋体" w:hAnsi="宋体" w:cs="宋体" w:eastAsia="宋体" w:hint="default"/>
          <w:b/>
          <w:bCs/>
          <w:sz w:val="38"/>
          <w:szCs w:val="38"/>
        </w:rPr>
      </w:pPr>
    </w:p>
    <w:p>
      <w:pPr>
        <w:spacing w:before="0"/>
        <w:ind w:left="3270" w:right="42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98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公司负责人赵福君、主管会计工作负责人邱安超及会计机构负责人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丁丹声明：保证年度报告中财务报告的真实、准确、完整。</w:t>
      </w:r>
      <w:r>
        <w:rPr>
          <w:rFonts w:ascii="宋体" w:hAnsi="宋体" w:cs="宋体" w:eastAsia="宋体" w:hint="default"/>
          <w:sz w:val="28"/>
          <w:szCs w:val="28"/>
        </w:rPr>
      </w:r>
    </w:p>
    <w:p>
      <w:pPr>
        <w:spacing w:line="472" w:lineRule="auto" w:before="147"/>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本报告中涉及的对公司未来年度计划及发展规划等前瞻性陈述，不构成公</w:t>
      </w:r>
      <w:r>
        <w:rPr>
          <w:rFonts w:ascii="宋体" w:hAnsi="宋体" w:cs="宋体" w:eastAsia="宋体" w:hint="default"/>
          <w:spacing w:val="3"/>
          <w:sz w:val="28"/>
          <w:szCs w:val="28"/>
        </w:rPr>
      </w:r>
    </w:p>
    <w:p>
      <w:pPr>
        <w:spacing w:line="410"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司对投资者的实质承诺，请投资者理解计划、预测与承诺之间的差异，注意投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资风险。公司当前暂不存在重大经营风险，但不排除因下述风险事项影响公司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的日常经营成果，敬请广大投资者注意投资风险。</w:t>
      </w:r>
      <w:r>
        <w:rPr>
          <w:rFonts w:ascii="宋体" w:hAnsi="宋体" w:cs="宋体" w:eastAsia="宋体" w:hint="default"/>
          <w:sz w:val="28"/>
          <w:szCs w:val="28"/>
        </w:rPr>
      </w:r>
    </w:p>
    <w:p>
      <w:pPr>
        <w:spacing w:line="472" w:lineRule="auto" w:before="159"/>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b/>
          <w:bCs/>
          <w:spacing w:val="-5"/>
          <w:sz w:val="28"/>
          <w:szCs w:val="28"/>
        </w:rPr>
        <w:t> </w:t>
      </w:r>
      <w:r>
        <w:rPr>
          <w:rFonts w:ascii="宋体" w:hAnsi="宋体" w:cs="宋体" w:eastAsia="宋体" w:hint="default"/>
          <w:b/>
          <w:bCs/>
          <w:sz w:val="28"/>
          <w:szCs w:val="28"/>
        </w:rPr>
        <w:t>宏观经济与政策风险</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公司系面向政府和企业提供信息化服务的软件厂商，最终服务于实体经济，</w:t>
      </w:r>
      <w:r>
        <w:rPr>
          <w:rFonts w:ascii="宋体" w:hAnsi="宋体" w:cs="宋体" w:eastAsia="宋体" w:hint="default"/>
          <w:spacing w:val="-2"/>
          <w:sz w:val="28"/>
          <w:szCs w:val="28"/>
        </w:rPr>
      </w:r>
    </w:p>
    <w:p>
      <w:pPr>
        <w:spacing w:line="408" w:lineRule="auto" w:before="0"/>
        <w:ind w:left="153" w:right="114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其业务增长与经济周期存在相关性。公司近年来业务稳定增长，如果未来经济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增速放缓或出现衰退，公司业务增长可能受到不利影响，从而对公司的盈利能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力产生不利影响。如果公司未来不能适应宏观经济形势和政策的变化，公司经</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营业绩将面临波动的风险。此外，国家对软件产业和软件企业出台并实行了多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项优惠政策，公司作为国家软件产业中的重点企业之一，享受优惠政策。如果</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国家针对软件行业的优惠政策发生不利变化，或公司未能取得享受优惠政策的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资格，将可能对公司的经营和盈利产生不利影响。公司建立了科学的内部控制</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53" w:right="98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管理机制，积极应对宏观经济与政策变动，为公司稳定经营与持续发展奠定了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良好的基础。</w:t>
      </w:r>
      <w:r>
        <w:rPr>
          <w:rFonts w:ascii="宋体" w:hAnsi="宋体" w:cs="宋体" w:eastAsia="宋体" w:hint="default"/>
          <w:sz w:val="28"/>
          <w:szCs w:val="28"/>
        </w:rPr>
      </w:r>
    </w:p>
    <w:p>
      <w:pPr>
        <w:spacing w:line="472" w:lineRule="auto" w:before="158"/>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5"/>
          <w:sz w:val="28"/>
          <w:szCs w:val="28"/>
        </w:rPr>
        <w:t> </w:t>
      </w:r>
      <w:r>
        <w:rPr>
          <w:rFonts w:ascii="宋体" w:hAnsi="宋体" w:cs="宋体" w:eastAsia="宋体" w:hint="default"/>
          <w:b/>
          <w:bCs/>
          <w:sz w:val="28"/>
          <w:szCs w:val="28"/>
        </w:rPr>
        <w:t>行业竞争风险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在大数据、云计算、移动互联、人工智能等技术应用蓬勃发展的当下，企</w:t>
      </w:r>
      <w:r>
        <w:rPr>
          <w:rFonts w:ascii="宋体" w:hAnsi="宋体" w:cs="宋体" w:eastAsia="宋体" w:hint="default"/>
          <w:spacing w:val="3"/>
          <w:sz w:val="28"/>
          <w:szCs w:val="28"/>
        </w:rPr>
      </w:r>
    </w:p>
    <w:p>
      <w:pPr>
        <w:spacing w:line="408" w:lineRule="auto" w:before="0"/>
        <w:ind w:left="153" w:right="983"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业产品技术的研发创新能力、产业生态链的构建与运营能力在竞争中愈发重要。</w:t>
      </w:r>
      <w:r>
        <w:rPr>
          <w:rFonts w:ascii="宋体" w:hAnsi="宋体" w:cs="宋体" w:eastAsia="宋体" w:hint="default"/>
          <w:b/>
          <w:bCs/>
          <w:spacing w:val="66"/>
          <w:w w:val="95"/>
          <w:sz w:val="28"/>
          <w:szCs w:val="28"/>
        </w:rPr>
        <w:t> </w:t>
      </w:r>
      <w:r>
        <w:rPr>
          <w:rFonts w:ascii="宋体" w:hAnsi="宋体" w:cs="宋体" w:eastAsia="宋体" w:hint="default"/>
          <w:b/>
          <w:bCs/>
          <w:spacing w:val="66"/>
          <w:w w:val="95"/>
          <w:sz w:val="28"/>
          <w:szCs w:val="28"/>
        </w:rPr>
      </w:r>
      <w:r>
        <w:rPr>
          <w:rFonts w:ascii="宋体" w:hAnsi="宋体" w:cs="宋体" w:eastAsia="宋体" w:hint="default"/>
          <w:b/>
          <w:bCs/>
          <w:spacing w:val="3"/>
          <w:sz w:val="28"/>
          <w:szCs w:val="28"/>
        </w:rPr>
        <w:t>随着行业的不断延伸，客户需求的多元化、精细化、综合化要求不断提高，只</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有高水平的信息技术、精准的市场定位以及丰富的运营经验才能更好的满足客</w:t>
      </w:r>
      <w:r>
        <w:rPr>
          <w:rFonts w:ascii="宋体" w:hAnsi="宋体" w:cs="宋体" w:eastAsia="宋体" w:hint="default"/>
          <w:b/>
          <w:bCs/>
          <w:w w:val="99"/>
          <w:sz w:val="28"/>
          <w:szCs w:val="28"/>
        </w:rPr>
        <w:t> </w:t>
      </w:r>
      <w:r>
        <w:rPr>
          <w:rFonts w:ascii="宋体" w:hAnsi="宋体" w:cs="宋体" w:eastAsia="宋体" w:hint="default"/>
          <w:b/>
          <w:bCs/>
          <w:spacing w:val="3"/>
          <w:sz w:val="28"/>
          <w:szCs w:val="28"/>
        </w:rPr>
        <w:t>户需求不断变化。如果公司不能正确判断、把握行业的市场动态和发展趋势，</w:t>
      </w:r>
      <w:r>
        <w:rPr>
          <w:rFonts w:ascii="宋体" w:hAnsi="宋体" w:cs="宋体" w:eastAsia="宋体" w:hint="default"/>
          <w:b/>
          <w:bCs/>
          <w:w w:val="99"/>
          <w:sz w:val="28"/>
          <w:szCs w:val="28"/>
        </w:rPr>
        <w:t> </w:t>
      </w:r>
      <w:r>
        <w:rPr>
          <w:rFonts w:ascii="宋体" w:hAnsi="宋体" w:cs="宋体" w:eastAsia="宋体" w:hint="default"/>
          <w:b/>
          <w:bCs/>
          <w:spacing w:val="3"/>
          <w:sz w:val="28"/>
          <w:szCs w:val="28"/>
        </w:rPr>
        <w:t>根据技术发展、行业标准和客户需求及时进行技术创新和业务模式创新，则存</w:t>
      </w:r>
      <w:r>
        <w:rPr>
          <w:rFonts w:ascii="宋体" w:hAnsi="宋体" w:cs="宋体" w:eastAsia="宋体" w:hint="default"/>
          <w:b/>
          <w:bCs/>
          <w:w w:val="99"/>
          <w:sz w:val="28"/>
          <w:szCs w:val="28"/>
        </w:rPr>
        <w:t> </w:t>
      </w:r>
      <w:r>
        <w:rPr>
          <w:rFonts w:ascii="宋体" w:hAnsi="宋体" w:cs="宋体" w:eastAsia="宋体" w:hint="default"/>
          <w:b/>
          <w:bCs/>
          <w:spacing w:val="3"/>
          <w:sz w:val="28"/>
          <w:szCs w:val="28"/>
        </w:rPr>
        <w:t>在因竞争优势减弱而导致经营业绩不能达到预期目标的风险。因此，公司将不</w:t>
      </w:r>
      <w:r>
        <w:rPr>
          <w:rFonts w:ascii="宋体" w:hAnsi="宋体" w:cs="宋体" w:eastAsia="宋体" w:hint="default"/>
          <w:b/>
          <w:bCs/>
          <w:w w:val="99"/>
          <w:sz w:val="28"/>
          <w:szCs w:val="28"/>
        </w:rPr>
        <w:t> </w:t>
      </w:r>
      <w:r>
        <w:rPr>
          <w:rFonts w:ascii="宋体" w:hAnsi="宋体" w:cs="宋体" w:eastAsia="宋体" w:hint="default"/>
          <w:b/>
          <w:bCs/>
          <w:spacing w:val="3"/>
          <w:sz w:val="28"/>
          <w:szCs w:val="28"/>
        </w:rPr>
        <w:t>断完善产品及解决方案，满足客户日益变化的需求，同时持续加大研发投入，</w:t>
      </w:r>
      <w:r>
        <w:rPr>
          <w:rFonts w:ascii="宋体" w:hAnsi="宋体" w:cs="宋体" w:eastAsia="宋体" w:hint="default"/>
          <w:b/>
          <w:bCs/>
          <w:w w:val="99"/>
          <w:sz w:val="28"/>
          <w:szCs w:val="28"/>
        </w:rPr>
        <w:t> </w:t>
      </w:r>
      <w:r>
        <w:rPr>
          <w:rFonts w:ascii="宋体" w:hAnsi="宋体" w:cs="宋体" w:eastAsia="宋体" w:hint="default"/>
          <w:b/>
          <w:bCs/>
          <w:sz w:val="28"/>
          <w:szCs w:val="28"/>
        </w:rPr>
        <w:t>提高核心竞争力。</w:t>
      </w:r>
      <w:r>
        <w:rPr>
          <w:rFonts w:ascii="宋体" w:hAnsi="宋体" w:cs="宋体" w:eastAsia="宋体" w:hint="default"/>
          <w:sz w:val="28"/>
          <w:szCs w:val="28"/>
        </w:rPr>
      </w:r>
    </w:p>
    <w:p>
      <w:pPr>
        <w:spacing w:line="472" w:lineRule="auto" w:before="161"/>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5"/>
          <w:sz w:val="28"/>
          <w:szCs w:val="28"/>
        </w:rPr>
        <w:t> </w:t>
      </w:r>
      <w:r>
        <w:rPr>
          <w:rFonts w:ascii="宋体" w:hAnsi="宋体" w:cs="宋体" w:eastAsia="宋体" w:hint="default"/>
          <w:b/>
          <w:bCs/>
          <w:sz w:val="28"/>
          <w:szCs w:val="28"/>
        </w:rPr>
        <w:t>业绩季节波动风险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目前公司收入主要来源于电子政务、集团管控、互联网服务三大类业务。</w:t>
      </w:r>
      <w:r>
        <w:rPr>
          <w:rFonts w:ascii="宋体" w:hAnsi="宋体" w:cs="宋体" w:eastAsia="宋体" w:hint="default"/>
          <w:spacing w:val="3"/>
          <w:sz w:val="28"/>
          <w:szCs w:val="28"/>
        </w:rPr>
      </w:r>
    </w:p>
    <w:p>
      <w:pPr>
        <w:spacing w:line="408" w:lineRule="auto" w:before="0"/>
        <w:ind w:left="153" w:right="1142" w:firstLine="0"/>
        <w:jc w:val="both"/>
        <w:rPr>
          <w:rFonts w:ascii="宋体" w:hAnsi="宋体" w:cs="宋体" w:eastAsia="宋体" w:hint="default"/>
          <w:sz w:val="28"/>
          <w:szCs w:val="28"/>
        </w:rPr>
      </w:pPr>
      <w:r>
        <w:rPr>
          <w:rFonts w:ascii="宋体" w:hAnsi="宋体" w:cs="宋体" w:eastAsia="宋体" w:hint="default"/>
          <w:b/>
          <w:bCs/>
          <w:spacing w:val="11"/>
          <w:w w:val="95"/>
          <w:sz w:val="28"/>
          <w:szCs w:val="28"/>
        </w:rPr>
        <w:t>由于电子政务和集团管控业务的客户群体主要为政府部门和大型企事业单位</w:t>
      </w:r>
      <w:r>
        <w:rPr>
          <w:rFonts w:ascii="宋体" w:hAnsi="宋体" w:cs="宋体" w:eastAsia="宋体" w:hint="default"/>
          <w:b/>
          <w:bCs/>
          <w:spacing w:val="147"/>
          <w:w w:val="95"/>
          <w:sz w:val="28"/>
          <w:szCs w:val="28"/>
        </w:rPr>
        <w:t> </w:t>
      </w:r>
      <w:r>
        <w:rPr>
          <w:rFonts w:ascii="宋体" w:hAnsi="宋体" w:cs="宋体" w:eastAsia="宋体" w:hint="default"/>
          <w:b/>
          <w:bCs/>
          <w:spacing w:val="147"/>
          <w:w w:val="95"/>
          <w:sz w:val="28"/>
          <w:szCs w:val="28"/>
        </w:rPr>
      </w:r>
      <w:r>
        <w:rPr>
          <w:rFonts w:ascii="宋体" w:hAnsi="宋体" w:cs="宋体" w:eastAsia="宋体" w:hint="default"/>
          <w:b/>
          <w:bCs/>
          <w:spacing w:val="3"/>
          <w:w w:val="95"/>
          <w:sz w:val="28"/>
          <w:szCs w:val="28"/>
        </w:rPr>
        <w:t>等，该类用户大多执行较为严格的财务预算和支出管理制度，通常在年初确定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项目规划及支出安排，在下半年完成项目招标或项目验收相关工作，因此，公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司实现收入及盈利的高峰期通常在每年的第三和第四季度，存在一定季节性波</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动风险。但互联网服务业务受业绩季节性因素影响相对较小，从一定程度上能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够缓和公司业绩季节性波动的影响。</w:t>
      </w:r>
      <w:r>
        <w:rPr>
          <w:rFonts w:ascii="宋体" w:hAnsi="宋体" w:cs="宋体" w:eastAsia="宋体" w:hint="default"/>
          <w:sz w:val="28"/>
          <w:szCs w:val="28"/>
        </w:rPr>
      </w:r>
    </w:p>
    <w:p>
      <w:pPr>
        <w:spacing w:before="162"/>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b/>
          <w:bCs/>
          <w:spacing w:val="-13"/>
          <w:sz w:val="28"/>
          <w:szCs w:val="28"/>
        </w:rPr>
        <w:t> </w:t>
      </w:r>
      <w:r>
        <w:rPr>
          <w:rFonts w:ascii="宋体" w:hAnsi="宋体" w:cs="宋体" w:eastAsia="宋体" w:hint="default"/>
          <w:b/>
          <w:bCs/>
          <w:sz w:val="28"/>
          <w:szCs w:val="28"/>
        </w:rPr>
        <w:t>业务发展风险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53" w:right="983" w:firstLine="562"/>
        <w:jc w:val="left"/>
        <w:rPr>
          <w:rFonts w:ascii="宋体" w:hAnsi="宋体" w:cs="宋体" w:eastAsia="宋体" w:hint="default"/>
          <w:sz w:val="28"/>
          <w:szCs w:val="28"/>
        </w:rPr>
      </w:pPr>
      <w:r>
        <w:rPr>
          <w:rFonts w:ascii="宋体" w:hAnsi="宋体" w:cs="宋体" w:eastAsia="宋体" w:hint="default"/>
          <w:b/>
          <w:bCs/>
          <w:spacing w:val="-1"/>
          <w:w w:val="95"/>
          <w:sz w:val="28"/>
          <w:szCs w:val="28"/>
        </w:rPr>
        <w:t>为把握产业发展机遇，实现战略转型升级，公司近年来积极开展业务布局，</w:t>
      </w:r>
      <w:r>
        <w:rPr>
          <w:rFonts w:ascii="宋体" w:hAnsi="宋体" w:cs="宋体" w:eastAsia="宋体" w:hint="default"/>
          <w:b/>
          <w:bCs/>
          <w:w w:val="99"/>
          <w:sz w:val="28"/>
          <w:szCs w:val="28"/>
        </w:rPr>
        <w:t> </w:t>
      </w:r>
      <w:r>
        <w:rPr>
          <w:rFonts w:ascii="宋体" w:hAnsi="宋体" w:cs="宋体" w:eastAsia="宋体" w:hint="default"/>
          <w:b/>
          <w:bCs/>
          <w:spacing w:val="3"/>
          <w:sz w:val="28"/>
          <w:szCs w:val="28"/>
        </w:rPr>
        <w:t>在技术研发、商业模式、市场资源等方面探求传统软件产业与移动互联、大数</w:t>
      </w:r>
      <w:r>
        <w:rPr>
          <w:rFonts w:ascii="宋体" w:hAnsi="宋体" w:cs="宋体" w:eastAsia="宋体" w:hint="default"/>
          <w:b/>
          <w:bCs/>
          <w:w w:val="99"/>
          <w:sz w:val="28"/>
          <w:szCs w:val="28"/>
        </w:rPr>
        <w:t> </w:t>
      </w:r>
      <w:r>
        <w:rPr>
          <w:rFonts w:ascii="宋体" w:hAnsi="宋体" w:cs="宋体" w:eastAsia="宋体" w:hint="default"/>
          <w:b/>
          <w:bCs/>
          <w:spacing w:val="3"/>
          <w:sz w:val="28"/>
          <w:szCs w:val="28"/>
        </w:rPr>
        <w:t>据等新兴技术之间的融合与创新。通过自主孵化和投资并购的方式扩充业务范</w:t>
      </w:r>
      <w:r>
        <w:rPr>
          <w:rFonts w:ascii="宋体" w:hAnsi="宋体" w:cs="宋体" w:eastAsia="宋体" w:hint="default"/>
          <w:b/>
          <w:bCs/>
          <w:w w:val="99"/>
          <w:sz w:val="28"/>
          <w:szCs w:val="28"/>
        </w:rPr>
        <w:t> </w:t>
      </w:r>
      <w:r>
        <w:rPr>
          <w:rFonts w:ascii="宋体" w:hAnsi="宋体" w:cs="宋体" w:eastAsia="宋体" w:hint="default"/>
          <w:b/>
          <w:bCs/>
          <w:spacing w:val="3"/>
          <w:sz w:val="28"/>
          <w:szCs w:val="28"/>
        </w:rPr>
        <w:t>围，加大产业投资力度，完善产品与解决方案体系，打造业务生态。然而，信</w:t>
      </w:r>
      <w:r>
        <w:rPr>
          <w:rFonts w:ascii="宋体" w:hAnsi="宋体" w:cs="宋体" w:eastAsia="宋体" w:hint="default"/>
          <w:b/>
          <w:bCs/>
          <w:w w:val="99"/>
          <w:sz w:val="28"/>
          <w:szCs w:val="28"/>
        </w:rPr>
        <w:t> </w:t>
      </w:r>
      <w:r>
        <w:rPr>
          <w:rFonts w:ascii="宋体" w:hAnsi="宋体" w:cs="宋体" w:eastAsia="宋体" w:hint="default"/>
          <w:b/>
          <w:bCs/>
          <w:spacing w:val="3"/>
          <w:sz w:val="28"/>
          <w:szCs w:val="28"/>
        </w:rPr>
        <w:t>息技术行业发展日新月异，市场竞争日趋白热化，转型升级后的公司业务能否</w:t>
      </w:r>
      <w:r>
        <w:rPr>
          <w:rFonts w:ascii="宋体" w:hAnsi="宋体" w:cs="宋体" w:eastAsia="宋体" w:hint="default"/>
          <w:b/>
          <w:bCs/>
          <w:w w:val="99"/>
          <w:sz w:val="28"/>
          <w:szCs w:val="28"/>
        </w:rPr>
        <w:t> </w:t>
      </w:r>
      <w:r>
        <w:rPr>
          <w:rFonts w:ascii="宋体" w:hAnsi="宋体" w:cs="宋体" w:eastAsia="宋体" w:hint="default"/>
          <w:b/>
          <w:bCs/>
          <w:spacing w:val="3"/>
          <w:sz w:val="28"/>
          <w:szCs w:val="28"/>
        </w:rPr>
        <w:t>在技术与市场上保持先进性，并在较短的时间周期内抢占市场资源、树立优势</w:t>
      </w:r>
      <w:r>
        <w:rPr>
          <w:rFonts w:ascii="宋体" w:hAnsi="宋体" w:cs="宋体" w:eastAsia="宋体" w:hint="default"/>
          <w:b/>
          <w:bCs/>
          <w:w w:val="99"/>
          <w:sz w:val="28"/>
          <w:szCs w:val="28"/>
        </w:rPr>
        <w:t> </w:t>
      </w:r>
      <w:r>
        <w:rPr>
          <w:rFonts w:ascii="宋体" w:hAnsi="宋体" w:cs="宋体" w:eastAsia="宋体" w:hint="default"/>
          <w:b/>
          <w:bCs/>
          <w:spacing w:val="3"/>
          <w:sz w:val="28"/>
          <w:szCs w:val="28"/>
        </w:rPr>
        <w:t>地位，从而形成公司新的利润增长点仍存在不确定性。因此公司将采取审慎开</w:t>
      </w:r>
      <w:r>
        <w:rPr>
          <w:rFonts w:ascii="宋体" w:hAnsi="宋体" w:cs="宋体" w:eastAsia="宋体" w:hint="default"/>
          <w:b/>
          <w:bCs/>
          <w:w w:val="99"/>
          <w:sz w:val="28"/>
          <w:szCs w:val="28"/>
        </w:rPr>
        <w:t> </w:t>
      </w:r>
      <w:r>
        <w:rPr>
          <w:rFonts w:ascii="宋体" w:hAnsi="宋体" w:cs="宋体" w:eastAsia="宋体" w:hint="default"/>
          <w:b/>
          <w:bCs/>
          <w:spacing w:val="3"/>
          <w:sz w:val="28"/>
          <w:szCs w:val="28"/>
        </w:rPr>
        <w:t>展新业务、适时关停并转不良业务及加快构建业务生态等方式，巩固业务核心</w:t>
      </w:r>
      <w:r>
        <w:rPr>
          <w:rFonts w:ascii="宋体" w:hAnsi="宋体" w:cs="宋体" w:eastAsia="宋体" w:hint="default"/>
          <w:b/>
          <w:bCs/>
          <w:w w:val="99"/>
          <w:sz w:val="28"/>
          <w:szCs w:val="28"/>
        </w:rPr>
        <w:t> </w:t>
      </w:r>
      <w:r>
        <w:rPr>
          <w:rFonts w:ascii="宋体" w:hAnsi="宋体" w:cs="宋体" w:eastAsia="宋体" w:hint="default"/>
          <w:b/>
          <w:bCs/>
          <w:sz w:val="28"/>
          <w:szCs w:val="28"/>
        </w:rPr>
        <w:t>竞争力，实现转型升级目标。</w:t>
      </w:r>
      <w:r>
        <w:rPr>
          <w:rFonts w:ascii="宋体" w:hAnsi="宋体" w:cs="宋体" w:eastAsia="宋体" w:hint="default"/>
          <w:sz w:val="28"/>
          <w:szCs w:val="28"/>
        </w:rPr>
      </w:r>
    </w:p>
    <w:p>
      <w:pPr>
        <w:spacing w:before="161"/>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b/>
          <w:bCs/>
          <w:spacing w:val="-19"/>
          <w:sz w:val="28"/>
          <w:szCs w:val="28"/>
        </w:rPr>
        <w:t> </w:t>
      </w:r>
      <w:r>
        <w:rPr>
          <w:rFonts w:ascii="宋体" w:hAnsi="宋体" w:cs="宋体" w:eastAsia="宋体" w:hint="default"/>
          <w:b/>
          <w:bCs/>
          <w:sz w:val="28"/>
          <w:szCs w:val="28"/>
        </w:rPr>
        <w:t>收购整合与商誉减值风险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00" w:lineRule="auto" w:before="0"/>
        <w:ind w:left="153" w:right="983" w:firstLine="562"/>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公司自</w:t>
      </w:r>
      <w:r>
        <w:rPr>
          <w:rFonts w:ascii="宋体" w:hAnsi="宋体" w:cs="宋体" w:eastAsia="宋体" w:hint="default"/>
          <w:b/>
          <w:bCs/>
          <w:spacing w:val="-86"/>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15"/>
          <w:sz w:val="28"/>
          <w:szCs w:val="28"/>
        </w:rPr>
        <w:t> </w:t>
      </w:r>
      <w:r>
        <w:rPr>
          <w:rFonts w:ascii="宋体" w:hAnsi="宋体" w:cs="宋体" w:eastAsia="宋体" w:hint="default"/>
          <w:b/>
          <w:bCs/>
          <w:spacing w:val="-7"/>
          <w:sz w:val="28"/>
          <w:szCs w:val="28"/>
        </w:rPr>
        <w:t>年至今先后收购亿起联科技、华夏电通、瑞意恒动和上海移通。</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上述收购完成后，公司的业务范围和资产规模迅速扩大，公司与被收购企业之</w:t>
      </w:r>
      <w:r>
        <w:rPr>
          <w:rFonts w:ascii="宋体" w:hAnsi="宋体" w:cs="宋体" w:eastAsia="宋体" w:hint="default"/>
          <w:b/>
          <w:bCs/>
          <w:w w:val="99"/>
          <w:sz w:val="28"/>
          <w:szCs w:val="28"/>
        </w:rPr>
        <w:t> </w:t>
      </w:r>
      <w:r>
        <w:rPr>
          <w:rFonts w:ascii="宋体" w:hAnsi="宋体" w:cs="宋体" w:eastAsia="宋体" w:hint="default"/>
          <w:b/>
          <w:bCs/>
          <w:spacing w:val="3"/>
          <w:sz w:val="28"/>
          <w:szCs w:val="28"/>
        </w:rPr>
        <w:t>间需在业务规划、客户共享、产品发展、文化建设、管理体系、财务统筹等方</w:t>
      </w:r>
      <w:r>
        <w:rPr>
          <w:rFonts w:ascii="宋体" w:hAnsi="宋体" w:cs="宋体" w:eastAsia="宋体" w:hint="default"/>
          <w:b/>
          <w:bCs/>
          <w:w w:val="99"/>
          <w:sz w:val="28"/>
          <w:szCs w:val="28"/>
        </w:rPr>
        <w:t> </w:t>
      </w:r>
      <w:r>
        <w:rPr>
          <w:rFonts w:ascii="宋体" w:hAnsi="宋体" w:cs="宋体" w:eastAsia="宋体" w:hint="default"/>
          <w:b/>
          <w:bCs/>
          <w:sz w:val="28"/>
          <w:szCs w:val="28"/>
        </w:rPr>
        <w:t>面进行深入融合，能否顺利实现整合具有不确定性。此外截至</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月</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sz w:val="28"/>
          <w:szCs w:val="28"/>
        </w:rPr>
      </w:r>
    </w:p>
    <w:p>
      <w:pPr>
        <w:spacing w:line="405" w:lineRule="auto" w:before="28"/>
        <w:ind w:left="153" w:right="1135" w:firstLine="0"/>
        <w:jc w:val="both"/>
        <w:rPr>
          <w:rFonts w:ascii="宋体" w:hAnsi="宋体" w:cs="宋体" w:eastAsia="宋体" w:hint="default"/>
          <w:sz w:val="28"/>
          <w:szCs w:val="28"/>
        </w:rPr>
      </w:pPr>
      <w:r>
        <w:rPr>
          <w:rFonts w:ascii="宋体" w:hAnsi="宋体" w:cs="宋体" w:eastAsia="宋体" w:hint="default"/>
          <w:b/>
          <w:bCs/>
          <w:sz w:val="28"/>
          <w:szCs w:val="28"/>
        </w:rPr>
        <w:t>日，公司因投资并购形成的商誉总额为 </w:t>
      </w:r>
      <w:r>
        <w:rPr>
          <w:rFonts w:ascii="Times New Roman" w:hAnsi="Times New Roman" w:cs="Times New Roman" w:eastAsia="Times New Roman" w:hint="default"/>
          <w:b/>
          <w:bCs/>
          <w:sz w:val="28"/>
          <w:szCs w:val="28"/>
        </w:rPr>
        <w:t>167,863.05</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万元，被并购企业因面临着</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宏观经济、行业政策、市场竞争、技术研发等经营管理风险，或将出现承诺业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绩不达标的情况，若公司未能及时制定并实施与之相适应的具体措施，可能无</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3"/>
          <w:w w:val="95"/>
          <w:sz w:val="28"/>
          <w:szCs w:val="28"/>
        </w:rPr>
        <w:t>法达到预期的协同效应，从而给公司及股东利益造成不利影响。同时如果其经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营状况急剧恶化，根据《企业会计准则》的相关规定，需要对商誉计提减值，</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将对公司的整体经营业绩造成较为严重的影响。因此公司将继续加强对被投资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企业的投后管理工作，深化各方在财务管理、客户管理、资源统筹、业务拓展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等方面的融合，从而发挥整合协同效应。并且为防范商誉减值风险，公司会审</w:t>
      </w:r>
      <w:r>
        <w:rPr>
          <w:rFonts w:ascii="宋体" w:hAnsi="宋体" w:cs="宋体" w:eastAsia="宋体" w:hint="default"/>
          <w:spacing w:val="3"/>
          <w:sz w:val="28"/>
          <w:szCs w:val="28"/>
        </w:rPr>
      </w:r>
    </w:p>
    <w:p>
      <w:pPr>
        <w:spacing w:after="0" w:line="405"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慎选择并购对象，同时加强并购方案中对赌与激励机制的运用，强化被并购企</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业管理团队的风险意识和抵御风险的能力，最大限度地降低商誉减值风险。</w:t>
      </w:r>
      <w:r>
        <w:rPr>
          <w:rFonts w:ascii="宋体" w:hAnsi="宋体" w:cs="宋体" w:eastAsia="宋体" w:hint="default"/>
          <w:sz w:val="28"/>
          <w:szCs w:val="28"/>
        </w:rPr>
      </w:r>
    </w:p>
    <w:p>
      <w:pPr>
        <w:spacing w:line="472" w:lineRule="auto" w:before="158"/>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六、</w:t>
      </w:r>
      <w:r>
        <w:rPr>
          <w:rFonts w:ascii="宋体" w:hAnsi="宋体" w:cs="宋体" w:eastAsia="宋体" w:hint="default"/>
          <w:b/>
          <w:bCs/>
          <w:spacing w:val="-5"/>
          <w:sz w:val="28"/>
          <w:szCs w:val="28"/>
        </w:rPr>
        <w:t> </w:t>
      </w:r>
      <w:r>
        <w:rPr>
          <w:rFonts w:ascii="宋体" w:hAnsi="宋体" w:cs="宋体" w:eastAsia="宋体" w:hint="default"/>
          <w:b/>
          <w:bCs/>
          <w:sz w:val="28"/>
          <w:szCs w:val="28"/>
        </w:rPr>
        <w:t>人力资源风险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公司属于技术资本和智力资本密集型行业，人力资源是企业成败的关键因</w:t>
      </w:r>
      <w:r>
        <w:rPr>
          <w:rFonts w:ascii="宋体" w:hAnsi="宋体" w:cs="宋体" w:eastAsia="宋体" w:hint="default"/>
          <w:spacing w:val="3"/>
          <w:sz w:val="28"/>
          <w:szCs w:val="28"/>
        </w:rPr>
      </w:r>
    </w:p>
    <w:p>
      <w:pPr>
        <w:spacing w:line="408"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素，行业内的市场竞争也越来越体现为高素质人才的竞争。本行业企业的人力</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资源群体通常具有人员素质高、流动性大、知识结构更新快、人力成本不断上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升的特点。公司可能会面临核心技术人员和管理人员离职的风险，以及在业务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扩张过程中无法招聘到足够合格的技术人员和管理人员的风险。因此，公司不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断发展企业文化，建立和完善人才的选拔、考核、晋升、奖励等机制，推行后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备人才管理及人才梯队建设，避免人才流失，实现公司的持续健康发展。</w:t>
      </w:r>
      <w:r>
        <w:rPr>
          <w:rFonts w:ascii="宋体" w:hAnsi="宋体" w:cs="宋体" w:eastAsia="宋体" w:hint="default"/>
          <w:sz w:val="28"/>
          <w:szCs w:val="28"/>
        </w:rPr>
      </w:r>
    </w:p>
    <w:p>
      <w:pPr>
        <w:spacing w:before="161"/>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七、</w:t>
      </w:r>
      <w:r>
        <w:rPr>
          <w:rFonts w:ascii="宋体" w:hAnsi="宋体" w:cs="宋体" w:eastAsia="宋体" w:hint="default"/>
          <w:b/>
          <w:bCs/>
          <w:spacing w:val="-15"/>
          <w:sz w:val="28"/>
          <w:szCs w:val="28"/>
        </w:rPr>
        <w:t> </w:t>
      </w:r>
      <w:r>
        <w:rPr>
          <w:rFonts w:ascii="宋体" w:hAnsi="宋体" w:cs="宋体" w:eastAsia="宋体" w:hint="default"/>
          <w:b/>
          <w:bCs/>
          <w:sz w:val="28"/>
          <w:szCs w:val="28"/>
        </w:rPr>
        <w:t>应收保理款风险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5" w:right="983" w:firstLine="0"/>
        <w:jc w:val="left"/>
        <w:rPr>
          <w:rFonts w:ascii="宋体" w:hAnsi="宋体" w:cs="宋体" w:eastAsia="宋体" w:hint="default"/>
          <w:sz w:val="28"/>
          <w:szCs w:val="28"/>
        </w:rPr>
      </w:pPr>
      <w:r>
        <w:rPr>
          <w:rFonts w:ascii="宋体" w:hAnsi="宋体" w:cs="宋体" w:eastAsia="宋体" w:hint="default"/>
          <w:b/>
          <w:bCs/>
          <w:spacing w:val="7"/>
          <w:sz w:val="28"/>
          <w:szCs w:val="28"/>
        </w:rPr>
        <w:t>截至 </w:t>
      </w:r>
      <w:r>
        <w:rPr>
          <w:rFonts w:ascii="Times New Roman" w:hAnsi="Times New Roman" w:cs="Times New Roman" w:eastAsia="Times New Roman" w:hint="default"/>
          <w:b/>
          <w:bCs/>
          <w:sz w:val="28"/>
          <w:szCs w:val="28"/>
        </w:rPr>
        <w:t>2017  </w:t>
      </w:r>
      <w:r>
        <w:rPr>
          <w:rFonts w:ascii="宋体" w:hAnsi="宋体" w:cs="宋体" w:eastAsia="宋体" w:hint="default"/>
          <w:b/>
          <w:bCs/>
          <w:sz w:val="28"/>
          <w:szCs w:val="28"/>
        </w:rPr>
        <w:t>年 </w:t>
      </w:r>
      <w:r>
        <w:rPr>
          <w:rFonts w:ascii="Times New Roman" w:hAnsi="Times New Roman" w:cs="Times New Roman" w:eastAsia="Times New Roman" w:hint="default"/>
          <w:b/>
          <w:bCs/>
          <w:sz w:val="28"/>
          <w:szCs w:val="28"/>
        </w:rPr>
        <w:t>12  </w:t>
      </w:r>
      <w:r>
        <w:rPr>
          <w:rFonts w:ascii="宋体" w:hAnsi="宋体" w:cs="宋体" w:eastAsia="宋体" w:hint="default"/>
          <w:b/>
          <w:bCs/>
          <w:sz w:val="28"/>
          <w:szCs w:val="28"/>
        </w:rPr>
        <w:t>月 </w:t>
      </w:r>
      <w:r>
        <w:rPr>
          <w:rFonts w:ascii="Times New Roman" w:hAnsi="Times New Roman" w:cs="Times New Roman" w:eastAsia="Times New Roman" w:hint="default"/>
          <w:b/>
          <w:bCs/>
          <w:sz w:val="28"/>
          <w:szCs w:val="28"/>
        </w:rPr>
        <w:t>31 </w:t>
      </w:r>
      <w:r>
        <w:rPr>
          <w:rFonts w:ascii="Times New Roman" w:hAnsi="Times New Roman" w:cs="Times New Roman" w:eastAsia="Times New Roman" w:hint="default"/>
          <w:b/>
          <w:bCs/>
          <w:spacing w:val="46"/>
          <w:sz w:val="28"/>
          <w:szCs w:val="28"/>
        </w:rPr>
        <w:t> </w:t>
      </w:r>
      <w:r>
        <w:rPr>
          <w:rFonts w:ascii="宋体" w:hAnsi="宋体" w:cs="宋体" w:eastAsia="宋体" w:hint="default"/>
          <w:b/>
          <w:bCs/>
          <w:spacing w:val="14"/>
          <w:sz w:val="28"/>
          <w:szCs w:val="28"/>
        </w:rPr>
        <w:t>日，公司因保理业务形成的应收保理款总额为</w:t>
      </w:r>
      <w:r>
        <w:rPr>
          <w:rFonts w:ascii="宋体" w:hAnsi="宋体" w:cs="宋体" w:eastAsia="宋体" w:hint="default"/>
          <w:spacing w:val="14"/>
          <w:sz w:val="28"/>
          <w:szCs w:val="28"/>
        </w:rPr>
      </w:r>
    </w:p>
    <w:p>
      <w:pPr>
        <w:spacing w:line="405" w:lineRule="auto" w:before="236"/>
        <w:ind w:left="153" w:right="1143"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25,312.07</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万元。受宏观经济波动、市场不确定性、社会信用机制缺失等因素影</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响，或将存在应收款项无法回收的风险，对上市公司经营业绩产生不良影响。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因此，公司将加强风险管控机制，重点把控交易真实性审核、履约能力及增信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措施评估、应收账款受让和回收等关键环节，有效防范业务风险。同时审慎选</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择保理客户，规范档案管理，加强业务团队培训，确保保理业务良性、健康发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展。</w:t>
      </w:r>
      <w:r>
        <w:rPr>
          <w:rFonts w:ascii="宋体" w:hAnsi="宋体" w:cs="宋体" w:eastAsia="宋体" w:hint="default"/>
          <w:sz w:val="28"/>
          <w:szCs w:val="28"/>
        </w:rPr>
      </w:r>
    </w:p>
    <w:p>
      <w:pPr>
        <w:spacing w:line="472" w:lineRule="auto" w:before="165"/>
        <w:ind w:left="715" w:right="983" w:firstLine="0"/>
        <w:jc w:val="left"/>
        <w:rPr>
          <w:rFonts w:ascii="宋体" w:hAnsi="宋体" w:cs="宋体" w:eastAsia="宋体" w:hint="default"/>
          <w:sz w:val="28"/>
          <w:szCs w:val="28"/>
        </w:rPr>
      </w:pPr>
      <w:r>
        <w:rPr>
          <w:rFonts w:ascii="宋体" w:hAnsi="宋体" w:cs="宋体" w:eastAsia="宋体" w:hint="default"/>
          <w:b/>
          <w:bCs/>
          <w:sz w:val="28"/>
          <w:szCs w:val="28"/>
        </w:rPr>
        <w:t>八、</w:t>
      </w:r>
      <w:r>
        <w:rPr>
          <w:rFonts w:ascii="宋体" w:hAnsi="宋体" w:cs="宋体" w:eastAsia="宋体" w:hint="default"/>
          <w:b/>
          <w:bCs/>
          <w:spacing w:val="-5"/>
          <w:sz w:val="28"/>
          <w:szCs w:val="28"/>
        </w:rPr>
        <w:t> </w:t>
      </w:r>
      <w:r>
        <w:rPr>
          <w:rFonts w:ascii="宋体" w:hAnsi="宋体" w:cs="宋体" w:eastAsia="宋体" w:hint="default"/>
          <w:b/>
          <w:bCs/>
          <w:sz w:val="28"/>
          <w:szCs w:val="28"/>
        </w:rPr>
        <w:t>募集资金运用风险</w:t>
      </w:r>
      <w:r>
        <w:rPr>
          <w:rFonts w:ascii="宋体" w:hAnsi="宋体" w:cs="宋体" w:eastAsia="宋体" w:hint="default"/>
          <w:b/>
          <w:bCs/>
          <w:w w:val="99"/>
          <w:sz w:val="28"/>
          <w:szCs w:val="28"/>
        </w:rPr>
        <w:t> </w:t>
      </w:r>
      <w:r>
        <w:rPr>
          <w:rFonts w:ascii="宋体" w:hAnsi="宋体" w:cs="宋体" w:eastAsia="宋体" w:hint="default"/>
          <w:b/>
          <w:bCs/>
          <w:sz w:val="28"/>
          <w:szCs w:val="28"/>
        </w:rPr>
        <w:t>报告期公司公开发行可转换公司债券，募集资金总额</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78,000</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万元。随着公</w:t>
      </w:r>
      <w:r>
        <w:rPr>
          <w:rFonts w:ascii="宋体" w:hAnsi="宋体" w:cs="宋体" w:eastAsia="宋体" w:hint="default"/>
          <w:sz w:val="28"/>
          <w:szCs w:val="28"/>
        </w:rPr>
      </w:r>
    </w:p>
    <w:p>
      <w:pPr>
        <w:spacing w:line="302" w:lineRule="exact" w:before="0"/>
        <w:ind w:left="153"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司对大数据技术应用、数字传播业务加大投入力度，公司需要持续的研发费用</w:t>
      </w:r>
      <w:r>
        <w:rPr>
          <w:rFonts w:ascii="宋体" w:hAnsi="宋体" w:cs="宋体" w:eastAsia="宋体" w:hint="default"/>
          <w:spacing w:val="3"/>
          <w:sz w:val="28"/>
          <w:szCs w:val="28"/>
        </w:rPr>
      </w:r>
    </w:p>
    <w:p>
      <w:pPr>
        <w:spacing w:after="0" w:line="302" w:lineRule="exact"/>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53" w:right="983" w:firstLine="0"/>
        <w:jc w:val="left"/>
        <w:rPr>
          <w:rFonts w:ascii="宋体" w:hAnsi="宋体" w:cs="宋体" w:eastAsia="宋体" w:hint="default"/>
          <w:sz w:val="28"/>
          <w:szCs w:val="28"/>
        </w:rPr>
      </w:pPr>
      <w:r>
        <w:rPr>
          <w:rFonts w:ascii="宋体" w:hAnsi="宋体" w:cs="宋体" w:eastAsia="宋体" w:hint="default"/>
          <w:b/>
          <w:bCs/>
          <w:spacing w:val="3"/>
          <w:sz w:val="28"/>
          <w:szCs w:val="28"/>
        </w:rPr>
        <w:t>投入，并开拓传播渠道和媒介资源等，公司对资金的需求持续增加。虽然公司</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在募投项目选择时已充分进行了可行性论证，但是募集资金的运用与市场供求、</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3"/>
          <w:sz w:val="28"/>
          <w:szCs w:val="28"/>
        </w:rPr>
        <w:t>国家产业政策、行业竞争情况、技术进步、公司管理及人才等因素密切相关，</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上述任何因素的变动都可能直接影响募投项目的经济效益。如果未来业务市场</w:t>
      </w:r>
      <w:r>
        <w:rPr>
          <w:rFonts w:ascii="宋体" w:hAnsi="宋体" w:cs="宋体" w:eastAsia="宋体" w:hint="default"/>
          <w:b/>
          <w:bCs/>
          <w:w w:val="99"/>
          <w:sz w:val="28"/>
          <w:szCs w:val="28"/>
        </w:rPr>
        <w:t> </w:t>
      </w:r>
      <w:r>
        <w:rPr>
          <w:rFonts w:ascii="宋体" w:hAnsi="宋体" w:cs="宋体" w:eastAsia="宋体" w:hint="default"/>
          <w:b/>
          <w:bCs/>
          <w:spacing w:val="3"/>
          <w:sz w:val="28"/>
          <w:szCs w:val="28"/>
        </w:rPr>
        <w:t>需求增长低于预期，或业务市场推广进展与公司预测产生偏差，则存在调整募</w:t>
      </w:r>
      <w:r>
        <w:rPr>
          <w:rFonts w:ascii="宋体" w:hAnsi="宋体" w:cs="宋体" w:eastAsia="宋体" w:hint="default"/>
          <w:b/>
          <w:bCs/>
          <w:w w:val="99"/>
          <w:sz w:val="28"/>
          <w:szCs w:val="28"/>
        </w:rPr>
        <w:t> </w:t>
      </w:r>
      <w:r>
        <w:rPr>
          <w:rFonts w:ascii="宋体" w:hAnsi="宋体" w:cs="宋体" w:eastAsia="宋体" w:hint="default"/>
          <w:b/>
          <w:bCs/>
          <w:spacing w:val="3"/>
          <w:sz w:val="28"/>
          <w:szCs w:val="28"/>
        </w:rPr>
        <w:t>集资金用途及使用进度的可能，也可能存在募集资金投资项目实施后达不到预</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期效益的风险。因此，公司将根据生产经营与募投项目的实际需求，合理计划</w:t>
      </w:r>
      <w:r>
        <w:rPr>
          <w:rFonts w:ascii="宋体" w:hAnsi="宋体" w:cs="宋体" w:eastAsia="宋体" w:hint="default"/>
          <w:b/>
          <w:bCs/>
          <w:w w:val="99"/>
          <w:sz w:val="28"/>
          <w:szCs w:val="28"/>
        </w:rPr>
        <w:t> </w:t>
      </w:r>
      <w:r>
        <w:rPr>
          <w:rFonts w:ascii="宋体" w:hAnsi="宋体" w:cs="宋体" w:eastAsia="宋体" w:hint="default"/>
          <w:b/>
          <w:bCs/>
          <w:sz w:val="28"/>
          <w:szCs w:val="28"/>
        </w:rPr>
        <w:t>募集资金的使用，同时加强对募集资金专户的监督和管理。</w:t>
      </w:r>
      <w:r>
        <w:rPr>
          <w:rFonts w:ascii="宋体" w:hAnsi="宋体" w:cs="宋体" w:eastAsia="宋体" w:hint="default"/>
          <w:sz w:val="28"/>
          <w:szCs w:val="28"/>
        </w:rPr>
      </w:r>
    </w:p>
    <w:p>
      <w:pPr>
        <w:spacing w:line="408" w:lineRule="auto" w:before="160"/>
        <w:ind w:left="153" w:right="983"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公司经本次董事会审议通过的利润分配预案为：以未来实施分配方案时股</w:t>
      </w:r>
      <w:r>
        <w:rPr>
          <w:rFonts w:ascii="宋体" w:hAnsi="宋体" w:cs="宋体" w:eastAsia="宋体" w:hint="default"/>
          <w:b/>
          <w:bCs/>
          <w:w w:val="99"/>
          <w:sz w:val="28"/>
          <w:szCs w:val="28"/>
        </w:rPr>
        <w:t> 权登记日的总股本为基数，向全体股东每</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9"/>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0"/>
          <w:w w:val="99"/>
          <w:sz w:val="28"/>
          <w:szCs w:val="28"/>
        </w:rPr>
        <w:t> </w:t>
      </w:r>
      <w:r>
        <w:rPr>
          <w:rFonts w:ascii="Times New Roman" w:hAnsi="Times New Roman" w:cs="Times New Roman" w:eastAsia="Times New Roman" w:hint="default"/>
          <w:b/>
          <w:bCs/>
          <w:w w:val="99"/>
          <w:sz w:val="28"/>
          <w:szCs w:val="28"/>
        </w:rPr>
        <w:t>0.30</w:t>
      </w:r>
      <w:r>
        <w:rPr>
          <w:rFonts w:ascii="Times New Roman" w:hAnsi="Times New Roman" w:cs="Times New Roman" w:eastAsia="Times New Roman" w:hint="default"/>
          <w:b/>
          <w:bCs/>
          <w:spacing w:val="8"/>
          <w:w w:val="99"/>
          <w:sz w:val="28"/>
          <w:szCs w:val="28"/>
        </w:rPr>
        <w:t> </w:t>
      </w:r>
      <w:r>
        <w:rPr>
          <w:rFonts w:ascii="宋体" w:hAnsi="宋体" w:cs="宋体" w:eastAsia="宋体" w:hint="default"/>
          <w:b/>
          <w:bCs/>
          <w:spacing w:val="-24"/>
          <w:w w:val="99"/>
          <w:sz w:val="28"/>
          <w:szCs w:val="28"/>
        </w:rPr>
        <w:t>元（含税），</w:t>
      </w:r>
      <w:r>
        <w:rPr>
          <w:rFonts w:ascii="宋体" w:hAnsi="宋体" w:cs="宋体" w:eastAsia="宋体" w:hint="default"/>
          <w:spacing w:val="-24"/>
          <w:sz w:val="28"/>
          <w:szCs w:val="28"/>
        </w:rPr>
      </w:r>
    </w:p>
    <w:p>
      <w:pPr>
        <w:spacing w:before="20"/>
        <w:ind w:left="153" w:right="983"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4"/>
          <w:w w:val="99"/>
          <w:sz w:val="28"/>
          <w:szCs w:val="28"/>
        </w:rPr>
        <w:t>以</w:t>
      </w:r>
      <w:r>
        <w:rPr>
          <w:rFonts w:ascii="宋体" w:hAnsi="宋体" w:cs="宋体" w:eastAsia="宋体" w:hint="default"/>
          <w:b/>
          <w:bCs/>
          <w:spacing w:val="1"/>
          <w:w w:val="99"/>
          <w:sz w:val="28"/>
          <w:szCs w:val="28"/>
        </w:rPr>
        <w:t>资本</w:t>
      </w:r>
      <w:r>
        <w:rPr>
          <w:rFonts w:ascii="宋体" w:hAnsi="宋体" w:cs="宋体" w:eastAsia="宋体" w:hint="default"/>
          <w:b/>
          <w:bCs/>
          <w:w w:val="99"/>
          <w:sz w:val="28"/>
          <w:szCs w:val="28"/>
        </w:rPr>
        <w:t>公</w:t>
      </w:r>
      <w:r>
        <w:rPr>
          <w:rFonts w:ascii="宋体" w:hAnsi="宋体" w:cs="宋体" w:eastAsia="宋体" w:hint="default"/>
          <w:b/>
          <w:bCs/>
          <w:spacing w:val="2"/>
          <w:w w:val="99"/>
          <w:sz w:val="28"/>
          <w:szCs w:val="28"/>
        </w:rPr>
        <w:t>积</w:t>
      </w:r>
      <w:r>
        <w:rPr>
          <w:rFonts w:ascii="宋体" w:hAnsi="宋体" w:cs="宋体" w:eastAsia="宋体" w:hint="default"/>
          <w:b/>
          <w:bCs/>
          <w:w w:val="99"/>
          <w:sz w:val="28"/>
          <w:szCs w:val="28"/>
        </w:rPr>
        <w:t>金转增</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270" w:right="424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193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270" w:right="424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31"/>
        <w:gridCol w:w="544"/>
        <w:gridCol w:w="5895"/>
      </w:tblGrid>
      <w:tr>
        <w:trPr>
          <w:trHeight w:val="402" w:hRule="exact"/>
        </w:trPr>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公司、久其、久其软件</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久其数字传播</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公司全资子公司，久其数字传播有限公司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控股股东、久其科技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公司控股股东，北京久其科技投资有限公司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公司控股子公司，上海移通网络有限公司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久其政务</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公司控股子公司，北京久其政务软件股份有限公司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公司全资子公司，北京亿起联科技有限公司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瑞意恒动</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公司全资子公司，北京瑞意恒动科技有限公司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华夏电通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公司全资子公司，北京华夏电通科技有限公司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蜂语网络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公司控股子公司，北京蜂语网络科技有限公司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蜂语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Nectar</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蜂语网络研发的在线移动应用开发工具和针对企业移动应用的管理平台</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久其金建</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公司控股子公司，北京久其金建科技有限公司</w:t>
            </w:r>
          </w:p>
        </w:tc>
      </w:tr>
      <w:tr>
        <w:trPr>
          <w:trHeight w:val="161" w:hRule="exact"/>
        </w:trPr>
        <w:tc>
          <w:tcPr>
            <w:tcW w:w="3131"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社会化营销</w:t>
            </w: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5" w:type="dxa"/>
            <w:vMerge w:val="restart"/>
            <w:tcBorders>
              <w:top w:val="single" w:sz="4" w:space="0" w:color="000000"/>
              <w:left w:val="single" w:sz="10" w:space="0" w:color="D2D2D2"/>
              <w:right w:val="single" w:sz="4" w:space="0" w:color="000000"/>
            </w:tcBorders>
          </w:tcPr>
          <w:p>
            <w:pPr>
              <w:pStyle w:val="TableParagraph"/>
              <w:spacing w:line="316" w:lineRule="auto" w:before="51"/>
              <w:ind w:left="27" w:right="88"/>
              <w:jc w:val="left"/>
              <w:rPr>
                <w:rFonts w:ascii="宋体" w:hAnsi="宋体" w:cs="宋体" w:eastAsia="宋体" w:hint="default"/>
                <w:sz w:val="18"/>
                <w:szCs w:val="18"/>
              </w:rPr>
            </w:pPr>
            <w:r>
              <w:rPr>
                <w:rFonts w:ascii="宋体" w:hAnsi="宋体" w:cs="宋体" w:eastAsia="宋体" w:hint="default"/>
                <w:sz w:val="18"/>
                <w:szCs w:val="18"/>
              </w:rPr>
              <w:t>社会化媒体营销，利用社会化网络、在线社区、博客、百科或者其他互联 网协作平台媒体进行营销，是公共关系和客户服务维护开拓的一种方式</w:t>
            </w:r>
          </w:p>
        </w:tc>
      </w:tr>
      <w:tr>
        <w:trPr>
          <w:trHeight w:val="392" w:hRule="exact"/>
        </w:trPr>
        <w:tc>
          <w:tcPr>
            <w:tcW w:w="3131" w:type="dxa"/>
            <w:vMerge/>
            <w:tcBorders>
              <w:left w:val="single" w:sz="4" w:space="0" w:color="000000"/>
              <w:right w:val="single" w:sz="9" w:space="0" w:color="D2D2D2"/>
            </w:tcBorders>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vMerge/>
            <w:tcBorders>
              <w:left w:val="single" w:sz="10" w:space="0" w:color="D2D2D2"/>
              <w:right w:val="single" w:sz="4" w:space="0" w:color="000000"/>
            </w:tcBorders>
          </w:tcPr>
          <w:p>
            <w:pPr/>
          </w:p>
        </w:tc>
      </w:tr>
      <w:tr>
        <w:trPr>
          <w:trHeight w:val="161" w:hRule="exact"/>
        </w:trPr>
        <w:tc>
          <w:tcPr>
            <w:tcW w:w="3131" w:type="dxa"/>
            <w:vMerge/>
            <w:tcBorders>
              <w:left w:val="single" w:sz="4" w:space="0" w:color="000000"/>
              <w:bottom w:val="single" w:sz="4" w:space="0" w:color="000000"/>
              <w:right w:val="single" w:sz="9" w:space="0" w:color="D2D2D2"/>
            </w:tcBorders>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5" w:type="dxa"/>
            <w:vMerge/>
            <w:tcBorders>
              <w:left w:val="single" w:sz="10" w:space="0" w:color="D2D2D2"/>
              <w:bottom w:val="single" w:sz="4" w:space="0" w:color="000000"/>
              <w:right w:val="single" w:sz="4" w:space="0" w:color="000000"/>
            </w:tcBorders>
          </w:tcPr>
          <w:p>
            <w:pP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上海恒瑞</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上海移通全资子公司，上海恒瑞网络信息有限公司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久金保</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公司全资子公司，深圳市久金保商业保理有限公司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公司全资子公司，海南久其云计算科技有限公司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久其智通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公司控股子公司，北京久其智通数据科技有限公司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久金所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公司控股子公司，北京久其互联网金融信息服务有限公司</w:t>
            </w:r>
          </w:p>
        </w:tc>
      </w:tr>
      <w:tr>
        <w:trPr>
          <w:trHeight w:val="402" w:hRule="exact"/>
        </w:trPr>
        <w:tc>
          <w:tcPr>
            <w:tcW w:w="3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海南互联网研究院</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指</w:t>
            </w:r>
          </w:p>
        </w:tc>
        <w:tc>
          <w:tcPr>
            <w:tcW w:w="5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公司全资子公司，海南久其互联网产业研究院有限公司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05834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98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002279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Beijing Join-Cheer Software Co.,</w:t>
            </w:r>
            <w:r>
              <w:rPr>
                <w:rFonts w:ascii="Times New Roman"/>
                <w:spacing w:val="-6"/>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Join-Cheer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赵福君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北京市海淀区文慧园甲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100176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www.jiuqi.com.cn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002279@jiuqi.com.cn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010-88551199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whx@jiuqi.com.cn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liuwenjia@jiuqi.com.cn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983"/>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911100007177242684</w:t>
            </w:r>
            <w:r>
              <w:rPr>
                <w:rFonts w:ascii="宋体" w:hAnsi="宋体" w:cs="宋体" w:eastAsia="宋体" w:hint="default"/>
                <w:sz w:val="18"/>
                <w:szCs w:val="18"/>
              </w:rPr>
              <w:t>（统一社会信用代码）</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年以来，公司深化内生增长与外延发展的战略，围绕管理软件和数字传播业 务打造大数据 </w:t>
            </w:r>
            <w:r>
              <w:rPr>
                <w:rFonts w:ascii="Times New Roman" w:hAnsi="Times New Roman" w:cs="Times New Roman" w:eastAsia="Times New Roman" w:hint="default"/>
                <w:sz w:val="18"/>
                <w:szCs w:val="18"/>
              </w:rPr>
              <w:t>B2B2C </w:t>
            </w:r>
            <w:r>
              <w:rPr>
                <w:rFonts w:ascii="宋体" w:hAnsi="宋体" w:cs="宋体" w:eastAsia="宋体" w:hint="default"/>
                <w:spacing w:val="-3"/>
                <w:sz w:val="18"/>
                <w:szCs w:val="18"/>
              </w:rPr>
              <w:t>生态体系。具体业务情况详见本报告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第三节</w:t>
            </w:r>
            <w:r>
              <w:rPr>
                <w:rFonts w:ascii="宋体" w:hAnsi="宋体" w:cs="宋体" w:eastAsia="宋体" w:hint="default"/>
                <w:spacing w:val="-48"/>
                <w:sz w:val="18"/>
                <w:szCs w:val="18"/>
              </w:rPr>
              <w:t> </w:t>
            </w:r>
            <w:r>
              <w:rPr>
                <w:rFonts w:ascii="宋体" w:hAnsi="宋体" w:cs="宋体" w:eastAsia="宋体" w:hint="default"/>
                <w:sz w:val="18"/>
                <w:szCs w:val="18"/>
              </w:rPr>
              <w:t>公司业务概要 一、报告期内公司从事的主要业务</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3"/>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张军书、胡碟</w:t>
            </w:r>
          </w:p>
        </w:tc>
      </w:tr>
    </w:tbl>
    <w:p>
      <w:pPr>
        <w:pStyle w:val="BodyText"/>
        <w:spacing w:line="240" w:lineRule="auto" w:before="51"/>
        <w:ind w:left="154" w:right="983"/>
        <w:jc w:val="left"/>
      </w:pPr>
      <w:r>
        <w:rPr/>
        <w:t>公司聘请的报告期内履行持续督导职责的保荐机构</w:t>
      </w:r>
    </w:p>
    <w:p>
      <w:pPr>
        <w:pStyle w:val="BodyText"/>
        <w:spacing w:line="240" w:lineRule="auto" w:before="117"/>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红塔证券股份有限公司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北京市西城区复兴门内大街</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158 </w:t>
            </w:r>
            <w:r>
              <w:rPr>
                <w:rFonts w:ascii="宋体" w:hAnsi="宋体" w:cs="宋体" w:eastAsia="宋体" w:hint="default"/>
                <w:sz w:val="18"/>
                <w:szCs w:val="18"/>
              </w:rPr>
              <w:t>号远洋大厦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708A</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欧阳凯、曹晋闻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983"/>
        <w:jc w:val="left"/>
      </w:pPr>
      <w:r>
        <w:rPr/>
        <w:t>公司聘请的报告期内履行持续督导职责的财务顾问</w:t>
      </w:r>
    </w:p>
    <w:p>
      <w:pPr>
        <w:pStyle w:val="BodyText"/>
        <w:spacing w:line="240" w:lineRule="auto" w:before="117"/>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98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公司是否需追溯调整或重述以前年度会计数据</w:t>
      </w:r>
    </w:p>
    <w:p>
      <w:pPr>
        <w:pStyle w:val="BodyText"/>
        <w:spacing w:line="240" w:lineRule="auto" w:before="116"/>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1,992,176,981.00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1,320,802,031.31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716,679,345.55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306,943,384.51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218,609,712.88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134,979,385.42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266,852,593.97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212,147,251.85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122,260,399.87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127,919,925.53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96,467,347.89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173,522,161.37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4,707,752,786.27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2,795,870,631.63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2,497,285,739.62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2,614,056,562.07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2,163,798,446.03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1,965,596,669.68</w:t>
            </w:r>
          </w:p>
        </w:tc>
      </w:tr>
    </w:tbl>
    <w:p>
      <w:pPr>
        <w:spacing w:line="240" w:lineRule="auto" w:before="2"/>
        <w:rPr>
          <w:rFonts w:ascii="宋体" w:hAnsi="宋体" w:cs="宋体" w:eastAsia="宋体" w:hint="default"/>
          <w:sz w:val="18"/>
          <w:szCs w:val="18"/>
        </w:rPr>
      </w:pPr>
    </w:p>
    <w:p>
      <w:pPr>
        <w:pStyle w:val="Heading2"/>
        <w:spacing w:line="240" w:lineRule="auto" w:before="26"/>
        <w:ind w:left="154" w:right="98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98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98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202,567,069.42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396,057,385.94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456,062,357.49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937,490,168.15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5,871,669.39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44,267,814.74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95,173,898.07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161,630,002.31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3,199,285.37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43,588,072.65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69,012,903.05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151,052,332.90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-116,956,481.59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-16,365,884.96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8,433,247.34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252,809,044.74</w:t>
            </w:r>
          </w:p>
        </w:tc>
      </w:tr>
    </w:tbl>
    <w:p>
      <w:pPr>
        <w:pStyle w:val="BodyText"/>
        <w:spacing w:line="240" w:lineRule="auto" w:before="51"/>
        <w:ind w:left="154" w:right="983"/>
        <w:jc w:val="left"/>
      </w:pPr>
      <w:r>
        <w:rPr/>
        <w:t>上述财务指标或其加总数是否与公司已披露季度报告、半年度报告相关财务指标存在重大差异</w:t>
      </w:r>
    </w:p>
    <w:p>
      <w:pPr>
        <w:pStyle w:val="BodyText"/>
        <w:spacing w:line="240" w:lineRule="auto" w:before="117"/>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98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91"/>
        <w:gridCol w:w="1276"/>
        <w:gridCol w:w="1134"/>
        <w:gridCol w:w="1419"/>
        <w:gridCol w:w="2338"/>
      </w:tblGrid>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w:t>
            </w:r>
            <w:r>
              <w:rPr>
                <w:rFonts w:ascii="宋体" w:hAnsi="宋体" w:cs="宋体" w:eastAsia="宋体" w:hint="default"/>
                <w:sz w:val="18"/>
                <w:szCs w:val="18"/>
              </w:rPr>
              <w:t> 准备的冲销部分）</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28,135,291.28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-224,010.15</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-325,926.50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主要系公司报告期处置房产 损益</w:t>
            </w:r>
          </w:p>
        </w:tc>
      </w:tr>
      <w:tr>
        <w:trPr>
          <w:trHeight w:val="162" w:hRule="exact"/>
        </w:trPr>
        <w:tc>
          <w:tcPr>
            <w:tcW w:w="3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14,612,748.28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7,796,435.38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3,445,243.49</w:t>
            </w:r>
          </w:p>
        </w:tc>
        <w:tc>
          <w:tcPr>
            <w:tcW w:w="2338" w:type="dxa"/>
            <w:vMerge w:val="restart"/>
            <w:tcBorders>
              <w:top w:val="single" w:sz="4" w:space="0" w:color="000000"/>
              <w:left w:val="single" w:sz="4" w:space="0" w:color="000000"/>
              <w:right w:val="single" w:sz="4" w:space="0" w:color="000000"/>
            </w:tcBorders>
          </w:tcPr>
          <w:p>
            <w:pPr>
              <w:pStyle w:val="TableParagraph"/>
              <w:spacing w:line="312" w:lineRule="auto" w:before="53"/>
              <w:ind w:left="22"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公司报告期内获得政府补助 明细请参看本报告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 财务报告 七、合并财务报表 注释 </w:t>
            </w:r>
            <w:r>
              <w:rPr>
                <w:rFonts w:ascii="Times New Roman" w:hAnsi="Times New Roman" w:cs="Times New Roman" w:eastAsia="Times New Roman" w:hint="default"/>
                <w:sz w:val="18"/>
                <w:szCs w:val="18"/>
              </w:rPr>
              <w:t>55</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p>
        </w:tc>
      </w:tr>
      <w:tr>
        <w:trPr>
          <w:trHeight w:val="1016" w:hRule="exact"/>
        </w:trPr>
        <w:tc>
          <w:tcPr>
            <w:tcW w:w="3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w:t>
            </w:r>
            <w:r>
              <w:rPr>
                <w:rFonts w:ascii="宋体" w:hAnsi="宋体" w:cs="宋体" w:eastAsia="宋体" w:hint="default"/>
                <w:sz w:val="18"/>
                <w:szCs w:val="18"/>
              </w:rPr>
              <w:t> </w:t>
            </w:r>
            <w:r>
              <w:rPr>
                <w:rFonts w:ascii="宋体" w:hAnsi="宋体" w:cs="宋体" w:eastAsia="宋体" w:hint="default"/>
                <w:spacing w:val="-4"/>
                <w:sz w:val="18"/>
                <w:szCs w:val="18"/>
              </w:rPr>
              <w:t>相关，按照国家统一标准定额或定量享受的</w:t>
            </w:r>
            <w:r>
              <w:rPr>
                <w:rFonts w:ascii="宋体" w:hAnsi="宋体" w:cs="宋体" w:eastAsia="宋体" w:hint="default"/>
                <w:sz w:val="18"/>
                <w:szCs w:val="18"/>
              </w:rPr>
              <w:t> 政府补助除外）</w:t>
            </w:r>
          </w:p>
        </w:tc>
        <w:tc>
          <w:tcPr>
            <w:tcW w:w="1276"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62" w:hRule="exact"/>
        </w:trPr>
        <w:tc>
          <w:tcPr>
            <w:tcW w:w="3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1276"/>
        <w:gridCol w:w="1134"/>
        <w:gridCol w:w="1419"/>
        <w:gridCol w:w="2338"/>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5,980,840.14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770,852.79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系子公司报告期内购买的保 本型浮动利率银行理财产品 的投资收益</w:t>
            </w:r>
          </w:p>
        </w:tc>
      </w:tr>
      <w:tr>
        <w:trPr>
          <w:trHeight w:val="1650"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w:t>
            </w:r>
            <w:r>
              <w:rPr>
                <w:rFonts w:ascii="宋体" w:hAnsi="宋体" w:cs="宋体" w:eastAsia="宋体" w:hint="default"/>
                <w:spacing w:val="-4"/>
                <w:sz w:val="18"/>
                <w:szCs w:val="18"/>
              </w:rPr>
              <w:t>值业务外，持有交易性金融资产、交易性金</w:t>
            </w:r>
            <w:r>
              <w:rPr>
                <w:rFonts w:ascii="宋体" w:hAnsi="宋体" w:cs="宋体" w:eastAsia="宋体" w:hint="default"/>
                <w:sz w:val="18"/>
                <w:szCs w:val="18"/>
              </w:rPr>
              <w:t> </w:t>
            </w:r>
            <w:r>
              <w:rPr>
                <w:rFonts w:ascii="宋体" w:hAnsi="宋体" w:cs="宋体" w:eastAsia="宋体" w:hint="default"/>
                <w:spacing w:val="-4"/>
                <w:sz w:val="18"/>
                <w:szCs w:val="18"/>
              </w:rPr>
              <w:t>融负债产生的公允价值变动损益，以及处置</w:t>
            </w:r>
            <w:r>
              <w:rPr>
                <w:rFonts w:ascii="宋体" w:hAnsi="宋体" w:cs="宋体" w:eastAsia="宋体" w:hint="default"/>
                <w:sz w:val="18"/>
                <w:szCs w:val="18"/>
              </w:rPr>
              <w:t> </w:t>
            </w:r>
            <w:r>
              <w:rPr>
                <w:rFonts w:ascii="宋体" w:hAnsi="宋体" w:cs="宋体" w:eastAsia="宋体" w:hint="default"/>
                <w:spacing w:val="-4"/>
                <w:sz w:val="18"/>
                <w:szCs w:val="18"/>
              </w:rPr>
              <w:t>交易性金融资产、交易性金融负债和可供出</w:t>
            </w:r>
            <w:r>
              <w:rPr>
                <w:rFonts w:ascii="宋体" w:hAnsi="宋体" w:cs="宋体" w:eastAsia="宋体" w:hint="default"/>
                <w:sz w:val="18"/>
                <w:szCs w:val="18"/>
              </w:rPr>
              <w:t> 售金融资产取得的投资收益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3,066,688.55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6,984,902.66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262,419.44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-532,381.60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主要系亿起联科技报告期内 收到诉讼赔偿金</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-2,252,250.00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3,204,866.35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1,896,524.89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1,031,901.03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1,999,886.33</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6,264,229.58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340,482.61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120,458.55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主要系合并上海移通所致</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40,090,790.54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6,462,461.03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12,718,985.55</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983"/>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240" w:lineRule="auto" w:before="0"/>
        <w:rPr>
          <w:rFonts w:ascii="宋体" w:hAnsi="宋体" w:cs="宋体" w:eastAsia="宋体" w:hint="default"/>
          <w:sz w:val="18"/>
          <w:szCs w:val="18"/>
        </w:rPr>
      </w:pPr>
    </w:p>
    <w:p>
      <w:pPr>
        <w:pStyle w:val="BodyText"/>
        <w:spacing w:line="312" w:lineRule="auto" w:before="141"/>
        <w:ind w:right="1131"/>
        <w:jc w:val="both"/>
      </w:pPr>
      <w:r>
        <w:rPr>
          <w:spacing w:val="-2"/>
        </w:rPr>
        <w:t>当前，全球软件业正在步入加速创新、快速迭代、群体突破的爆发期，加快向网络化、平台化、服务化、智能化、生态化演</w:t>
      </w:r>
      <w:r>
        <w:rPr>
          <w:spacing w:val="-67"/>
        </w:rPr>
        <w:t> </w:t>
      </w:r>
      <w:r>
        <w:rPr>
          <w:spacing w:val="-67"/>
        </w:rPr>
      </w:r>
      <w:r>
        <w:rPr>
          <w:spacing w:val="-2"/>
        </w:rPr>
        <w:t>进。以软件为核心的数字经济蓬勃兴起，正在成为推动我国经济社会发展的新动能。相对而言，软件和信息技术服务业受经</w:t>
      </w:r>
      <w:r>
        <w:rPr>
          <w:spacing w:val="-66"/>
        </w:rPr>
        <w:t> </w:t>
      </w:r>
      <w:r>
        <w:rPr>
          <w:spacing w:val="-66"/>
        </w:rPr>
      </w:r>
      <w:r>
        <w:rPr>
          <w:spacing w:val="-2"/>
        </w:rPr>
        <w:t>济周期的影响比传统的制造业要小，具有较强的抗周期性。据工业和信息化部的快报数据显示，</w:t>
      </w:r>
      <w:r>
        <w:rPr>
          <w:rFonts w:ascii="Times New Roman" w:hAnsi="Times New Roman" w:cs="Times New Roman" w:eastAsia="Times New Roman" w:hint="default"/>
          <w:spacing w:val="-2"/>
        </w:rPr>
        <w:t>2017</w:t>
      </w:r>
      <w:r>
        <w:rPr>
          <w:spacing w:val="-2"/>
        </w:rPr>
        <w:t>年全国软件和信息技术</w:t>
      </w:r>
      <w:r>
        <w:rPr>
          <w:spacing w:val="-61"/>
        </w:rPr>
        <w:t> </w:t>
      </w:r>
      <w:r>
        <w:rPr/>
        <w:t>服务业完成软件业务收入</w:t>
      </w:r>
      <w:r>
        <w:rPr>
          <w:rFonts w:ascii="Times New Roman" w:hAnsi="Times New Roman" w:cs="Times New Roman" w:eastAsia="Times New Roman" w:hint="default"/>
        </w:rPr>
        <w:t>5.5</w:t>
      </w:r>
      <w:r>
        <w:rPr/>
        <w:t>万亿元，比上年增长</w:t>
      </w:r>
      <w:r>
        <w:rPr>
          <w:rFonts w:ascii="Times New Roman" w:hAnsi="Times New Roman" w:cs="Times New Roman" w:eastAsia="Times New Roman" w:hint="default"/>
        </w:rPr>
        <w:t>13.9%</w:t>
      </w:r>
      <w:r>
        <w:rPr/>
        <w:t>，继续呈现稳中向好的运行态势。</w:t>
      </w:r>
    </w:p>
    <w:p>
      <w:pPr>
        <w:spacing w:line="240" w:lineRule="auto" w:before="1"/>
        <w:rPr>
          <w:rFonts w:ascii="宋体" w:hAnsi="宋体" w:cs="宋体" w:eastAsia="宋体" w:hint="default"/>
          <w:sz w:val="24"/>
          <w:szCs w:val="24"/>
        </w:rPr>
      </w:pPr>
    </w:p>
    <w:p>
      <w:pPr>
        <w:pStyle w:val="BodyText"/>
        <w:spacing w:line="312" w:lineRule="auto"/>
        <w:ind w:right="1130"/>
        <w:jc w:val="both"/>
      </w:pPr>
      <w:r>
        <w:rPr>
          <w:spacing w:val="-2"/>
        </w:rPr>
        <w:t>自</w:t>
      </w:r>
      <w:r>
        <w:rPr>
          <w:rFonts w:ascii="Times New Roman" w:hAnsi="Times New Roman" w:cs="Times New Roman" w:eastAsia="Times New Roman" w:hint="default"/>
          <w:spacing w:val="-2"/>
        </w:rPr>
        <w:t>2016</w:t>
      </w:r>
      <w:r>
        <w:rPr>
          <w:spacing w:val="-2"/>
        </w:rPr>
        <w:t>年《十三五规划纲要》明确提出实施国家大数据战略以来，我国信息技术产业获得了空前的发展机遇，大数据产业加</w:t>
      </w:r>
      <w:r>
        <w:rPr>
          <w:spacing w:val="-62"/>
        </w:rPr>
        <w:t> </w:t>
      </w:r>
      <w:r>
        <w:rPr>
          <w:spacing w:val="-62"/>
        </w:rPr>
      </w:r>
      <w:r>
        <w:rPr/>
        <w:t>速落地。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月，工业和信息化部出台了《大数据产业发展规划（</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2020</w:t>
      </w:r>
      <w:r>
        <w:rPr/>
        <w:t>年）》，提出到</w:t>
      </w:r>
      <w:r>
        <w:rPr>
          <w:rFonts w:ascii="Times New Roman" w:hAnsi="Times New Roman" w:cs="Times New Roman" w:eastAsia="Times New Roman" w:hint="default"/>
        </w:rPr>
        <w:t>2020</w:t>
      </w:r>
      <w:r>
        <w:rPr/>
        <w:t>年要基本建成技术先 </w:t>
      </w:r>
      <w:r>
        <w:rPr>
          <w:spacing w:val="-2"/>
        </w:rPr>
        <w:t>进、应用繁荣、保障有力的大数据产业体系。大数据作为国家基础性战略资源，其应用之基础是数据，其核心之所在是对数</w:t>
      </w:r>
      <w:r>
        <w:rPr>
          <w:spacing w:val="-66"/>
        </w:rPr>
        <w:t> </w:t>
      </w:r>
      <w:r>
        <w:rPr>
          <w:spacing w:val="-66"/>
        </w:rPr>
      </w:r>
      <w:r>
        <w:rPr>
          <w:spacing w:val="-2"/>
        </w:rPr>
        <w:t>据价值的发现与变现，久其持续挖掘数据的核心价值，顺应趋势、引领潮流，聚焦数据二十年，专注于政企客户，凭借自身</w:t>
      </w:r>
      <w:r>
        <w:rPr>
          <w:spacing w:val="-68"/>
        </w:rPr>
        <w:t> </w:t>
      </w:r>
      <w:r>
        <w:rPr>
          <w:spacing w:val="-68"/>
        </w:rPr>
      </w:r>
      <w:r>
        <w:rPr>
          <w:spacing w:val="-2"/>
        </w:rPr>
        <w:t>技术和产品的优势，以应用场景为抓手，全面整合行业、方案、技术、数据、人才等资源，深度布局、积极开拓，构建了大</w:t>
      </w:r>
      <w:r>
        <w:rPr>
          <w:spacing w:val="-69"/>
        </w:rPr>
        <w:t> </w:t>
      </w:r>
      <w:r>
        <w:rPr>
          <w:spacing w:val="-69"/>
        </w:rPr>
      </w:r>
      <w:r>
        <w:rPr/>
        <w:t>数据生态体系，加速推进从传统软件厂商向聚焦</w:t>
      </w:r>
      <w:r>
        <w:rPr>
          <w:rFonts w:ascii="Times New Roman" w:hAnsi="Times New Roman" w:cs="Times New Roman" w:eastAsia="Times New Roman" w:hint="default"/>
        </w:rPr>
        <w:t>B2B2C</w:t>
      </w:r>
      <w:r>
        <w:rPr/>
        <w:t>的大数据综合服务提供商的战略转型。</w:t>
      </w:r>
    </w:p>
    <w:p>
      <w:pPr>
        <w:spacing w:line="240" w:lineRule="auto" w:before="1"/>
        <w:rPr>
          <w:rFonts w:ascii="宋体" w:hAnsi="宋体" w:cs="宋体" w:eastAsia="宋体" w:hint="default"/>
          <w:sz w:val="24"/>
          <w:szCs w:val="24"/>
        </w:rPr>
      </w:pPr>
    </w:p>
    <w:p>
      <w:pPr>
        <w:pStyle w:val="BodyText"/>
        <w:spacing w:line="314" w:lineRule="auto"/>
        <w:ind w:right="1130"/>
        <w:jc w:val="both"/>
      </w:pPr>
      <w:r>
        <w:rPr>
          <w:spacing w:val="-2"/>
        </w:rPr>
        <w:t>目前公司主营业务系管理软件（包括电子政务和集团管控）和数字传播两大业务板块。管理软件是公司的根基业务，通过二</w:t>
      </w:r>
      <w:r>
        <w:rPr>
          <w:spacing w:val="-66"/>
        </w:rPr>
        <w:t> </w:t>
      </w:r>
      <w:r>
        <w:rPr>
          <w:spacing w:val="-66"/>
        </w:rPr>
      </w:r>
      <w:r>
        <w:rPr>
          <w:spacing w:val="-2"/>
        </w:rPr>
        <w:t>十年的积累与发展，公司已经成为集咨询、规划、建设、运维、服务等综合能力于一体的国内领先的管理软件提供商，沉淀</w:t>
      </w:r>
      <w:r>
        <w:rPr>
          <w:spacing w:val="-67"/>
        </w:rPr>
        <w:t> </w:t>
      </w:r>
      <w:r>
        <w:rPr>
          <w:spacing w:val="-67"/>
        </w:rPr>
      </w:r>
      <w:r>
        <w:rPr>
          <w:spacing w:val="-2"/>
        </w:rPr>
        <w:t>了包括国家部委、企业集团在内众多政企优质客户。报告期，公司不断推进大数据发展战略，持续深化聚焦行业的策略，推</w:t>
      </w:r>
      <w:r>
        <w:rPr>
          <w:spacing w:val="-66"/>
        </w:rPr>
        <w:t> </w:t>
      </w:r>
      <w:r>
        <w:rPr>
          <w:spacing w:val="-66"/>
        </w:rPr>
      </w:r>
      <w:r>
        <w:rPr>
          <w:spacing w:val="-2"/>
        </w:rPr>
        <w:t>出具有典型行业特点的财经、民生、交通、司法等大数据解决方案，树立业内领先的大数据应用标杆。数字传播方面，在报</w:t>
      </w:r>
      <w:r>
        <w:rPr>
          <w:spacing w:val="-67"/>
        </w:rPr>
        <w:t> </w:t>
      </w:r>
      <w:r>
        <w:rPr>
          <w:spacing w:val="-67"/>
        </w:rPr>
      </w:r>
      <w:r>
        <w:rPr>
          <w:spacing w:val="-3"/>
        </w:rPr>
        <w:t>告期，公司发起设立了全资子公司久其数字传播，整合公司旗下移动营销、品牌出海营销、社会化营销等业务，着力打造</w:t>
      </w:r>
      <w:r>
        <w:rPr>
          <w:rFonts w:ascii="Times New Roman" w:hAnsi="Times New Roman" w:cs="Times New Roman" w:eastAsia="Times New Roman" w:hint="default"/>
          <w:spacing w:val="-3"/>
        </w:rPr>
        <w:t>“</w:t>
      </w:r>
      <w:r>
        <w:rPr>
          <w:spacing w:val="-3"/>
        </w:rPr>
        <w:t>以</w:t>
      </w:r>
      <w:r>
        <w:rPr/>
        <w:t> 大数据驱动</w:t>
      </w:r>
      <w:r>
        <w:rPr>
          <w:rFonts w:ascii="Times New Roman" w:hAnsi="Times New Roman" w:cs="Times New Roman" w:eastAsia="Times New Roman" w:hint="default"/>
        </w:rPr>
        <w:t>”</w:t>
      </w:r>
      <w:r>
        <w:rPr/>
        <w:t>的数字传播品牌，为品牌客户提供自动化、数据化、全球化和全渠道的一站式数字传播服务。</w:t>
      </w:r>
    </w:p>
    <w:p>
      <w:pPr>
        <w:spacing w:line="240" w:lineRule="auto" w:before="12"/>
        <w:rPr>
          <w:rFonts w:ascii="宋体" w:hAnsi="宋体" w:cs="宋体" w:eastAsia="宋体" w:hint="default"/>
          <w:sz w:val="23"/>
          <w:szCs w:val="23"/>
        </w:rPr>
      </w:pPr>
    </w:p>
    <w:p>
      <w:pPr>
        <w:pStyle w:val="BodyText"/>
        <w:spacing w:line="312" w:lineRule="auto"/>
        <w:ind w:left="154" w:right="983"/>
        <w:jc w:val="left"/>
      </w:pPr>
      <w:r>
        <w:rPr>
          <w:spacing w:val="-2"/>
        </w:rPr>
        <w:t>管理软件业务与数字传播业务齐头并进，是大数据技术应用与现代商业模式深度融合的典范，是公司顺应时代发展和产业变</w:t>
      </w:r>
      <w:r>
        <w:rPr>
          <w:spacing w:val="-64"/>
        </w:rPr>
        <w:t> </w:t>
      </w:r>
      <w:r>
        <w:rPr>
          <w:spacing w:val="-64"/>
        </w:rPr>
      </w:r>
      <w:r>
        <w:rPr>
          <w:spacing w:val="-4"/>
        </w:rPr>
        <w:t>革势在必行的选择，也是公司全面提升</w:t>
      </w:r>
      <w:r>
        <w:rPr>
          <w:rFonts w:ascii="Times New Roman" w:hAnsi="Times New Roman" w:cs="Times New Roman" w:eastAsia="Times New Roman" w:hint="default"/>
          <w:spacing w:val="-4"/>
        </w:rPr>
        <w:t>B2B2C</w:t>
      </w:r>
      <w:r>
        <w:rPr>
          <w:spacing w:val="-4"/>
        </w:rPr>
        <w:t>的大数据综合服务能力、加速构建面向政企客户的大数据生态体系的最佳路径。</w:t>
      </w:r>
      <w:r>
        <w:rPr>
          <w:spacing w:val="-40"/>
        </w:rPr>
        <w:t> </w:t>
      </w:r>
      <w:r>
        <w:rPr>
          <w:spacing w:val="-40"/>
        </w:rPr>
      </w:r>
      <w:r>
        <w:rPr>
          <w:spacing w:val="-2"/>
        </w:rPr>
        <w:t>并且，为了进一步增强政企客户业务粘性，彰显信息服务的价值，报告期初公司与控股股东共同收购了国内领先的专业移动</w:t>
      </w:r>
      <w:r>
        <w:rPr>
          <w:spacing w:val="-66"/>
        </w:rPr>
        <w:t> </w:t>
      </w:r>
      <w:r>
        <w:rPr>
          <w:spacing w:val="-66"/>
        </w:rPr>
      </w:r>
      <w:r>
        <w:rPr/>
        <w:t>信息服务提供商上海移通。</w:t>
      </w:r>
    </w:p>
    <w:p>
      <w:pPr>
        <w:spacing w:line="240" w:lineRule="auto" w:before="0"/>
        <w:rPr>
          <w:rFonts w:ascii="宋体" w:hAnsi="宋体" w:cs="宋体" w:eastAsia="宋体" w:hint="default"/>
          <w:sz w:val="21"/>
          <w:szCs w:val="21"/>
        </w:rPr>
      </w:pPr>
    </w:p>
    <w:p>
      <w:pPr>
        <w:pStyle w:val="Heading2"/>
        <w:spacing w:line="240" w:lineRule="auto"/>
        <w:ind w:left="154"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1"/>
              <w:jc w:val="left"/>
              <w:rPr>
                <w:rFonts w:ascii="宋体" w:hAnsi="宋体" w:cs="宋体" w:eastAsia="宋体" w:hint="default"/>
                <w:sz w:val="18"/>
                <w:szCs w:val="18"/>
              </w:rPr>
            </w:pPr>
            <w:r>
              <w:rPr>
                <w:rFonts w:ascii="宋体" w:hAnsi="宋体" w:cs="宋体" w:eastAsia="宋体" w:hint="default"/>
                <w:sz w:val="18"/>
                <w:szCs w:val="18"/>
              </w:rPr>
              <w:t>在建工程期末账面价值为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147.85%</w:t>
            </w:r>
            <w:r>
              <w:rPr>
                <w:rFonts w:ascii="宋体" w:hAnsi="宋体" w:cs="宋体" w:eastAsia="宋体" w:hint="default"/>
                <w:sz w:val="18"/>
                <w:szCs w:val="18"/>
              </w:rPr>
              <w:t>。主要系报告期募投 项目久其政务研发中心建设项目投入进展所致</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货币资金期末账面价值为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93,294.81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31.65%</w:t>
            </w:r>
            <w:r>
              <w:rPr>
                <w:rFonts w:ascii="宋体" w:hAnsi="宋体" w:cs="宋体" w:eastAsia="宋体" w:hint="default"/>
                <w:sz w:val="18"/>
                <w:szCs w:val="18"/>
              </w:rPr>
              <w:t>。主要系报告期公开 发行可转债募集资金到位及合并上海移通所致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应收票据期末账面价值为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万元，较年初减少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97.47%</w:t>
            </w:r>
            <w:r>
              <w:rPr>
                <w:rFonts w:ascii="宋体" w:hAnsi="宋体" w:cs="宋体" w:eastAsia="宋体" w:hint="default"/>
                <w:sz w:val="18"/>
                <w:szCs w:val="18"/>
              </w:rPr>
              <w:t>。主要系报告期公司承兑银 行汇票所致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应收账款期末账面价值为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48,821.69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59.66%</w:t>
            </w:r>
            <w:r>
              <w:rPr>
                <w:rFonts w:ascii="宋体" w:hAnsi="宋体" w:cs="宋体" w:eastAsia="宋体" w:hint="default"/>
                <w:sz w:val="18"/>
                <w:szCs w:val="18"/>
              </w:rPr>
              <w:t>，主要系报告期合并 上海移通所致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应收保理款期末账面价值为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25,312.07 </w:t>
            </w:r>
            <w:r>
              <w:rPr>
                <w:rFonts w:ascii="宋体" w:hAnsi="宋体" w:cs="宋体" w:eastAsia="宋体" w:hint="default"/>
                <w:spacing w:val="-5"/>
                <w:sz w:val="18"/>
                <w:szCs w:val="18"/>
              </w:rPr>
              <w:t>万元，较年初增加</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280.45%</w:t>
            </w:r>
            <w:r>
              <w:rPr>
                <w:rFonts w:ascii="宋体" w:hAnsi="宋体" w:cs="宋体" w:eastAsia="宋体" w:hint="default"/>
                <w:spacing w:val="-3"/>
                <w:sz w:val="18"/>
                <w:szCs w:val="18"/>
              </w:rPr>
              <w:t>，主要系报告期久</w:t>
            </w:r>
            <w:r>
              <w:rPr>
                <w:rFonts w:ascii="宋体" w:hAnsi="宋体" w:cs="宋体" w:eastAsia="宋体" w:hint="default"/>
                <w:sz w:val="18"/>
                <w:szCs w:val="18"/>
              </w:rPr>
              <w:t> 金保保理业务规模扩大所致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应收利息期末账面价值为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元，主要系久金保应收利息</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其他应收款期末账面价值为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9,237.99 </w:t>
            </w:r>
            <w:r>
              <w:rPr>
                <w:rFonts w:ascii="宋体" w:hAnsi="宋体" w:cs="宋体" w:eastAsia="宋体" w:hint="default"/>
                <w:spacing w:val="-5"/>
                <w:sz w:val="18"/>
                <w:szCs w:val="18"/>
              </w:rPr>
              <w:t>万元，较年初增加</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44.24%</w:t>
            </w:r>
            <w:r>
              <w:rPr>
                <w:rFonts w:ascii="宋体" w:hAnsi="宋体" w:cs="宋体" w:eastAsia="宋体" w:hint="default"/>
                <w:spacing w:val="-3"/>
                <w:sz w:val="18"/>
                <w:szCs w:val="18"/>
              </w:rPr>
              <w:t>，主要系报告期合并</w:t>
            </w:r>
            <w:r>
              <w:rPr>
                <w:rFonts w:ascii="宋体" w:hAnsi="宋体" w:cs="宋体" w:eastAsia="宋体" w:hint="default"/>
                <w:sz w:val="18"/>
                <w:szCs w:val="18"/>
              </w:rPr>
              <w:t> 上海移通所致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其他流动资产期末账面价值为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57,353.26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3755.33%</w:t>
            </w:r>
            <w:r>
              <w:rPr>
                <w:rFonts w:ascii="宋体" w:hAnsi="宋体" w:cs="宋体" w:eastAsia="宋体" w:hint="default"/>
                <w:sz w:val="18"/>
                <w:szCs w:val="18"/>
              </w:rPr>
              <w:t>，主要系报告 期公司使用暂时闲置的募集资金进行银行理财所致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可供出售金融资产期末账面价值为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699.80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万元，年初为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元，主要系报告期公司参</w:t>
            </w:r>
            <w:r>
              <w:rPr>
                <w:rFonts w:ascii="宋体" w:hAnsi="宋体" w:cs="宋体" w:eastAsia="宋体" w:hint="default"/>
                <w:sz w:val="18"/>
                <w:szCs w:val="18"/>
              </w:rPr>
              <w:t> 股投资惟新科技及全资子公司参股投资数说故事所致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长期股权投资期末账面价值为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13,365.80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47.49%</w:t>
            </w:r>
            <w:r>
              <w:rPr>
                <w:rFonts w:ascii="宋体" w:hAnsi="宋体" w:cs="宋体" w:eastAsia="宋体" w:hint="default"/>
                <w:sz w:val="18"/>
                <w:szCs w:val="18"/>
              </w:rPr>
              <w:t>，主要系报告期 公司对大数据产业基金实缴出资所致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开发支出期末账面价值为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元，年初为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471.98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万元，主要系本报告期公司开发支出 均形成无形资产所致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商誉期末账面价值为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167,863.05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万元，较年初增加</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62.44%</w:t>
            </w:r>
            <w:r>
              <w:rPr>
                <w:rFonts w:ascii="宋体" w:hAnsi="宋体" w:cs="宋体" w:eastAsia="宋体" w:hint="default"/>
                <w:spacing w:val="-3"/>
                <w:sz w:val="18"/>
                <w:szCs w:val="18"/>
              </w:rPr>
              <w:t>，主要系报告期并购上海</w:t>
            </w:r>
            <w:r>
              <w:rPr>
                <w:rFonts w:ascii="宋体" w:hAnsi="宋体" w:cs="宋体" w:eastAsia="宋体" w:hint="default"/>
                <w:sz w:val="18"/>
                <w:szCs w:val="18"/>
              </w:rPr>
              <w:t> 移通所致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09" w:lineRule="auto" w:before="28"/>
        <w:ind w:right="1129"/>
        <w:jc w:val="both"/>
      </w:pPr>
      <w:r>
        <w:rPr>
          <w:spacing w:val="-2"/>
        </w:rPr>
        <w:t>公司深耕政企信息化领域二十年，建立起了广泛稳定的客户基础和良好的品牌形象。凭借自主创新的技术研发实力，不断提</w:t>
      </w:r>
      <w:r>
        <w:rPr>
          <w:spacing w:val="-66"/>
        </w:rPr>
        <w:t> </w:t>
      </w:r>
      <w:r>
        <w:rPr>
          <w:spacing w:val="-66"/>
        </w:rPr>
      </w:r>
      <w:r>
        <w:rPr>
          <w:spacing w:val="-2"/>
        </w:rPr>
        <w:t>高技术层级，构建了独有的核心产品平台、关键开发技术以及丰富多样的应用场景，利用大数据赋能，提升了客户对于数据</w:t>
      </w:r>
      <w:r>
        <w:rPr>
          <w:spacing w:val="-66"/>
        </w:rPr>
        <w:t> </w:t>
      </w:r>
      <w:r>
        <w:rPr>
          <w:spacing w:val="-66"/>
        </w:rPr>
      </w:r>
      <w:r>
        <w:rPr>
          <w:spacing w:val="-1"/>
        </w:rPr>
        <w:t>应用价值发现与变现的能力，强有力地增加了客户服务粘性。久其大数据解决方案集</w:t>
      </w:r>
      <w:r>
        <w:rPr>
          <w:rFonts w:ascii="Times New Roman" w:hAnsi="Times New Roman" w:cs="Times New Roman" w:eastAsia="Times New Roman" w:hint="default"/>
          <w:spacing w:val="-1"/>
        </w:rPr>
        <w:t>“</w:t>
      </w:r>
      <w:r>
        <w:rPr>
          <w:spacing w:val="-1"/>
        </w:rPr>
        <w:t>咨询</w:t>
      </w:r>
      <w:r>
        <w:rPr>
          <w:rFonts w:ascii="Times New Roman" w:hAnsi="Times New Roman" w:cs="Times New Roman" w:eastAsia="Times New Roman" w:hint="default"/>
          <w:spacing w:val="-1"/>
        </w:rPr>
        <w:t>+</w:t>
      </w:r>
      <w:r>
        <w:rPr>
          <w:spacing w:val="-1"/>
        </w:rPr>
        <w:t>实施</w:t>
      </w:r>
      <w:r>
        <w:rPr>
          <w:rFonts w:ascii="Times New Roman" w:hAnsi="Times New Roman" w:cs="Times New Roman" w:eastAsia="Times New Roman" w:hint="default"/>
          <w:spacing w:val="-1"/>
        </w:rPr>
        <w:t>+</w:t>
      </w:r>
      <w:r>
        <w:rPr>
          <w:spacing w:val="-1"/>
        </w:rPr>
        <w:t>技术</w:t>
      </w:r>
      <w:r>
        <w:rPr>
          <w:rFonts w:ascii="Times New Roman" w:hAnsi="Times New Roman" w:cs="Times New Roman" w:eastAsia="Times New Roman" w:hint="default"/>
          <w:spacing w:val="-1"/>
        </w:rPr>
        <w:t>+</w:t>
      </w:r>
      <w:r>
        <w:rPr>
          <w:spacing w:val="-1"/>
        </w:rPr>
        <w:t>平台</w:t>
      </w:r>
      <w:r>
        <w:rPr>
          <w:rFonts w:ascii="Times New Roman" w:hAnsi="Times New Roman" w:cs="Times New Roman" w:eastAsia="Times New Roman" w:hint="default"/>
          <w:spacing w:val="-1"/>
        </w:rPr>
        <w:t>+</w:t>
      </w:r>
      <w:r>
        <w:rPr>
          <w:spacing w:val="-1"/>
        </w:rPr>
        <w:t>运维</w:t>
      </w:r>
      <w:r>
        <w:rPr>
          <w:rFonts w:ascii="Times New Roman" w:hAnsi="Times New Roman" w:cs="Times New Roman" w:eastAsia="Times New Roman" w:hint="default"/>
          <w:spacing w:val="-1"/>
        </w:rPr>
        <w:t>+</w:t>
      </w:r>
      <w:r>
        <w:rPr>
          <w:spacing w:val="-1"/>
        </w:rPr>
        <w:t>云服务</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1"/>
        </w:rPr>
        <w:t> </w:t>
      </w:r>
      <w:r>
        <w:rPr>
          <w:spacing w:val="-3"/>
        </w:rPr>
        <w:t>于一体，具备数据采集、存储、平台计算、数据挖掘、可视化展现、融合服务、信息安全、数据资源规划八大方面核心能力</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8"/>
        </w:rPr>
        <w:t> </w:t>
      </w:r>
      <w:r>
        <w:rPr/>
        <w:t>已形成集</w:t>
      </w:r>
      <w:r>
        <w:rPr>
          <w:rFonts w:ascii="Times New Roman" w:hAnsi="Times New Roman" w:cs="Times New Roman" w:eastAsia="Times New Roman" w:hint="default"/>
        </w:rPr>
        <w:t>BI</w:t>
      </w:r>
      <w:r>
        <w:rPr/>
        <w:t>多维数据分析、移动精准营销、音视频大数据、</w:t>
      </w:r>
      <w:r>
        <w:rPr>
          <w:rFonts w:ascii="Times New Roman" w:hAnsi="Times New Roman" w:cs="Times New Roman" w:eastAsia="Times New Roman" w:hint="default"/>
        </w:rPr>
        <w:t>Hadoop</w:t>
      </w:r>
      <w:r>
        <w:rPr/>
        <w:t>大数据支撑平台、融合的分布式数据库、私有</w:t>
      </w:r>
      <w:r>
        <w:rPr>
          <w:rFonts w:ascii="Times New Roman" w:hAnsi="Times New Roman" w:cs="Times New Roman" w:eastAsia="Times New Roman" w:hint="default"/>
        </w:rPr>
        <w:t>/</w:t>
      </w:r>
      <w:r>
        <w:rPr/>
        <w:t>公有云解</w:t>
      </w:r>
      <w:r>
        <w:rPr>
          <w:spacing w:val="-75"/>
        </w:rPr>
        <w:t> </w:t>
      </w:r>
      <w:r>
        <w:rPr>
          <w:spacing w:val="-2"/>
        </w:rPr>
        <w:t>决方案、大数据应用咨询在内的久其大数据技术体系。公司管理团队与核心技术人员较为稳定，并通过不断健全组织管理制</w:t>
      </w:r>
      <w:r>
        <w:rPr>
          <w:spacing w:val="-66"/>
        </w:rPr>
        <w:t> </w:t>
      </w:r>
      <w:r>
        <w:rPr>
          <w:spacing w:val="-66"/>
        </w:rPr>
      </w:r>
      <w:r>
        <w:rPr>
          <w:spacing w:val="-2"/>
        </w:rPr>
        <w:t>度、建立合理科学的激励和考核机制，逐渐形成了一支专业配置完备、年龄结构合理，且具备专业能力及管理经验的复合型</w:t>
      </w:r>
      <w:r>
        <w:rPr>
          <w:spacing w:val="-66"/>
        </w:rPr>
        <w:t> </w:t>
      </w:r>
      <w:r>
        <w:rPr>
          <w:spacing w:val="-66"/>
        </w:rPr>
      </w:r>
      <w:r>
        <w:rPr/>
        <w:t>人才队伍。</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right="983"/>
        <w:jc w:val="left"/>
      </w:pPr>
      <w:r>
        <w:rPr>
          <w:spacing w:val="-2"/>
        </w:rPr>
        <w:t>公司在报告期内未发生核心管理团队及关键技术人员变化，专利及非专利技术升级换代，盈利模式变化，特许经营权丧失等</w:t>
      </w:r>
      <w:r>
        <w:rPr>
          <w:spacing w:val="-65"/>
        </w:rPr>
        <w:t> </w:t>
      </w:r>
      <w:r>
        <w:rPr>
          <w:spacing w:val="-65"/>
        </w:rPr>
      </w:r>
      <w:r>
        <w:rPr/>
        <w:t>导致公司核心竞争能力受到严重影响的情况。</w:t>
      </w:r>
    </w:p>
    <w:p>
      <w:pPr>
        <w:spacing w:line="240" w:lineRule="auto" w:before="4"/>
        <w:rPr>
          <w:rFonts w:ascii="宋体" w:hAnsi="宋体" w:cs="宋体" w:eastAsia="宋体" w:hint="default"/>
          <w:sz w:val="25"/>
          <w:szCs w:val="25"/>
        </w:rPr>
      </w:pPr>
    </w:p>
    <w:p>
      <w:pPr>
        <w:pStyle w:val="BodyText"/>
        <w:spacing w:line="307" w:lineRule="auto"/>
        <w:ind w:right="1132"/>
        <w:jc w:val="both"/>
      </w:pPr>
      <w:r>
        <w:rPr>
          <w:spacing w:val="-2"/>
        </w:rPr>
        <w:t>报告期公司及各子公司资质认证进一步强化。继公司取得</w:t>
      </w:r>
      <w:r>
        <w:rPr>
          <w:rFonts w:ascii="Times New Roman" w:hAnsi="Times New Roman" w:cs="Times New Roman" w:eastAsia="Times New Roman" w:hint="default"/>
          <w:spacing w:val="-2"/>
        </w:rPr>
        <w:t>CMMIL5</w:t>
      </w:r>
      <w:r>
        <w:rPr>
          <w:spacing w:val="-2"/>
        </w:rPr>
        <w:t>认证后，控股子公司久其政务在报告期也获得这一难度最</w:t>
      </w:r>
      <w:r>
        <w:rPr>
          <w:spacing w:val="-44"/>
        </w:rPr>
        <w:t> </w:t>
      </w:r>
      <w:r>
        <w:rPr>
          <w:spacing w:val="-44"/>
        </w:rPr>
      </w:r>
      <w:r>
        <w:rPr>
          <w:spacing w:val="-2"/>
        </w:rPr>
        <w:t>大、级别最高的世界软件能力成熟度认证。久其政务还通过了军工涉密业务咨询服务安全保密条件备案，以及涉密信息系统</w:t>
      </w:r>
      <w:r>
        <w:rPr>
          <w:spacing w:val="-67"/>
        </w:rPr>
        <w:t> </w:t>
      </w:r>
      <w:r>
        <w:rPr>
          <w:spacing w:val="-67"/>
        </w:rPr>
      </w:r>
      <w:r>
        <w:rPr>
          <w:spacing w:val="-3"/>
        </w:rPr>
        <w:t>集成资质（乙级</w:t>
      </w:r>
      <w:r>
        <w:rPr>
          <w:rFonts w:ascii="Times New Roman" w:hAnsi="Times New Roman" w:cs="Times New Roman" w:eastAsia="Times New Roman" w:hint="default"/>
          <w:spacing w:val="-3"/>
        </w:rPr>
        <w:t>-</w:t>
      </w:r>
      <w:r>
        <w:rPr>
          <w:spacing w:val="-3"/>
        </w:rPr>
        <w:t>系统集成）、</w:t>
      </w:r>
      <w:r>
        <w:rPr>
          <w:rFonts w:ascii="Times New Roman" w:hAnsi="Times New Roman" w:cs="Times New Roman" w:eastAsia="Times New Roman" w:hint="default"/>
          <w:spacing w:val="-3"/>
        </w:rPr>
        <w:t>GJB</w:t>
      </w:r>
      <w:r>
        <w:rPr>
          <w:rFonts w:ascii="Times New Roman" w:hAnsi="Times New Roman" w:cs="Times New Roman" w:eastAsia="Times New Roman" w:hint="default"/>
          <w:spacing w:val="-14"/>
        </w:rPr>
        <w:t> </w:t>
      </w:r>
      <w:r>
        <w:rPr>
          <w:rFonts w:ascii="Times New Roman" w:hAnsi="Times New Roman" w:cs="Times New Roman" w:eastAsia="Times New Roman" w:hint="default"/>
        </w:rPr>
        <w:t>9001B-2009</w:t>
      </w:r>
      <w:r>
        <w:rPr/>
        <w:t>武器装备质量管理体系、</w:t>
      </w:r>
      <w:r>
        <w:rPr>
          <w:rFonts w:ascii="Times New Roman" w:hAnsi="Times New Roman" w:cs="Times New Roman" w:eastAsia="Times New Roman" w:hint="default"/>
        </w:rPr>
        <w:t>ISO</w:t>
      </w:r>
      <w:r>
        <w:rPr>
          <w:rFonts w:ascii="Times New Roman" w:hAnsi="Times New Roman" w:cs="Times New Roman" w:eastAsia="Times New Roman" w:hint="default"/>
          <w:spacing w:val="-14"/>
        </w:rPr>
        <w:t> </w:t>
      </w:r>
      <w:r>
        <w:rPr>
          <w:rFonts w:ascii="Times New Roman" w:hAnsi="Times New Roman" w:cs="Times New Roman" w:eastAsia="Times New Roman" w:hint="default"/>
        </w:rPr>
        <w:t>27001</w:t>
      </w:r>
      <w:r>
        <w:rPr/>
        <w:t>信息安全管理体系、</w:t>
      </w:r>
      <w:r>
        <w:rPr>
          <w:rFonts w:ascii="Times New Roman" w:hAnsi="Times New Roman" w:cs="Times New Roman" w:eastAsia="Times New Roman" w:hint="default"/>
        </w:rPr>
        <w:t>ISO</w:t>
      </w:r>
      <w:r>
        <w:rPr>
          <w:rFonts w:ascii="Times New Roman" w:hAnsi="Times New Roman" w:cs="Times New Roman" w:eastAsia="Times New Roman" w:hint="default"/>
          <w:spacing w:val="-14"/>
        </w:rPr>
        <w:t> </w:t>
      </w:r>
      <w:r>
        <w:rPr>
          <w:rFonts w:ascii="Times New Roman" w:hAnsi="Times New Roman" w:cs="Times New Roman" w:eastAsia="Times New Roman" w:hint="default"/>
        </w:rPr>
        <w:t>20000IT</w:t>
      </w:r>
      <w:r>
        <w:rPr/>
        <w:t>服务管理 体系。</w:t>
      </w:r>
    </w:p>
    <w:p>
      <w:pPr>
        <w:spacing w:line="240" w:lineRule="auto" w:before="11"/>
        <w:rPr>
          <w:rFonts w:ascii="宋体" w:hAnsi="宋体" w:cs="宋体" w:eastAsia="宋体" w:hint="default"/>
          <w:sz w:val="25"/>
          <w:szCs w:val="25"/>
        </w:rPr>
      </w:pPr>
    </w:p>
    <w:p>
      <w:pPr>
        <w:pStyle w:val="BodyText"/>
        <w:spacing w:line="300" w:lineRule="auto"/>
        <w:ind w:right="1033"/>
        <w:jc w:val="left"/>
      </w:pPr>
      <w:r>
        <w:rPr/>
        <w:t>报告期，公司获评</w:t>
      </w:r>
      <w:r>
        <w:rPr>
          <w:rFonts w:ascii="Times New Roman" w:hAnsi="Times New Roman" w:cs="Times New Roman" w:eastAsia="Times New Roman" w:hint="default"/>
        </w:rPr>
        <w:t>2017</w:t>
      </w:r>
      <w:r>
        <w:rPr/>
        <w:t>中国大数据企业</w:t>
      </w:r>
      <w:r>
        <w:rPr>
          <w:rFonts w:ascii="Times New Roman" w:hAnsi="Times New Roman" w:cs="Times New Roman" w:eastAsia="Times New Roman" w:hint="default"/>
        </w:rPr>
        <w:t>50</w:t>
      </w:r>
      <w:r>
        <w:rPr/>
        <w:t>强、北京软件和信息服务百强企业、中关村高成长企业</w:t>
      </w:r>
      <w:r>
        <w:rPr>
          <w:rFonts w:ascii="Times New Roman" w:hAnsi="Times New Roman" w:cs="Times New Roman" w:eastAsia="Times New Roman" w:hint="default"/>
        </w:rPr>
        <w:t>TOP100</w:t>
      </w:r>
      <w:r>
        <w:rPr/>
        <w:t>和北京市诚信系统</w:t>
      </w:r>
      <w:r>
        <w:rPr>
          <w:spacing w:val="-68"/>
        </w:rPr>
        <w:t> </w:t>
      </w:r>
      <w:r>
        <w:rPr>
          <w:spacing w:val="-68"/>
        </w:rPr>
      </w:r>
      <w:r>
        <w:rPr/>
        <w:t>集成企业，并荣获中国大数据</w:t>
      </w:r>
      <w:r>
        <w:rPr>
          <w:rFonts w:ascii="Times New Roman" w:hAnsi="Times New Roman" w:cs="Times New Roman" w:eastAsia="Times New Roman" w:hint="default"/>
        </w:rPr>
        <w:t>•</w:t>
      </w:r>
      <w:r>
        <w:rPr/>
        <w:t>财政领域大数据最佳解决方案奖。各子公司亦凭借其突出表现进一步巩固市场地位，并获行</w:t>
      </w:r>
      <w:r>
        <w:rPr>
          <w:spacing w:val="-61"/>
        </w:rPr>
        <w:t> </w:t>
      </w:r>
      <w:r>
        <w:rPr>
          <w:spacing w:val="-61"/>
        </w:rPr>
      </w:r>
      <w:r>
        <w:rPr>
          <w:spacing w:val="-5"/>
        </w:rPr>
        <w:t>业认可。报告期，亿起联科技被中国互联网协会评为</w:t>
      </w:r>
      <w:r>
        <w:rPr>
          <w:rFonts w:ascii="Times New Roman" w:hAnsi="Times New Roman" w:cs="Times New Roman" w:eastAsia="Times New Roman" w:hint="default"/>
          <w:spacing w:val="-5"/>
        </w:rPr>
        <w:t>2017</w:t>
      </w:r>
      <w:r>
        <w:rPr>
          <w:spacing w:val="-5"/>
        </w:rPr>
        <w:t>年中国互联网企业</w:t>
      </w:r>
      <w:r>
        <w:rPr>
          <w:rFonts w:ascii="Times New Roman" w:hAnsi="Times New Roman" w:cs="Times New Roman" w:eastAsia="Times New Roman" w:hint="default"/>
          <w:spacing w:val="-5"/>
        </w:rPr>
        <w:t>100</w:t>
      </w:r>
      <w:r>
        <w:rPr>
          <w:spacing w:val="-5"/>
        </w:rPr>
        <w:t>强，获得第九届中国广告主峰会最具影响力</w:t>
      </w:r>
      <w:r>
        <w:rPr>
          <w:rFonts w:ascii="Times New Roman" w:hAnsi="Times New Roman" w:cs="Times New Roman" w:eastAsia="Times New Roman" w:hint="default"/>
          <w:spacing w:val="-5"/>
        </w:rPr>
        <w:t>“</w:t>
      </w:r>
      <w:r>
        <w:rPr>
          <w:spacing w:val="-5"/>
        </w:rPr>
        <w:t>互</w:t>
      </w:r>
      <w:r>
        <w:rPr>
          <w:spacing w:val="-52"/>
        </w:rPr>
        <w:t> </w:t>
      </w:r>
      <w:r>
        <w:rPr/>
        <w:t>联网</w:t>
      </w:r>
      <w:r>
        <w:rPr>
          <w:rFonts w:ascii="Times New Roman" w:hAnsi="Times New Roman" w:cs="Times New Roman" w:eastAsia="Times New Roman" w:hint="default"/>
        </w:rPr>
        <w:t>+”</w:t>
      </w:r>
      <w:r>
        <w:rPr/>
        <w:t>出海营销公司奖，</w:t>
      </w:r>
      <w:r>
        <w:rPr>
          <w:rFonts w:ascii="Times New Roman" w:hAnsi="Times New Roman" w:cs="Times New Roman" w:eastAsia="Times New Roman" w:hint="default"/>
        </w:rPr>
        <w:t>2017IAI</w:t>
      </w:r>
      <w:r>
        <w:rPr/>
        <w:t>国际创享节大数据营销类铜奖，</w:t>
      </w:r>
      <w:r>
        <w:rPr>
          <w:rFonts w:ascii="Times New Roman" w:hAnsi="Times New Roman" w:cs="Times New Roman" w:eastAsia="Times New Roman" w:hint="default"/>
        </w:rPr>
        <w:t>2017IAI</w:t>
      </w:r>
      <w:r>
        <w:rPr/>
        <w:t>新旅游营销峰会暨首届</w:t>
      </w:r>
      <w:r>
        <w:rPr>
          <w:rFonts w:ascii="Times New Roman" w:hAnsi="Times New Roman" w:cs="Times New Roman" w:eastAsia="Times New Roman" w:hint="default"/>
        </w:rPr>
        <w:t>IAI</w:t>
      </w:r>
      <w:r>
        <w:rPr/>
        <w:t>国际旅游整合营销类银</w:t>
      </w:r>
      <w:r>
        <w:rPr>
          <w:spacing w:val="-33"/>
        </w:rPr>
        <w:t> </w:t>
      </w:r>
      <w:r>
        <w:rPr>
          <w:spacing w:val="-33"/>
        </w:rPr>
      </w:r>
      <w:r>
        <w:rPr/>
        <w:t>奖，</w:t>
      </w:r>
      <w:r>
        <w:rPr>
          <w:rFonts w:ascii="Times New Roman" w:hAnsi="Times New Roman" w:cs="Times New Roman" w:eastAsia="Times New Roman" w:hint="default"/>
        </w:rPr>
        <w:t>GMGC</w:t>
      </w:r>
      <w:r>
        <w:rPr/>
        <w:t>全球游戏开发者大会</w:t>
      </w:r>
      <w:r>
        <w:rPr>
          <w:rFonts w:ascii="Times New Roman" w:hAnsi="Times New Roman" w:cs="Times New Roman" w:eastAsia="Times New Roman" w:hint="default"/>
        </w:rPr>
        <w:t>2017</w:t>
      </w:r>
      <w:r>
        <w:rPr/>
        <w:t>年度最佳移动游戏营销平台，第六届中国传播领袖论坛暨蒲公英之夜年度最佳产品奖、 </w:t>
      </w:r>
      <w:r>
        <w:rPr>
          <w:spacing w:val="-2"/>
        </w:rPr>
        <w:t>海外营销类银奖，并被</w:t>
      </w:r>
      <w:r>
        <w:rPr>
          <w:rFonts w:ascii="Times New Roman" w:hAnsi="Times New Roman" w:cs="Times New Roman" w:eastAsia="Times New Roman" w:hint="default"/>
          <w:spacing w:val="-2"/>
        </w:rPr>
        <w:t>Facebook</w:t>
      </w:r>
      <w:r>
        <w:rPr>
          <w:spacing w:val="-2"/>
        </w:rPr>
        <w:t>官方评为中国区优质广告合作伙伴。瑞意恒动相继获得第九届中国广告主峰会整合传播类金</w:t>
      </w:r>
      <w:r>
        <w:rPr>
          <w:spacing w:val="-40"/>
        </w:rPr>
        <w:t> </w:t>
      </w:r>
      <w:r>
        <w:rPr>
          <w:spacing w:val="-40"/>
        </w:rPr>
      </w:r>
      <w:r>
        <w:rPr/>
        <w:t>奖、综合类银奖、网络类铜奖和最具营销创新力企业，</w:t>
      </w:r>
      <w:r>
        <w:rPr>
          <w:rFonts w:ascii="Times New Roman" w:hAnsi="Times New Roman" w:cs="Times New Roman" w:eastAsia="Times New Roman" w:hint="default"/>
        </w:rPr>
        <w:t>2017IAI</w:t>
      </w:r>
      <w:r>
        <w:rPr/>
        <w:t>国际创享节公益类案例铜奖，</w:t>
      </w:r>
      <w:r>
        <w:rPr>
          <w:rFonts w:ascii="Times New Roman" w:hAnsi="Times New Roman" w:cs="Times New Roman" w:eastAsia="Times New Roman" w:hint="default"/>
        </w:rPr>
        <w:t>2017</w:t>
      </w:r>
      <w:r>
        <w:rPr/>
        <w:t>中国内容营销盛典最佳社</w:t>
      </w:r>
      <w:r>
        <w:rPr>
          <w:spacing w:val="-66"/>
        </w:rPr>
        <w:t> </w:t>
      </w:r>
      <w:r>
        <w:rPr>
          <w:spacing w:val="-66"/>
        </w:rPr>
      </w:r>
      <w:r>
        <w:rPr/>
        <w:t>会化整合营销案例类银奖，</w:t>
      </w:r>
      <w:r>
        <w:rPr>
          <w:rFonts w:ascii="Times New Roman" w:hAnsi="Times New Roman" w:cs="Times New Roman" w:eastAsia="Times New Roman" w:hint="default"/>
        </w:rPr>
        <w:t>2017</w:t>
      </w:r>
      <w:r>
        <w:rPr/>
        <w:t>第五届</w:t>
      </w:r>
      <w:r>
        <w:rPr>
          <w:rFonts w:ascii="Times New Roman" w:hAnsi="Times New Roman" w:cs="Times New Roman" w:eastAsia="Times New Roman" w:hint="default"/>
        </w:rPr>
        <w:t>TopDigital</w:t>
      </w:r>
      <w:r>
        <w:rPr/>
        <w:t>创新盛典创意整合服务类金奖、整合营销服务类银奖和铜奖等。</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983"/>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3"/>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（一）总体情况</w:t>
      </w:r>
    </w:p>
    <w:p>
      <w:pPr>
        <w:spacing w:line="240" w:lineRule="auto" w:before="0"/>
        <w:rPr>
          <w:rFonts w:ascii="宋体" w:hAnsi="宋体" w:cs="宋体" w:eastAsia="宋体" w:hint="default"/>
          <w:sz w:val="18"/>
          <w:szCs w:val="18"/>
        </w:rPr>
      </w:pPr>
    </w:p>
    <w:p>
      <w:pPr>
        <w:pStyle w:val="BodyText"/>
        <w:spacing w:line="307" w:lineRule="auto" w:before="153"/>
        <w:ind w:right="983"/>
        <w:jc w:val="left"/>
      </w:pPr>
      <w:r>
        <w:rPr>
          <w:spacing w:val="-2"/>
        </w:rPr>
        <w:t>报告期，公司以大数据战略为指引，以管理软件业务和数字传播业务双轮驱动，围绕业务咨询、产品技术、解决方案全面提</w:t>
      </w:r>
      <w:r>
        <w:rPr>
          <w:spacing w:val="-66"/>
        </w:rPr>
        <w:t> </w:t>
      </w:r>
      <w:r>
        <w:rPr>
          <w:spacing w:val="-66"/>
        </w:rPr>
      </w:r>
      <w:r>
        <w:rPr>
          <w:spacing w:val="-2"/>
        </w:rPr>
        <w:t>升</w:t>
      </w:r>
      <w:r>
        <w:rPr>
          <w:rFonts w:ascii="Times New Roman" w:hAnsi="Times New Roman" w:cs="Times New Roman" w:eastAsia="Times New Roman" w:hint="default"/>
          <w:spacing w:val="-2"/>
        </w:rPr>
        <w:t>B2B2C</w:t>
      </w:r>
      <w:r>
        <w:rPr>
          <w:spacing w:val="-2"/>
        </w:rPr>
        <w:t>大数据综合服务能力，加速构建面向政企客户的大数据生态体系，综合竞争力得以持续提升，经营业绩实现稳健增</w:t>
      </w:r>
      <w:r>
        <w:rPr>
          <w:spacing w:val="-66"/>
        </w:rPr>
        <w:t> </w:t>
      </w:r>
      <w:r>
        <w:rPr>
          <w:spacing w:val="-66"/>
        </w:rPr>
      </w:r>
      <w:r>
        <w:rPr/>
        <w:t>长。本报告期公司共实现营业收入</w:t>
      </w:r>
      <w:r>
        <w:rPr>
          <w:rFonts w:ascii="Times New Roman" w:hAnsi="Times New Roman" w:cs="Times New Roman" w:eastAsia="Times New Roman" w:hint="default"/>
        </w:rPr>
        <w:t>199,217.70</w:t>
      </w:r>
      <w:r>
        <w:rPr/>
        <w:t>万元，同比增幅</w:t>
      </w:r>
      <w:r>
        <w:rPr>
          <w:rFonts w:ascii="Times New Roman" w:hAnsi="Times New Roman" w:cs="Times New Roman" w:eastAsia="Times New Roman" w:hint="default"/>
        </w:rPr>
        <w:t>50.83%</w:t>
      </w:r>
      <w:r>
        <w:rPr/>
        <w:t>；实现利润总额</w:t>
      </w:r>
      <w:r>
        <w:rPr>
          <w:rFonts w:ascii="Times New Roman" w:hAnsi="Times New Roman" w:cs="Times New Roman" w:eastAsia="Times New Roman" w:hint="default"/>
        </w:rPr>
        <w:t>37,882.20</w:t>
      </w:r>
      <w:r>
        <w:rPr/>
        <w:t>万元，同比增幅</w:t>
      </w:r>
      <w:r>
        <w:rPr>
          <w:rFonts w:ascii="Times New Roman" w:hAnsi="Times New Roman" w:cs="Times New Roman" w:eastAsia="Times New Roman" w:hint="default"/>
        </w:rPr>
        <w:t>61.58%</w:t>
      </w:r>
      <w:r>
        <w:rPr/>
        <w:t>；实现 归属于上市公司股东的净利润</w:t>
      </w:r>
      <w:r>
        <w:rPr>
          <w:rFonts w:ascii="Times New Roman" w:hAnsi="Times New Roman" w:cs="Times New Roman" w:eastAsia="Times New Roman" w:hint="default"/>
        </w:rPr>
        <w:t>30,694.34</w:t>
      </w:r>
      <w:r>
        <w:rPr/>
        <w:t>万元，同比增幅</w:t>
      </w:r>
      <w:r>
        <w:rPr>
          <w:rFonts w:ascii="Times New Roman" w:hAnsi="Times New Roman" w:cs="Times New Roman" w:eastAsia="Times New Roman" w:hint="default"/>
        </w:rPr>
        <w:t>40.41%</w:t>
      </w:r>
      <w:r>
        <w:rPr/>
        <w:t>。公司在</w:t>
      </w:r>
      <w:r>
        <w:rPr>
          <w:rFonts w:ascii="Times New Roman" w:hAnsi="Times New Roman" w:cs="Times New Roman" w:eastAsia="Times New Roman" w:hint="default"/>
        </w:rPr>
        <w:t>2017</w:t>
      </w:r>
      <w:r>
        <w:rPr/>
        <w:t>年初控股收购的上海移通于报告期</w:t>
      </w:r>
      <w:r>
        <w:rPr>
          <w:rFonts w:ascii="Times New Roman" w:hAnsi="Times New Roman" w:cs="Times New Roman" w:eastAsia="Times New Roman" w:hint="default"/>
        </w:rPr>
        <w:t>4</w:t>
      </w:r>
      <w:r>
        <w:rPr/>
        <w:t>月正式纳入 合并范围，若剔除合并上海移通的影响，本报告期公司共实现营业收入</w:t>
      </w:r>
      <w:r>
        <w:rPr>
          <w:rFonts w:ascii="Times New Roman" w:hAnsi="Times New Roman" w:cs="Times New Roman" w:eastAsia="Times New Roman" w:hint="default"/>
        </w:rPr>
        <w:t>154,406.42</w:t>
      </w:r>
      <w:r>
        <w:rPr/>
        <w:t>万元，同比增幅</w:t>
      </w:r>
      <w:r>
        <w:rPr>
          <w:rFonts w:ascii="Times New Roman" w:hAnsi="Times New Roman" w:cs="Times New Roman" w:eastAsia="Times New Roman" w:hint="default"/>
        </w:rPr>
        <w:t>16.90%</w:t>
      </w:r>
      <w:r>
        <w:rPr/>
        <w:t>，实现归属于上市 公司股东的净利润</w:t>
      </w:r>
      <w:r>
        <w:rPr>
          <w:rFonts w:ascii="Times New Roman" w:hAnsi="Times New Roman" w:cs="Times New Roman" w:eastAsia="Times New Roman" w:hint="default"/>
        </w:rPr>
        <w:t>26,245.97</w:t>
      </w:r>
      <w:r>
        <w:rPr/>
        <w:t>万元，同比增幅</w:t>
      </w:r>
      <w:r>
        <w:rPr>
          <w:rFonts w:ascii="Times New Roman" w:hAnsi="Times New Roman" w:cs="Times New Roman" w:eastAsia="Times New Roman" w:hint="default"/>
        </w:rPr>
        <w:t>20.06%</w:t>
      </w:r>
      <w:r>
        <w:rPr/>
        <w:t>。 </w:t>
      </w:r>
      <w:r>
        <w:rPr>
          <w:spacing w:val="-2"/>
        </w:rPr>
        <w:t>报告期，公司在保持对大数据和人工智能前沿技术跟踪的基础上，充分运用大数据和人工智能相关技术为现有业务和产品赋</w:t>
      </w:r>
      <w:r>
        <w:rPr>
          <w:spacing w:val="-64"/>
        </w:rPr>
        <w:t> </w:t>
      </w:r>
      <w:r>
        <w:rPr>
          <w:spacing w:val="-64"/>
        </w:rPr>
      </w:r>
      <w:r>
        <w:rPr>
          <w:spacing w:val="-2"/>
        </w:rPr>
        <w:t>能，在大数据分析建模、信用管理、高级数据挖掘模型、深度神经网络、大数据仿真、自然语言处理与知识图谱和系统动力</w:t>
      </w:r>
      <w:r>
        <w:rPr>
          <w:spacing w:val="-68"/>
        </w:rPr>
        <w:t> </w:t>
      </w:r>
      <w:r>
        <w:rPr>
          <w:spacing w:val="-68"/>
        </w:rPr>
      </w:r>
      <w:r>
        <w:rPr>
          <w:spacing w:val="-2"/>
        </w:rPr>
        <w:t>学等大数据前沿技术研究方面取得了一定进步，同时久其大数据品牌建设亦全面升级，报告期公司亮相数博会、中国大数据</w:t>
      </w:r>
      <w:r>
        <w:rPr>
          <w:spacing w:val="-66"/>
        </w:rPr>
        <w:t> </w:t>
      </w:r>
      <w:r>
        <w:rPr>
          <w:spacing w:val="-66"/>
        </w:rPr>
      </w:r>
      <w:r>
        <w:rPr>
          <w:spacing w:val="-4"/>
        </w:rPr>
        <w:t>生态系统峰会、大数据城市行、中国大数据生态大会和北京大数据日等行业活动，进一步深化了久其大数据在业内的影响力。</w:t>
      </w:r>
    </w:p>
    <w:p>
      <w:pPr>
        <w:spacing w:line="240" w:lineRule="auto" w:before="11"/>
        <w:rPr>
          <w:rFonts w:ascii="宋体" w:hAnsi="宋体" w:cs="宋体" w:eastAsia="宋体" w:hint="default"/>
          <w:sz w:val="25"/>
          <w:szCs w:val="25"/>
        </w:rPr>
      </w:pPr>
    </w:p>
    <w:p>
      <w:pPr>
        <w:pStyle w:val="BodyText"/>
        <w:spacing w:line="240" w:lineRule="auto"/>
        <w:ind w:left="154" w:right="983"/>
        <w:jc w:val="left"/>
      </w:pPr>
      <w:r>
        <w:rPr/>
        <w:t>（二）主要业务情况</w:t>
      </w:r>
    </w:p>
    <w:p>
      <w:pPr>
        <w:spacing w:line="240" w:lineRule="auto" w:before="0"/>
        <w:rPr>
          <w:rFonts w:ascii="宋体" w:hAnsi="宋体" w:cs="宋体" w:eastAsia="宋体" w:hint="default"/>
          <w:sz w:val="18"/>
          <w:szCs w:val="18"/>
        </w:rPr>
      </w:pPr>
    </w:p>
    <w:p>
      <w:pPr>
        <w:pStyle w:val="BodyText"/>
        <w:spacing w:line="309" w:lineRule="auto" w:before="153"/>
        <w:ind w:right="983"/>
        <w:jc w:val="left"/>
      </w:pPr>
      <w:r>
        <w:rPr>
          <w:rFonts w:ascii="Times New Roman" w:hAnsi="Times New Roman" w:cs="Times New Roman" w:eastAsia="Times New Roman" w:hint="default"/>
        </w:rPr>
        <w:t>1</w:t>
      </w:r>
      <w:r>
        <w:rPr/>
        <w:t>、电子政务业务 </w:t>
      </w:r>
      <w:r>
        <w:rPr>
          <w:spacing w:val="-2"/>
        </w:rPr>
        <w:t>公司电子政务业务在报告期共实现收入</w:t>
      </w:r>
      <w:r>
        <w:rPr>
          <w:rFonts w:ascii="Times New Roman" w:hAnsi="Times New Roman" w:cs="Times New Roman" w:eastAsia="Times New Roman" w:hint="default"/>
          <w:spacing w:val="-2"/>
        </w:rPr>
        <w:t>55,308.22</w:t>
      </w:r>
      <w:r>
        <w:rPr>
          <w:spacing w:val="-2"/>
        </w:rPr>
        <w:t>万元，同比增幅</w:t>
      </w:r>
      <w:r>
        <w:rPr>
          <w:rFonts w:ascii="Times New Roman" w:hAnsi="Times New Roman" w:cs="Times New Roman" w:eastAsia="Times New Roman" w:hint="default"/>
          <w:spacing w:val="-2"/>
        </w:rPr>
        <w:t>2.58%</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国家政务信息化工程建设规</w:t>
      </w:r>
      <w:r>
        <w:rPr>
          <w:spacing w:val="-44"/>
        </w:rPr>
        <w:t> </w:t>
      </w:r>
      <w:r>
        <w:rPr>
          <w:spacing w:val="-2"/>
        </w:rPr>
        <w:t>划》正式颁布，标志着我国政务信息化迈入了创新发展的新阶段。电子政务是公司深耕二十年的传统优势所在，这也为公司</w:t>
      </w:r>
      <w:r>
        <w:rPr>
          <w:spacing w:val="-66"/>
        </w:rPr>
        <w:t> </w:t>
      </w:r>
      <w:r>
        <w:rPr>
          <w:spacing w:val="-66"/>
        </w:rPr>
      </w:r>
      <w:r>
        <w:rPr>
          <w:spacing w:val="-4"/>
        </w:rPr>
        <w:t>深化落实政府大数据战略奠定了坚实的基础。报告期，公司秉承政府管理和社会治理创新发展的思路，深度聚焦财政、交通、</w:t>
      </w:r>
      <w:r>
        <w:rPr>
          <w:spacing w:val="-46"/>
        </w:rPr>
        <w:t> </w:t>
      </w:r>
      <w:r>
        <w:rPr>
          <w:spacing w:val="-46"/>
        </w:rPr>
      </w:r>
      <w:r>
        <w:rPr/>
        <w:t>司法、民生等领域，进一步推进政府大数据应用场景的落地，助力政府客户提升其公共服务和行政管理能力。</w:t>
      </w:r>
    </w:p>
    <w:p>
      <w:pPr>
        <w:spacing w:line="240" w:lineRule="auto" w:before="9"/>
        <w:rPr>
          <w:rFonts w:ascii="宋体" w:hAnsi="宋体" w:cs="宋体" w:eastAsia="宋体" w:hint="default"/>
          <w:sz w:val="25"/>
          <w:szCs w:val="25"/>
        </w:rPr>
      </w:pPr>
    </w:p>
    <w:p>
      <w:pPr>
        <w:pStyle w:val="BodyText"/>
        <w:tabs>
          <w:tab w:pos="573" w:val="left" w:leader="none"/>
        </w:tabs>
        <w:spacing w:line="302" w:lineRule="auto"/>
        <w:ind w:right="1049"/>
        <w:jc w:val="left"/>
      </w:pPr>
      <w:r>
        <w:rPr>
          <w:rFonts w:ascii="Times New Roman" w:hAnsi="Times New Roman" w:cs="Times New Roman" w:eastAsia="Times New Roman" w:hint="default"/>
        </w:rPr>
        <w:t>(1)</w:t>
        <w:tab/>
      </w:r>
      <w:r>
        <w:rPr/>
        <w:t>财政行业</w:t>
      </w:r>
      <w:r>
        <w:rPr>
          <w:w w:val="99"/>
        </w:rPr>
        <w:t> </w:t>
      </w:r>
      <w:r>
        <w:rPr>
          <w:spacing w:val="-2"/>
        </w:rPr>
        <w:t>财政报表业务方面，报告期公司承建的财政部</w:t>
      </w:r>
      <w:r>
        <w:rPr>
          <w:rFonts w:ascii="Times New Roman" w:hAnsi="Times New Roman" w:cs="Times New Roman" w:eastAsia="Times New Roman" w:hint="default"/>
          <w:spacing w:val="-2"/>
        </w:rPr>
        <w:t>“</w:t>
      </w:r>
      <w:r>
        <w:rPr>
          <w:spacing w:val="-2"/>
        </w:rPr>
        <w:t>横向一体化、纵向集中化、全国系统化</w:t>
      </w:r>
      <w:r>
        <w:rPr>
          <w:rFonts w:ascii="Times New Roman" w:hAnsi="Times New Roman" w:cs="Times New Roman" w:eastAsia="Times New Roman" w:hint="default"/>
          <w:spacing w:val="-2"/>
        </w:rPr>
        <w:t>”</w:t>
      </w:r>
      <w:r>
        <w:rPr>
          <w:spacing w:val="-2"/>
        </w:rPr>
        <w:t>的统一报表项目完成开发，除进一步</w:t>
      </w:r>
      <w:r>
        <w:rPr>
          <w:spacing w:val="-44"/>
        </w:rPr>
        <w:t> </w:t>
      </w:r>
      <w:r>
        <w:rPr>
          <w:spacing w:val="-44"/>
        </w:rPr>
      </w:r>
      <w:r>
        <w:rPr>
          <w:spacing w:val="-2"/>
        </w:rPr>
        <w:t>夯实了公司在财政统计业务方面的领先地位外，有效挖掘了财政业务深度，为后续的大数据分析应用提供基础。资产管理业</w:t>
      </w:r>
      <w:r>
        <w:rPr>
          <w:spacing w:val="-66"/>
        </w:rPr>
        <w:t> </w:t>
      </w:r>
      <w:r>
        <w:rPr>
          <w:spacing w:val="-66"/>
        </w:rPr>
      </w:r>
      <w:r>
        <w:rPr/>
        <w:t>务方面，以资产大数据为核心的行政事业单位资产管理信息系统三期项目于报告期初正式启动，经过</w:t>
      </w:r>
      <w:r>
        <w:rPr>
          <w:rFonts w:ascii="Times New Roman" w:hAnsi="Times New Roman" w:cs="Times New Roman" w:eastAsia="Times New Roman" w:hint="default"/>
        </w:rPr>
        <w:t>10</w:t>
      </w:r>
      <w:r>
        <w:rPr/>
        <w:t>个月的开发与测试， </w:t>
      </w:r>
      <w:r>
        <w:rPr>
          <w:spacing w:val="-2"/>
        </w:rPr>
        <w:t>已在</w:t>
      </w:r>
      <w:r>
        <w:rPr>
          <w:rFonts w:ascii="Times New Roman" w:hAnsi="Times New Roman" w:cs="Times New Roman" w:eastAsia="Times New Roman" w:hint="default"/>
          <w:spacing w:val="-2"/>
        </w:rPr>
        <w:t>5</w:t>
      </w:r>
      <w:r>
        <w:rPr>
          <w:spacing w:val="-2"/>
        </w:rPr>
        <w:t>个中央部门和</w:t>
      </w:r>
      <w:r>
        <w:rPr>
          <w:rFonts w:ascii="Times New Roman" w:hAnsi="Times New Roman" w:cs="Times New Roman" w:eastAsia="Times New Roman" w:hint="default"/>
          <w:spacing w:val="-2"/>
        </w:rPr>
        <w:t>3</w:t>
      </w:r>
      <w:r>
        <w:rPr>
          <w:spacing w:val="-2"/>
        </w:rPr>
        <w:t>个地方财政部门启动试运行，为</w:t>
      </w:r>
      <w:r>
        <w:rPr>
          <w:rFonts w:ascii="Times New Roman" w:hAnsi="Times New Roman" w:cs="Times New Roman" w:eastAsia="Times New Roman" w:hint="default"/>
          <w:spacing w:val="-2"/>
        </w:rPr>
        <w:t>2018</w:t>
      </w:r>
      <w:r>
        <w:rPr>
          <w:spacing w:val="-2"/>
        </w:rPr>
        <w:t>年向全国推广提供必要保障；此外，公司新产品政府资产报告系统</w:t>
      </w:r>
      <w:r>
        <w:rPr>
          <w:spacing w:val="-60"/>
        </w:rPr>
        <w:t> </w:t>
      </w:r>
      <w:r>
        <w:rPr>
          <w:spacing w:val="-60"/>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月底正式上线，在四川省首次实现了政府资产报告省级网络化管理，为</w:t>
      </w:r>
      <w:r>
        <w:rPr>
          <w:rFonts w:ascii="Times New Roman" w:hAnsi="Times New Roman" w:cs="Times New Roman" w:eastAsia="Times New Roman" w:hint="default"/>
        </w:rPr>
        <w:t>2018</w:t>
      </w:r>
      <w:r>
        <w:rPr/>
        <w:t>年全国推广打下了良好基础；财务决</w:t>
      </w:r>
      <w:r>
        <w:rPr>
          <w:spacing w:val="-82"/>
        </w:rPr>
        <w:t> </w:t>
      </w:r>
      <w:r>
        <w:rPr>
          <w:spacing w:val="-82"/>
        </w:rPr>
      </w:r>
      <w:r>
        <w:rPr/>
        <w:t>算业务方面，部门决算网络版系统的建设和推广在全国</w:t>
      </w:r>
      <w:r>
        <w:rPr>
          <w:rFonts w:ascii="Times New Roman" w:hAnsi="Times New Roman" w:cs="Times New Roman" w:eastAsia="Times New Roman" w:hint="default"/>
        </w:rPr>
        <w:t>20</w:t>
      </w:r>
      <w:r>
        <w:rPr/>
        <w:t>余个省份稳步推进。</w:t>
      </w:r>
    </w:p>
    <w:p>
      <w:pPr>
        <w:spacing w:line="240" w:lineRule="auto" w:before="9"/>
        <w:rPr>
          <w:rFonts w:ascii="宋体" w:hAnsi="宋体" w:cs="宋体" w:eastAsia="宋体" w:hint="default"/>
          <w:sz w:val="24"/>
          <w:szCs w:val="24"/>
        </w:rPr>
      </w:pPr>
    </w:p>
    <w:p>
      <w:pPr>
        <w:pStyle w:val="BodyText"/>
        <w:tabs>
          <w:tab w:pos="573" w:val="left" w:leader="none"/>
        </w:tabs>
        <w:spacing w:line="309" w:lineRule="auto"/>
        <w:ind w:right="1129"/>
        <w:jc w:val="left"/>
      </w:pPr>
      <w:r>
        <w:rPr>
          <w:rFonts w:ascii="Times New Roman" w:hAnsi="Times New Roman" w:cs="Times New Roman" w:eastAsia="Times New Roman" w:hint="default"/>
        </w:rPr>
        <w:t>(2)</w:t>
        <w:tab/>
      </w:r>
      <w:r>
        <w:rPr/>
        <w:t>交通行业</w:t>
      </w:r>
      <w:r>
        <w:rPr>
          <w:w w:val="99"/>
        </w:rPr>
        <w:t> </w:t>
      </w:r>
      <w:r>
        <w:rPr>
          <w:spacing w:val="-2"/>
        </w:rPr>
        <w:t>报告期，公司紧紧围绕交通运输信息化</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发展规划，通过建立和完善交通运输数据资源开放共享平台、交通运输决策</w:t>
      </w:r>
      <w:r>
        <w:rPr>
          <w:spacing w:val="-43"/>
        </w:rPr>
        <w:t> </w:t>
      </w:r>
      <w:r>
        <w:rPr>
          <w:spacing w:val="-43"/>
        </w:rPr>
      </w:r>
      <w:r>
        <w:rPr/>
        <w:t>支持平台、交通运输财务管理平台等解决方案，探索交通行业数据资源共享与价值挖掘，践行</w:t>
      </w:r>
      <w:r>
        <w:rPr>
          <w:rFonts w:ascii="Times New Roman" w:hAnsi="Times New Roman" w:cs="Times New Roman" w:eastAsia="Times New Roman" w:hint="default"/>
        </w:rPr>
        <w:t>“</w:t>
      </w:r>
      <w:r>
        <w:rPr/>
        <w:t>大交通</w:t>
      </w:r>
      <w:r>
        <w:rPr>
          <w:rFonts w:ascii="Times New Roman" w:hAnsi="Times New Roman" w:cs="Times New Roman" w:eastAsia="Times New Roman" w:hint="default"/>
        </w:rPr>
        <w:t>”</w:t>
      </w:r>
      <w:r>
        <w:rPr/>
        <w:t>的目标战略。</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年上半年顺利签约中国民航局空管财务管理信息系统、交通运输部综合交通运输统计信息决策支持系统、中国交通通信信息</w:t>
      </w:r>
      <w:r>
        <w:rPr>
          <w:spacing w:val="-63"/>
        </w:rPr>
        <w:t> </w:t>
      </w:r>
      <w:r>
        <w:rPr>
          <w:spacing w:val="-63"/>
        </w:rPr>
      </w:r>
      <w:r>
        <w:rPr>
          <w:spacing w:val="-2"/>
        </w:rPr>
        <w:t>中心交通运输财务审计信息管理系统等三个千万级项目，进一步奠定了公司在交通行业财管与统计的领先地位。报告期下半</w:t>
      </w:r>
      <w:r>
        <w:rPr>
          <w:spacing w:val="-64"/>
        </w:rPr>
        <w:t> </w:t>
      </w:r>
      <w:r>
        <w:rPr>
          <w:spacing w:val="-64"/>
        </w:rPr>
      </w:r>
      <w:r>
        <w:rPr>
          <w:spacing w:val="-2"/>
        </w:rPr>
        <w:t>年公司成功中标云南省公路局云计算数据中心系统、甘肃省交通运输行业数据资源交换共享与开放应用平台、黑龙江省公路</w:t>
      </w:r>
      <w:r>
        <w:rPr>
          <w:spacing w:val="-64"/>
        </w:rPr>
        <w:t> </w:t>
      </w:r>
      <w:r>
        <w:rPr>
          <w:spacing w:val="-64"/>
        </w:rPr>
      </w:r>
      <w:r>
        <w:rPr/>
        <w:t>路政管理局科技治超应用系统及数据资源建设等项目，实现了公司在交通数据中心、治超应用等业务领域的突破与延伸。</w:t>
      </w:r>
    </w:p>
    <w:p>
      <w:pPr>
        <w:spacing w:line="240" w:lineRule="auto" w:before="9"/>
        <w:rPr>
          <w:rFonts w:ascii="宋体" w:hAnsi="宋体" w:cs="宋体" w:eastAsia="宋体" w:hint="default"/>
          <w:sz w:val="25"/>
          <w:szCs w:val="25"/>
        </w:rPr>
      </w:pPr>
    </w:p>
    <w:p>
      <w:pPr>
        <w:pStyle w:val="BodyText"/>
        <w:tabs>
          <w:tab w:pos="573" w:val="left" w:leader="none"/>
        </w:tabs>
        <w:spacing w:line="240" w:lineRule="auto"/>
        <w:ind w:right="983"/>
        <w:jc w:val="left"/>
      </w:pPr>
      <w:r>
        <w:rPr>
          <w:rFonts w:ascii="Times New Roman" w:hAnsi="Times New Roman" w:cs="Times New Roman" w:eastAsia="Times New Roman" w:hint="default"/>
        </w:rPr>
        <w:t>(3)</w:t>
        <w:tab/>
      </w:r>
      <w:r>
        <w:rPr/>
        <w:t>司法行业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983"/>
        <w:jc w:val="left"/>
      </w:pPr>
      <w:r>
        <w:rPr/>
        <w:t>报告期，公司全资子公司华夏电通以</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赋能司法服务，深化法律知识图谱的构建与应用，推动公司业务向</w:t>
      </w:r>
      <w:r>
        <w:rPr>
          <w:spacing w:val="-77"/>
        </w:rPr>
        <w:t> </w:t>
      </w:r>
      <w:r>
        <w:rPr>
          <w:spacing w:val="-77"/>
        </w:rPr>
      </w:r>
      <w:r>
        <w:rPr>
          <w:spacing w:val="-5"/>
        </w:rPr>
        <w:t>智慧法院的战略升级，业务结构持续优化，实现了从数字法庭的单引擎到智慧法庭与智慧审判相结合双引擎驱动的转变。</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spacing w:val="-4"/>
        </w:rPr>
        <w:t>年，华夏电通与山西朔州市中级人民法院、晋中市中级人民法院签署了智慧法院战略合作协议，实现了智慧法院业务的落地，</w:t>
      </w:r>
      <w:r>
        <w:rPr>
          <w:spacing w:val="-44"/>
        </w:rPr>
        <w:t> </w:t>
      </w:r>
      <w:r>
        <w:rPr>
          <w:spacing w:val="-44"/>
        </w:rPr>
      </w:r>
      <w:r>
        <w:rPr>
          <w:spacing w:val="-2"/>
        </w:rPr>
        <w:t>并通过辽宁北镇市人民法院智慧法院系统的建设和交付，为业务向全省乃至全国推广打好了基础。面向智慧法院建设的互联</w:t>
      </w:r>
      <w:r>
        <w:rPr>
          <w:spacing w:val="-64"/>
        </w:rPr>
        <w:t> </w:t>
      </w:r>
      <w:r>
        <w:rPr>
          <w:spacing w:val="-64"/>
        </w:rPr>
      </w:r>
      <w:r>
        <w:rPr>
          <w:spacing w:val="-2"/>
        </w:rPr>
        <w:t>网开庭系统、卷宗深度应用系统、庭审辅助系统、文书一键生成系统、自助刻录打印一体机、大屏可视化等产品与解决方案</w:t>
      </w:r>
      <w:r>
        <w:rPr>
          <w:spacing w:val="-66"/>
        </w:rPr>
        <w:t> </w:t>
      </w:r>
      <w:r>
        <w:rPr>
          <w:spacing w:val="-66"/>
        </w:rPr>
      </w:r>
      <w:r>
        <w:rPr>
          <w:spacing w:val="-3"/>
          <w:w w:val="100"/>
        </w:rPr>
        <w:t>不断向全国各级法院推广和应用。华夏电通的</w:t>
      </w:r>
      <w:r>
        <w:rPr>
          <w:rFonts w:ascii="Times New Roman" w:hAnsi="Times New Roman" w:cs="Times New Roman" w:eastAsia="Times New Roman" w:hint="default"/>
          <w:spacing w:val="-3"/>
          <w:w w:val="100"/>
        </w:rPr>
        <w:t>“</w:t>
      </w:r>
      <w:r>
        <w:rPr>
          <w:spacing w:val="-3"/>
          <w:w w:val="100"/>
        </w:rPr>
        <w:t>互联网法律服务平台</w:t>
      </w:r>
      <w:r>
        <w:rPr>
          <w:rFonts w:ascii="Times New Roman" w:hAnsi="Times New Roman" w:cs="Times New Roman" w:eastAsia="Times New Roman" w:hint="default"/>
          <w:spacing w:val="-3"/>
          <w:w w:val="100"/>
        </w:rPr>
        <w:t>”</w:t>
      </w:r>
      <w:r>
        <w:rPr>
          <w:spacing w:val="-3"/>
          <w:w w:val="100"/>
        </w:rPr>
        <w:t>正在建设之中，通过构建泛司法领域的</w:t>
      </w:r>
      <w:r>
        <w:rPr>
          <w:rFonts w:ascii="Times New Roman" w:hAnsi="Times New Roman" w:cs="Times New Roman" w:eastAsia="Times New Roman" w:hint="default"/>
          <w:spacing w:val="-3"/>
          <w:w w:val="100"/>
        </w:rPr>
        <w:t>B2B2C</w:t>
      </w:r>
      <w:r>
        <w:rPr>
          <w:spacing w:val="-3"/>
          <w:w w:val="100"/>
        </w:rPr>
        <w:t>的生态圈，</w:t>
      </w:r>
      <w:r>
        <w:rPr>
          <w:spacing w:val="-73"/>
          <w:w w:val="100"/>
        </w:rPr>
        <w:t> </w:t>
      </w:r>
      <w:r>
        <w:rPr/>
        <w:t>努力践行</w:t>
      </w:r>
      <w:r>
        <w:rPr>
          <w:rFonts w:ascii="Times New Roman" w:hAnsi="Times New Roman" w:cs="Times New Roman" w:eastAsia="Times New Roman" w:hint="default"/>
        </w:rPr>
        <w:t>“</w:t>
      </w:r>
      <w:r>
        <w:rPr/>
        <w:t>让老百姓打官司更容易</w:t>
      </w:r>
      <w:r>
        <w:rPr>
          <w:rFonts w:ascii="Times New Roman" w:hAnsi="Times New Roman" w:cs="Times New Roman" w:eastAsia="Times New Roman" w:hint="default"/>
        </w:rPr>
        <w:t>”</w:t>
      </w:r>
      <w:r>
        <w:rPr/>
        <w:t>的目标。此外，公司与华夏电通的融合效应更加显著，公司原有的行政事业单位财务业务 </w:t>
      </w:r>
      <w:r>
        <w:rPr>
          <w:spacing w:val="-2"/>
        </w:rPr>
        <w:t>综合管理解决方案在司法部门实现新的突破，报告期先后签约司法部计财司、云南高院、湖北高院、海南高院等客户，为开</w:t>
      </w:r>
      <w:r>
        <w:rPr>
          <w:spacing w:val="-66"/>
        </w:rPr>
        <w:t> </w:t>
      </w:r>
      <w:r>
        <w:rPr>
          <w:spacing w:val="-66"/>
        </w:rPr>
      </w:r>
      <w:r>
        <w:rPr/>
        <w:t>拓全国行业管理软件市场奠定了良好基础。</w:t>
      </w:r>
    </w:p>
    <w:p>
      <w:pPr>
        <w:spacing w:line="240" w:lineRule="auto" w:before="9"/>
        <w:rPr>
          <w:rFonts w:ascii="宋体" w:hAnsi="宋体" w:cs="宋体" w:eastAsia="宋体" w:hint="default"/>
          <w:sz w:val="25"/>
          <w:szCs w:val="25"/>
        </w:rPr>
      </w:pPr>
    </w:p>
    <w:p>
      <w:pPr>
        <w:pStyle w:val="BodyText"/>
        <w:tabs>
          <w:tab w:pos="573" w:val="left" w:leader="none"/>
        </w:tabs>
        <w:spacing w:line="309" w:lineRule="auto"/>
        <w:ind w:right="1049"/>
        <w:jc w:val="left"/>
      </w:pPr>
      <w:r>
        <w:rPr>
          <w:rFonts w:ascii="Times New Roman" w:hAnsi="Times New Roman" w:cs="Times New Roman" w:eastAsia="Times New Roman" w:hint="default"/>
        </w:rPr>
        <w:t>(4)</w:t>
        <w:tab/>
      </w:r>
      <w:r>
        <w:rPr/>
        <w:t>民生行业</w:t>
      </w:r>
      <w:r>
        <w:rPr>
          <w:w w:val="99"/>
        </w:rPr>
        <w:t> </w:t>
      </w:r>
      <w:r>
        <w:rPr>
          <w:spacing w:val="-2"/>
        </w:rPr>
        <w:t>报告期，公司深度拓展民生行业布局，通过运用民生大数据，不断创新和细化民生管理工作，在教育、养老、扶贫等领域持</w:t>
      </w:r>
      <w:r>
        <w:rPr>
          <w:spacing w:val="-68"/>
        </w:rPr>
        <w:t> </w:t>
      </w:r>
      <w:r>
        <w:rPr>
          <w:spacing w:val="-68"/>
        </w:rPr>
      </w:r>
      <w:r>
        <w:rPr>
          <w:spacing w:val="-2"/>
        </w:rPr>
        <w:t>续发力。在教育领域，关注教育决策，公司在报告期签约广东、宁夏、重庆等省份教育大数据项目，这是公司继国务院教育</w:t>
      </w:r>
      <w:r>
        <w:rPr>
          <w:spacing w:val="-69"/>
        </w:rPr>
        <w:t> </w:t>
      </w:r>
      <w:r>
        <w:rPr>
          <w:spacing w:val="-69"/>
        </w:rPr>
      </w:r>
      <w:r>
        <w:rPr>
          <w:spacing w:val="-4"/>
        </w:rPr>
        <w:t>决策支持系统后，向教育大数据省级推广迈出的重要一步；围绕教育资产管理，公司全年新增签约</w:t>
      </w:r>
      <w:r>
        <w:rPr>
          <w:rFonts w:ascii="Times New Roman" w:hAnsi="Times New Roman" w:cs="Times New Roman" w:eastAsia="Times New Roman" w:hint="default"/>
          <w:spacing w:val="-4"/>
        </w:rPr>
        <w:t>70</w:t>
      </w:r>
      <w:r>
        <w:rPr>
          <w:spacing w:val="-4"/>
        </w:rPr>
        <w:t>余所高校资产管理项目。</w:t>
      </w:r>
      <w:r>
        <w:rPr>
          <w:spacing w:val="-41"/>
        </w:rPr>
        <w:t> </w:t>
      </w:r>
      <w:r>
        <w:rPr/>
        <w:t>在养老领域，公司承建的国家养老服务信息系统二期项目完成全国</w:t>
      </w:r>
      <w:r>
        <w:rPr>
          <w:rFonts w:ascii="Times New Roman" w:hAnsi="Times New Roman" w:cs="Times New Roman" w:eastAsia="Times New Roman" w:hint="default"/>
        </w:rPr>
        <w:t>32</w:t>
      </w:r>
      <w:r>
        <w:rPr/>
        <w:t>个省份、</w:t>
      </w:r>
      <w:r>
        <w:rPr>
          <w:rFonts w:ascii="Times New Roman" w:hAnsi="Times New Roman" w:cs="Times New Roman" w:eastAsia="Times New Roman" w:hint="default"/>
        </w:rPr>
        <w:t>4</w:t>
      </w:r>
      <w:r>
        <w:rPr/>
        <w:t>万多家养老机构的数据采集与核查工作。在</w:t>
      </w:r>
      <w:r>
        <w:rPr>
          <w:spacing w:val="-82"/>
        </w:rPr>
        <w:t> </w:t>
      </w:r>
      <w:r>
        <w:rPr>
          <w:spacing w:val="-82"/>
        </w:rPr>
      </w:r>
      <w:r>
        <w:rPr>
          <w:spacing w:val="-2"/>
        </w:rPr>
        <w:t>扶贫领域，公司积极响应国家精准扶贫政策号召，通过建设内蒙古科右前旗精准扶贫项目，进一步完善了久其精准扶贫大数</w:t>
      </w:r>
      <w:r>
        <w:rPr>
          <w:spacing w:val="-67"/>
        </w:rPr>
        <w:t> </w:t>
      </w:r>
      <w:r>
        <w:rPr>
          <w:spacing w:val="-67"/>
        </w:rPr>
      </w:r>
      <w:r>
        <w:rPr>
          <w:spacing w:val="-2"/>
        </w:rPr>
        <w:t>据解决方案，并相继签约巴林右旗、国务院扶贫办、国家卫计委等精准扶贫大数据项目。在民政领域，公司与民政部信息中</w:t>
      </w:r>
      <w:r>
        <w:rPr>
          <w:spacing w:val="-67"/>
        </w:rPr>
        <w:t> </w:t>
      </w:r>
      <w:r>
        <w:rPr>
          <w:spacing w:val="-67"/>
        </w:rPr>
      </w:r>
      <w:r>
        <w:rPr/>
        <w:t>心围绕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婚姻</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寻亲</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养老</w:t>
      </w:r>
      <w:r>
        <w:rPr>
          <w:rFonts w:ascii="Times New Roman" w:hAnsi="Times New Roman" w:cs="Times New Roman" w:eastAsia="Times New Roman" w:hint="default"/>
        </w:rPr>
        <w:t>”</w:t>
      </w:r>
      <w:r>
        <w:rPr/>
        <w:t>进行深入的业务探索，为后续全国范围升级推广做好了准备。此外公司</w:t>
      </w:r>
      <w:r>
        <w:rPr>
          <w:spacing w:val="-65"/>
        </w:rPr>
        <w:t> </w:t>
      </w:r>
      <w:r>
        <w:rPr>
          <w:spacing w:val="-65"/>
        </w:rPr>
      </w:r>
      <w:r>
        <w:rPr/>
        <w:t>报告期签约粮食局粮油统计二期项目和国家粮食局双随机项目，与国家粮食局的合作逐步延伸到行业核心数据业务。</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年，公司与行业协会组织的合作愈发紧密，年底签约中商联诚信建设大数据综合信息服务项目，这是继去年全国商贸流通业</w:t>
      </w:r>
      <w:r>
        <w:rPr>
          <w:spacing w:val="-66"/>
        </w:rPr>
        <w:t> </w:t>
      </w:r>
      <w:r>
        <w:rPr>
          <w:spacing w:val="-66"/>
        </w:rPr>
      </w:r>
      <w:r>
        <w:rPr/>
        <w:t>综合服务信息项目之后，公司与中商联的又一次重大携手，将实现对全国商业系统约</w:t>
      </w:r>
      <w:r>
        <w:rPr>
          <w:rFonts w:ascii="Times New Roman" w:hAnsi="Times New Roman" w:cs="Times New Roman" w:eastAsia="Times New Roman" w:hint="default"/>
        </w:rPr>
        <w:t>3,000</w:t>
      </w:r>
      <w:r>
        <w:rPr/>
        <w:t>家直接会员、</w:t>
      </w:r>
      <w:r>
        <w:rPr>
          <w:rFonts w:ascii="Times New Roman" w:hAnsi="Times New Roman" w:cs="Times New Roman" w:eastAsia="Times New Roman" w:hint="default"/>
        </w:rPr>
        <w:t>10</w:t>
      </w:r>
      <w:r>
        <w:rPr/>
        <w:t>万家间接会员单</w:t>
      </w:r>
      <w:r>
        <w:rPr>
          <w:spacing w:val="-43"/>
        </w:rPr>
        <w:t> </w:t>
      </w:r>
      <w:r>
        <w:rPr>
          <w:spacing w:val="-43"/>
        </w:rPr>
      </w:r>
      <w:r>
        <w:rPr/>
        <w:t>位数据信息服务。</w:t>
      </w:r>
    </w:p>
    <w:p>
      <w:pPr>
        <w:spacing w:line="240" w:lineRule="auto" w:before="10"/>
        <w:rPr>
          <w:rFonts w:ascii="宋体" w:hAnsi="宋体" w:cs="宋体" w:eastAsia="宋体" w:hint="default"/>
          <w:sz w:val="25"/>
          <w:szCs w:val="25"/>
        </w:rPr>
      </w:pPr>
    </w:p>
    <w:p>
      <w:pPr>
        <w:pStyle w:val="BodyText"/>
        <w:spacing w:line="240" w:lineRule="auto"/>
        <w:ind w:left="154" w:right="983"/>
        <w:jc w:val="left"/>
      </w:pPr>
      <w:r>
        <w:rPr>
          <w:rFonts w:ascii="Times New Roman" w:hAnsi="Times New Roman" w:cs="Times New Roman" w:eastAsia="Times New Roman" w:hint="default"/>
        </w:rPr>
        <w:t>2</w:t>
      </w:r>
      <w:r>
        <w:rPr/>
        <w:t>、集团管控业务</w:t>
      </w:r>
    </w:p>
    <w:p>
      <w:pPr>
        <w:spacing w:line="240" w:lineRule="auto" w:before="0"/>
        <w:rPr>
          <w:rFonts w:ascii="宋体" w:hAnsi="宋体" w:cs="宋体" w:eastAsia="宋体" w:hint="default"/>
          <w:sz w:val="18"/>
          <w:szCs w:val="18"/>
        </w:rPr>
      </w:pPr>
    </w:p>
    <w:p>
      <w:pPr>
        <w:pStyle w:val="BodyText"/>
        <w:spacing w:line="312" w:lineRule="auto" w:before="139"/>
        <w:ind w:left="154" w:right="1032"/>
        <w:jc w:val="left"/>
      </w:pPr>
      <w:r>
        <w:rPr/>
        <w:t>报告期，公司集团管控业务实现收入</w:t>
      </w:r>
      <w:r>
        <w:rPr>
          <w:rFonts w:ascii="Times New Roman" w:hAnsi="Times New Roman" w:cs="Times New Roman" w:eastAsia="Times New Roman" w:hint="default"/>
        </w:rPr>
        <w:t>21,327.70</w:t>
      </w:r>
      <w:r>
        <w:rPr/>
        <w:t>万元，同比增幅</w:t>
      </w:r>
      <w:r>
        <w:rPr>
          <w:rFonts w:ascii="Times New Roman" w:hAnsi="Times New Roman" w:cs="Times New Roman" w:eastAsia="Times New Roman" w:hint="default"/>
        </w:rPr>
        <w:t>3.33%</w:t>
      </w:r>
      <w:r>
        <w:rPr/>
        <w:t>。在推动互联网、大数据、人工智能与实体经济深度融 合的背景下，公司紧扣产业发展动向，深度聚焦建筑、通信、金融、军工、能源等优势行业，坚持以产品研发、售前咨询、 </w:t>
      </w:r>
      <w:r>
        <w:rPr>
          <w:spacing w:val="-2"/>
        </w:rPr>
        <w:t>实施交付为抓手，研发完成共享服务平台</w:t>
      </w:r>
      <w:r>
        <w:rPr>
          <w:rFonts w:ascii="Times New Roman" w:hAnsi="Times New Roman" w:cs="Times New Roman" w:eastAsia="Times New Roman" w:hint="default"/>
          <w:spacing w:val="-2"/>
        </w:rPr>
        <w:t>4.0</w:t>
      </w:r>
      <w:r>
        <w:rPr>
          <w:spacing w:val="-2"/>
        </w:rPr>
        <w:t>和全面升级基于蜂语</w:t>
      </w:r>
      <w:r>
        <w:rPr>
          <w:rFonts w:ascii="Times New Roman" w:hAnsi="Times New Roman" w:cs="Times New Roman" w:eastAsia="Times New Roman" w:hint="default"/>
          <w:spacing w:val="-2"/>
        </w:rPr>
        <w:t>Nectar</w:t>
      </w:r>
      <w:r>
        <w:rPr>
          <w:spacing w:val="-2"/>
        </w:rPr>
        <w:t>的移动平台，研发的财务机器人也投入中国铁建项目</w:t>
      </w:r>
      <w:r>
        <w:rPr>
          <w:spacing w:val="-43"/>
        </w:rPr>
        <w:t> </w:t>
      </w:r>
      <w:r>
        <w:rPr>
          <w:spacing w:val="-43"/>
        </w:rPr>
      </w:r>
      <w:r>
        <w:rPr>
          <w:spacing w:val="-2"/>
        </w:rPr>
        <w:t>运维，并启动了新一代合并报表产品研发。结合市场热点继续深入优化解决方案，遵循行业化、产品化的思路，不断优化集</w:t>
      </w:r>
      <w:r>
        <w:rPr>
          <w:spacing w:val="-66"/>
        </w:rPr>
        <w:t> </w:t>
      </w:r>
      <w:r>
        <w:rPr>
          <w:spacing w:val="-66"/>
        </w:rPr>
      </w:r>
      <w:r>
        <w:rPr>
          <w:spacing w:val="-2"/>
        </w:rPr>
        <w:t>团管控产品体系与核心技术，推出了全面预算管理、财务共享服务中心、集团财务业务一体化、全面风险管理、全面绩效管</w:t>
      </w:r>
      <w:r>
        <w:rPr>
          <w:spacing w:val="-66"/>
        </w:rPr>
        <w:t> </w:t>
      </w:r>
      <w:r>
        <w:rPr>
          <w:spacing w:val="-66"/>
        </w:rPr>
      </w:r>
      <w:r>
        <w:rPr/>
        <w:t>理以及集团合并报表等业内领先的产品与系列的解决方案，在众多大型企业集团客户中应用并得到了认可。</w:t>
      </w:r>
    </w:p>
    <w:p>
      <w:pPr>
        <w:spacing w:line="240" w:lineRule="auto" w:before="7"/>
        <w:rPr>
          <w:rFonts w:ascii="宋体" w:hAnsi="宋体" w:cs="宋体" w:eastAsia="宋体" w:hint="default"/>
          <w:sz w:val="25"/>
          <w:szCs w:val="25"/>
        </w:rPr>
      </w:pPr>
    </w:p>
    <w:p>
      <w:pPr>
        <w:pStyle w:val="BodyText"/>
        <w:tabs>
          <w:tab w:pos="573" w:val="left" w:leader="none"/>
        </w:tabs>
        <w:spacing w:line="309" w:lineRule="auto"/>
        <w:ind w:right="1042"/>
        <w:jc w:val="left"/>
      </w:pPr>
      <w:r>
        <w:rPr>
          <w:rFonts w:ascii="Times New Roman" w:hAnsi="Times New Roman" w:cs="Times New Roman" w:eastAsia="Times New Roman" w:hint="default"/>
        </w:rPr>
        <w:t>(1)</w:t>
        <w:tab/>
      </w:r>
      <w:r>
        <w:rPr/>
        <w:t>建筑行业</w:t>
      </w:r>
      <w:r>
        <w:rPr>
          <w:w w:val="99"/>
        </w:rPr>
        <w:t> </w:t>
      </w:r>
      <w:r>
        <w:rPr>
          <w:spacing w:val="-2"/>
        </w:rPr>
        <w:t>报告期上半年，公司与中铁建资产管理有限公司共同出资设立久其金建，致力于为建筑行业企业提供信息化服务专业解决方</w:t>
      </w:r>
      <w:r>
        <w:rPr>
          <w:spacing w:val="-65"/>
        </w:rPr>
        <w:t> </w:t>
      </w:r>
      <w:r>
        <w:rPr>
          <w:spacing w:val="-65"/>
        </w:rPr>
      </w:r>
      <w:r>
        <w:rPr/>
        <w:t>案，并将凭借公司多年的行业积累，结合</w:t>
      </w:r>
      <w:r>
        <w:rPr>
          <w:rFonts w:ascii="Times New Roman" w:hAnsi="Times New Roman" w:cs="Times New Roman" w:eastAsia="Times New Roman" w:hint="default"/>
        </w:rPr>
        <w:t>BIM</w:t>
      </w:r>
      <w:r>
        <w:rPr/>
        <w:t>（</w:t>
      </w:r>
      <w:r>
        <w:rPr>
          <w:rFonts w:ascii="Times New Roman" w:hAnsi="Times New Roman" w:cs="Times New Roman" w:eastAsia="Times New Roman" w:hint="default"/>
        </w:rPr>
        <w:t>Building</w:t>
      </w:r>
      <w:r>
        <w:rPr>
          <w:rFonts w:ascii="Times New Roman" w:hAnsi="Times New Roman" w:cs="Times New Roman" w:eastAsia="Times New Roman" w:hint="default"/>
          <w:spacing w:val="-20"/>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20"/>
        </w:rPr>
        <w:t> </w:t>
      </w:r>
      <w:r>
        <w:rPr>
          <w:rFonts w:ascii="Times New Roman" w:hAnsi="Times New Roman" w:cs="Times New Roman" w:eastAsia="Times New Roman" w:hint="default"/>
        </w:rPr>
        <w:t>Management</w:t>
      </w:r>
      <w:r>
        <w:rPr/>
        <w:t>，即建筑信息化管理）、大数据、移动互联 </w:t>
      </w:r>
      <w:r>
        <w:rPr>
          <w:spacing w:val="-4"/>
        </w:rPr>
        <w:t>等新技术，在继续巩固集团管控、财务共享、财务业务一体化、成本管理等传统优势业务的基础上，研究开展工程项目管理、</w:t>
      </w:r>
      <w:r>
        <w:rPr>
          <w:spacing w:val="-44"/>
        </w:rPr>
        <w:t> </w:t>
      </w:r>
      <w:r>
        <w:rPr>
          <w:spacing w:val="-44"/>
        </w:rPr>
      </w:r>
      <w:r>
        <w:rPr/>
        <w:t>项目现场管理与现场成本管控等创新型业务。公司还与中国铁建共同成立了</w:t>
      </w:r>
      <w:r>
        <w:rPr>
          <w:rFonts w:ascii="Times New Roman" w:hAnsi="Times New Roman" w:cs="Times New Roman" w:eastAsia="Times New Roman" w:hint="default"/>
        </w:rPr>
        <w:t>“</w:t>
      </w:r>
      <w:r>
        <w:rPr/>
        <w:t>共享中心创新工作室</w:t>
      </w:r>
      <w:r>
        <w:rPr>
          <w:rFonts w:ascii="Times New Roman" w:hAnsi="Times New Roman" w:cs="Times New Roman" w:eastAsia="Times New Roman" w:hint="default"/>
        </w:rPr>
        <w:t>”</w:t>
      </w:r>
      <w:r>
        <w:rPr/>
        <w:t>，应用大数据、移动互联 </w:t>
      </w:r>
      <w:r>
        <w:rPr>
          <w:spacing w:val="-2"/>
        </w:rPr>
        <w:t>网和人工智能技术赋能财务共享服务，进一步扩大了财务共享和财务管理产品在中国铁建二级集团公司的覆盖；并签约了中</w:t>
      </w:r>
      <w:r>
        <w:rPr>
          <w:spacing w:val="-64"/>
        </w:rPr>
        <w:t> </w:t>
      </w:r>
      <w:r>
        <w:rPr>
          <w:spacing w:val="-64"/>
        </w:rPr>
      </w:r>
      <w:r>
        <w:rPr/>
        <w:t>国铁建下属</w:t>
      </w:r>
      <w:r>
        <w:rPr>
          <w:rFonts w:ascii="Times New Roman" w:hAnsi="Times New Roman" w:cs="Times New Roman" w:eastAsia="Times New Roman" w:hint="default"/>
        </w:rPr>
        <w:t>11</w:t>
      </w:r>
      <w:r>
        <w:rPr/>
        <w:t>个二级集团公司的税务管理项目，完成中铁十五局财务共享</w:t>
      </w:r>
      <w:r>
        <w:rPr>
          <w:rFonts w:ascii="Times New Roman" w:hAnsi="Times New Roman" w:cs="Times New Roman" w:eastAsia="Times New Roman" w:hint="default"/>
        </w:rPr>
        <w:t>2.0</w:t>
      </w:r>
      <w:r>
        <w:rPr/>
        <w:t>系统推广。以财务共享为手段，推动财务管理</w:t>
      </w:r>
      <w:r>
        <w:rPr>
          <w:spacing w:val="-44"/>
        </w:rPr>
        <w:t> </w:t>
      </w:r>
      <w:r>
        <w:rPr>
          <w:spacing w:val="-44"/>
        </w:rPr>
      </w:r>
      <w:r>
        <w:rPr>
          <w:spacing w:val="-4"/>
        </w:rPr>
        <w:t>提升、促进业财融合，公司还为青建集团、中铁城建集团、中国冶金科工、中国建筑、中国交建等业内领先企业在集团管控、</w:t>
      </w:r>
      <w:r>
        <w:rPr>
          <w:spacing w:val="-44"/>
        </w:rPr>
        <w:t> </w:t>
      </w:r>
      <w:r>
        <w:rPr>
          <w:spacing w:val="-44"/>
        </w:rPr>
      </w:r>
      <w:r>
        <w:rPr/>
        <w:t>财务共享服务中心、财务报表等业务方面提供了持续、稳定、优质的服务。</w:t>
      </w:r>
    </w:p>
    <w:p>
      <w:pPr>
        <w:spacing w:line="240" w:lineRule="auto" w:before="9"/>
        <w:rPr>
          <w:rFonts w:ascii="宋体" w:hAnsi="宋体" w:cs="宋体" w:eastAsia="宋体" w:hint="default"/>
          <w:sz w:val="25"/>
          <w:szCs w:val="25"/>
        </w:rPr>
      </w:pPr>
    </w:p>
    <w:p>
      <w:pPr>
        <w:pStyle w:val="BodyText"/>
        <w:tabs>
          <w:tab w:pos="573" w:val="left" w:leader="none"/>
        </w:tabs>
        <w:spacing w:line="300" w:lineRule="auto"/>
        <w:ind w:right="1129"/>
        <w:jc w:val="left"/>
      </w:pPr>
      <w:r>
        <w:rPr>
          <w:rFonts w:ascii="Times New Roman" w:hAnsi="Times New Roman" w:cs="Times New Roman" w:eastAsia="Times New Roman" w:hint="default"/>
        </w:rPr>
        <w:t>(2)</w:t>
        <w:tab/>
      </w:r>
      <w:r>
        <w:rPr/>
        <w:t>通信行业</w:t>
      </w:r>
      <w:r>
        <w:rPr>
          <w:w w:val="99"/>
        </w:rPr>
        <w:t> </w:t>
      </w:r>
      <w:r>
        <w:rPr>
          <w:spacing w:val="-2"/>
        </w:rPr>
        <w:t>报告期，公司完成中国电信</w:t>
      </w:r>
      <w:r>
        <w:rPr>
          <w:rFonts w:ascii="Times New Roman" w:hAnsi="Times New Roman" w:cs="Times New Roman" w:eastAsia="Times New Roman" w:hint="default"/>
          <w:spacing w:val="-2"/>
        </w:rPr>
        <w:t>MSS</w:t>
      </w:r>
      <w:r>
        <w:rPr>
          <w:spacing w:val="-2"/>
        </w:rPr>
        <w:t>集中（三期）数据分析项目，致力于数据分析、关联合并、作业成本等业务建设成型后的数</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983"/>
        <w:jc w:val="left"/>
      </w:pPr>
      <w:r>
        <w:rPr>
          <w:spacing w:val="-2"/>
        </w:rPr>
        <w:t>据价值服务，实现财务、采购、工程、人力、法律和合同等多专业数据价值联动。并进一步与中国电信数据中心合作，建立</w:t>
      </w:r>
      <w:r>
        <w:rPr>
          <w:spacing w:val="-72"/>
        </w:rPr>
        <w:t> </w:t>
      </w:r>
      <w:r>
        <w:rPr>
          <w:spacing w:val="-72"/>
        </w:rPr>
      </w:r>
      <w:r>
        <w:rPr>
          <w:spacing w:val="-4"/>
        </w:rPr>
        <w:t>起中国电信数据资产管理和数据共享服务系统。此外，中国移动集团的关联合并业务已在报告期实施上线，并向河北、四川、</w:t>
      </w:r>
      <w:r>
        <w:rPr>
          <w:spacing w:val="-46"/>
        </w:rPr>
        <w:t> </w:t>
      </w:r>
      <w:r>
        <w:rPr>
          <w:spacing w:val="-46"/>
        </w:rPr>
      </w:r>
      <w:r>
        <w:rPr/>
        <w:t>陕西、新疆、黑龙江等十余个省份拓展、签约。</w:t>
      </w:r>
    </w:p>
    <w:p>
      <w:pPr>
        <w:spacing w:line="240" w:lineRule="auto" w:before="4"/>
        <w:rPr>
          <w:rFonts w:ascii="宋体" w:hAnsi="宋体" w:cs="宋体" w:eastAsia="宋体" w:hint="default"/>
          <w:sz w:val="25"/>
          <w:szCs w:val="25"/>
        </w:rPr>
      </w:pPr>
    </w:p>
    <w:p>
      <w:pPr>
        <w:pStyle w:val="BodyText"/>
        <w:tabs>
          <w:tab w:pos="573" w:val="left" w:leader="none"/>
        </w:tabs>
        <w:spacing w:line="312" w:lineRule="auto"/>
        <w:ind w:right="1131"/>
        <w:jc w:val="left"/>
      </w:pPr>
      <w:r>
        <w:rPr>
          <w:rFonts w:ascii="Times New Roman" w:hAnsi="Times New Roman" w:cs="Times New Roman" w:eastAsia="Times New Roman" w:hint="default"/>
        </w:rPr>
        <w:t>(3)</w:t>
        <w:tab/>
      </w:r>
      <w:r>
        <w:rPr/>
        <w:t>金融行业</w:t>
      </w:r>
      <w:r>
        <w:rPr>
          <w:w w:val="99"/>
        </w:rPr>
        <w:t> </w:t>
      </w:r>
      <w:r>
        <w:rPr>
          <w:spacing w:val="-2"/>
        </w:rPr>
        <w:t>报告期，公司在继续深耕新华人寿以及四大资产管理公司业务的同时，专注资产管理和资本运营业务，中标并完成国投集团</w:t>
      </w:r>
      <w:r>
        <w:rPr>
          <w:spacing w:val="-67"/>
        </w:rPr>
        <w:t> </w:t>
      </w:r>
      <w:r>
        <w:rPr>
          <w:spacing w:val="-67"/>
        </w:rPr>
      </w:r>
      <w:r>
        <w:rPr>
          <w:spacing w:val="-2"/>
        </w:rPr>
        <w:t>母子财务共享平台建设项目，为财务共享在国投集团下属单位的推广夯实了基础。公司以行业协会为纽带，以中央标杆客户</w:t>
      </w:r>
      <w:r>
        <w:rPr>
          <w:spacing w:val="-66"/>
        </w:rPr>
        <w:t> </w:t>
      </w:r>
      <w:r>
        <w:rPr>
          <w:spacing w:val="-66"/>
        </w:rPr>
      </w:r>
      <w:r>
        <w:rPr>
          <w:spacing w:val="-2"/>
        </w:rPr>
        <w:t>带动地方相关企业的市场推广，先后在河南、云南等省份进行行业方案推介，并成功中标河南国控集团财务报告项目。此外</w:t>
      </w:r>
      <w:r>
        <w:rPr>
          <w:spacing w:val="-67"/>
        </w:rPr>
        <w:t> </w:t>
      </w:r>
      <w:r>
        <w:rPr>
          <w:spacing w:val="-67"/>
        </w:rPr>
      </w:r>
      <w:r>
        <w:rPr>
          <w:spacing w:val="-2"/>
        </w:rPr>
        <w:t>成功签约中国长城资产、中国华融、建设控股、新华保险等金融行业客户，承接平安集团财务管理系统</w:t>
      </w:r>
      <w:r>
        <w:rPr>
          <w:rFonts w:ascii="Times New Roman" w:hAnsi="Times New Roman" w:cs="Times New Roman" w:eastAsia="Times New Roman" w:hint="default"/>
          <w:spacing w:val="-2"/>
        </w:rPr>
        <w:t>FAS</w:t>
      </w:r>
      <w:r>
        <w:rPr>
          <w:spacing w:val="-2"/>
        </w:rPr>
        <w:t>的重构规划咨询</w:t>
      </w:r>
      <w:r>
        <w:rPr>
          <w:spacing w:val="-39"/>
        </w:rPr>
        <w:t> </w:t>
      </w:r>
      <w:r>
        <w:rPr>
          <w:spacing w:val="-39"/>
        </w:rPr>
      </w:r>
      <w:r>
        <w:rPr/>
        <w:t>项目，实现了从信息化服务到管理和业务咨询的变革，为公司业务在金融行业的发展寻找到新的突破点。</w:t>
      </w:r>
    </w:p>
    <w:p>
      <w:pPr>
        <w:spacing w:line="240" w:lineRule="auto" w:before="7"/>
        <w:rPr>
          <w:rFonts w:ascii="宋体" w:hAnsi="宋体" w:cs="宋体" w:eastAsia="宋体" w:hint="default"/>
          <w:sz w:val="25"/>
          <w:szCs w:val="25"/>
        </w:rPr>
      </w:pPr>
    </w:p>
    <w:p>
      <w:pPr>
        <w:pStyle w:val="BodyText"/>
        <w:tabs>
          <w:tab w:pos="573" w:val="left" w:leader="none"/>
        </w:tabs>
        <w:spacing w:line="300" w:lineRule="auto"/>
        <w:ind w:right="1131"/>
        <w:jc w:val="left"/>
      </w:pPr>
      <w:r>
        <w:rPr>
          <w:rFonts w:ascii="Times New Roman" w:hAnsi="Times New Roman" w:cs="Times New Roman" w:eastAsia="Times New Roman" w:hint="default"/>
        </w:rPr>
        <w:t>(4)</w:t>
        <w:tab/>
      </w:r>
      <w:r>
        <w:rPr/>
        <w:t>军工行业</w:t>
      </w:r>
      <w:r>
        <w:rPr>
          <w:w w:val="99"/>
        </w:rPr>
        <w:t> </w:t>
      </w:r>
      <w:r>
        <w:rPr>
          <w:rFonts w:ascii="Times New Roman" w:hAnsi="Times New Roman" w:cs="Times New Roman" w:eastAsia="Times New Roman" w:hint="default"/>
          <w:spacing w:val="-2"/>
        </w:rPr>
        <w:t>2017</w:t>
      </w:r>
      <w:r>
        <w:rPr>
          <w:spacing w:val="-2"/>
        </w:rPr>
        <w:t>年是公司在军工行业发展取得突破的一年，公司承担中国航天科工集团财务共享项目，半年内完成航天科工三院、航天</w:t>
      </w:r>
      <w:r>
        <w:rPr>
          <w:spacing w:val="-63"/>
        </w:rPr>
        <w:t> </w:t>
      </w:r>
      <w:r>
        <w:rPr>
          <w:spacing w:val="-63"/>
        </w:rPr>
      </w:r>
      <w:r>
        <w:rPr>
          <w:spacing w:val="-2"/>
        </w:rPr>
        <w:t>科工（深圳）等</w:t>
      </w:r>
      <w:r>
        <w:rPr>
          <w:rFonts w:ascii="Times New Roman" w:hAnsi="Times New Roman" w:cs="Times New Roman" w:eastAsia="Times New Roman" w:hint="default"/>
          <w:spacing w:val="-2"/>
        </w:rPr>
        <w:t>13</w:t>
      </w:r>
      <w:r>
        <w:rPr>
          <w:spacing w:val="-2"/>
        </w:rPr>
        <w:t>家二级单位的财务共享项目上线。成功中标中国兵器资产管理和审计信息化平台项目、保变电气财务共享</w:t>
      </w:r>
      <w:r>
        <w:rPr>
          <w:spacing w:val="-65"/>
        </w:rPr>
        <w:t> </w:t>
      </w:r>
      <w:r>
        <w:rPr>
          <w:spacing w:val="-65"/>
        </w:rPr>
      </w:r>
      <w:r>
        <w:rPr/>
        <w:t>服务中心系统项目、航天科工财务共享产品采购项目等。</w:t>
      </w:r>
    </w:p>
    <w:p>
      <w:pPr>
        <w:spacing w:line="240" w:lineRule="auto" w:before="3"/>
        <w:rPr>
          <w:rFonts w:ascii="宋体" w:hAnsi="宋体" w:cs="宋体" w:eastAsia="宋体" w:hint="default"/>
          <w:sz w:val="26"/>
          <w:szCs w:val="26"/>
        </w:rPr>
      </w:pPr>
    </w:p>
    <w:p>
      <w:pPr>
        <w:pStyle w:val="BodyText"/>
        <w:tabs>
          <w:tab w:pos="573" w:val="left" w:leader="none"/>
        </w:tabs>
        <w:spacing w:line="309" w:lineRule="auto"/>
        <w:ind w:right="1049"/>
        <w:jc w:val="left"/>
      </w:pPr>
      <w:r>
        <w:rPr>
          <w:rFonts w:ascii="Times New Roman" w:hAnsi="Times New Roman" w:cs="Times New Roman" w:eastAsia="Times New Roman" w:hint="default"/>
        </w:rPr>
        <w:t>(5)</w:t>
        <w:tab/>
      </w:r>
      <w:r>
        <w:rPr/>
        <w:t>能源行业</w:t>
      </w:r>
      <w:r>
        <w:rPr>
          <w:w w:val="99"/>
        </w:rPr>
        <w:t> </w:t>
      </w:r>
      <w:r>
        <w:rPr>
          <w:spacing w:val="-4"/>
        </w:rPr>
        <w:t>报告期，公司顺利完成了大唐集团全面预算项目上线，实现了从集团本部到子公司及电厂的预算编制、分析、绩效评价流程。</w:t>
      </w:r>
      <w:r>
        <w:rPr>
          <w:spacing w:val="-47"/>
        </w:rPr>
        <w:t> </w:t>
      </w:r>
      <w:r>
        <w:rPr>
          <w:spacing w:val="-47"/>
        </w:rPr>
      </w:r>
      <w:r>
        <w:rPr>
          <w:rFonts w:ascii="Times New Roman" w:hAnsi="Times New Roman" w:cs="Times New Roman" w:eastAsia="Times New Roman" w:hint="default"/>
        </w:rPr>
        <w:t>2017</w:t>
      </w:r>
      <w:r>
        <w:rPr/>
        <w:t>年底，公司从众多国内外知名供应商中脱颖而出，成功中标华能集团合并报表项目，以及华能国际一本账系统。</w:t>
      </w:r>
    </w:p>
    <w:p>
      <w:pPr>
        <w:spacing w:line="240" w:lineRule="auto" w:before="3"/>
        <w:rPr>
          <w:rFonts w:ascii="宋体" w:hAnsi="宋体" w:cs="宋体" w:eastAsia="宋体" w:hint="default"/>
          <w:sz w:val="24"/>
          <w:szCs w:val="24"/>
        </w:rPr>
      </w:pPr>
    </w:p>
    <w:p>
      <w:pPr>
        <w:pStyle w:val="BodyText"/>
        <w:spacing w:line="316" w:lineRule="auto"/>
        <w:ind w:right="983"/>
        <w:jc w:val="left"/>
      </w:pPr>
      <w:r>
        <w:rPr>
          <w:spacing w:val="-2"/>
        </w:rPr>
        <w:t>报告期，公司积极开拓行业新客户，包括中国电子、航发集团、中国一重、中国黄金、中国一汽等，不断积累了公司在制造</w:t>
      </w:r>
      <w:r>
        <w:rPr>
          <w:spacing w:val="-72"/>
        </w:rPr>
        <w:t> </w:t>
      </w:r>
      <w:r>
        <w:rPr>
          <w:spacing w:val="-72"/>
        </w:rPr>
      </w:r>
      <w:r>
        <w:rPr>
          <w:spacing w:val="-4"/>
        </w:rPr>
        <w:t>行业的信息化案例。在地方市场，公司维护老客户的同时，在云南、湖南、福建、上海、山东等省级大型企业中有新的拓展。</w:t>
      </w:r>
    </w:p>
    <w:p>
      <w:pPr>
        <w:spacing w:line="240" w:lineRule="auto" w:before="4"/>
        <w:rPr>
          <w:rFonts w:ascii="宋体" w:hAnsi="宋体" w:cs="宋体" w:eastAsia="宋体" w:hint="default"/>
          <w:sz w:val="25"/>
          <w:szCs w:val="25"/>
        </w:rPr>
      </w:pPr>
    </w:p>
    <w:p>
      <w:pPr>
        <w:pStyle w:val="BodyText"/>
        <w:spacing w:line="240" w:lineRule="auto"/>
        <w:ind w:left="154" w:right="983"/>
        <w:jc w:val="left"/>
      </w:pPr>
      <w:r>
        <w:rPr>
          <w:rFonts w:ascii="Times New Roman" w:hAnsi="Times New Roman" w:cs="Times New Roman" w:eastAsia="Times New Roman" w:hint="default"/>
        </w:rPr>
        <w:t>3</w:t>
      </w:r>
      <w:r>
        <w:rPr/>
        <w:t>、数字传播业务</w:t>
      </w:r>
    </w:p>
    <w:p>
      <w:pPr>
        <w:spacing w:line="240" w:lineRule="auto" w:before="0"/>
        <w:rPr>
          <w:rFonts w:ascii="宋体" w:hAnsi="宋体" w:cs="宋体" w:eastAsia="宋体" w:hint="default"/>
          <w:sz w:val="18"/>
          <w:szCs w:val="18"/>
        </w:rPr>
      </w:pPr>
    </w:p>
    <w:p>
      <w:pPr>
        <w:pStyle w:val="BodyText"/>
        <w:spacing w:line="312" w:lineRule="auto" w:before="139"/>
        <w:ind w:right="983"/>
        <w:jc w:val="left"/>
      </w:pPr>
      <w:r>
        <w:rPr>
          <w:spacing w:val="-4"/>
        </w:rPr>
        <w:t>为了更好地整合公司在数字营销领域的优势资源，充分发挥协同效应，构建集团层面的数字营销业务统一管理平台，报告期，</w:t>
      </w:r>
      <w:r>
        <w:rPr>
          <w:spacing w:val="-44"/>
        </w:rPr>
        <w:t> </w:t>
      </w:r>
      <w:r>
        <w:rPr>
          <w:spacing w:val="-44"/>
        </w:rPr>
      </w:r>
      <w:r>
        <w:rPr>
          <w:spacing w:val="-2"/>
        </w:rPr>
        <w:t>公司投资发起设立了全资子公司久其数字传播，翻开了公司在数字传播领域的新篇章。公司以基于大数据的后端为支撑，全</w:t>
      </w:r>
      <w:r>
        <w:rPr>
          <w:spacing w:val="-65"/>
        </w:rPr>
        <w:t> </w:t>
      </w:r>
      <w:r>
        <w:rPr>
          <w:spacing w:val="-65"/>
        </w:rPr>
      </w:r>
      <w:r>
        <w:rPr/>
        <w:t>力打造一个贯穿产业链的数字传播集团，提升公司在品牌客户中的核心竞争力。</w:t>
      </w:r>
      <w:r>
        <w:rPr>
          <w:rFonts w:ascii="Times New Roman" w:hAnsi="Times New Roman" w:cs="Times New Roman" w:eastAsia="Times New Roman" w:hint="default"/>
        </w:rPr>
        <w:t>“</w:t>
      </w:r>
      <w:r>
        <w:rPr/>
        <w:t>以大数据为驱动</w:t>
      </w:r>
      <w:r>
        <w:rPr>
          <w:rFonts w:ascii="Times New Roman" w:hAnsi="Times New Roman" w:cs="Times New Roman" w:eastAsia="Times New Roman" w:hint="default"/>
        </w:rPr>
        <w:t>”</w:t>
      </w:r>
      <w:r>
        <w:rPr/>
        <w:t>的久其数字传播业务体系 </w:t>
      </w:r>
      <w:r>
        <w:rPr>
          <w:spacing w:val="-4"/>
        </w:rPr>
        <w:t>就此建立，依靠多样性的客户群、丰富的传播媒介资源、成熟的大数据应用技术、领先的传播理念以及完善的专业人才结构，</w:t>
      </w:r>
      <w:r>
        <w:rPr>
          <w:spacing w:val="-45"/>
        </w:rPr>
        <w:t> </w:t>
      </w:r>
      <w:r>
        <w:rPr>
          <w:spacing w:val="-45"/>
        </w:rPr>
      </w:r>
      <w:r>
        <w:rPr>
          <w:spacing w:val="-2"/>
        </w:rPr>
        <w:t>公司已具有基于大数据分析的移动广告智能分发能力、品牌出海营销能力、社会化营销能力以及移动信息服务能力，数字传</w:t>
      </w:r>
      <w:r>
        <w:rPr>
          <w:spacing w:val="-66"/>
        </w:rPr>
        <w:t> </w:t>
      </w:r>
      <w:r>
        <w:rPr>
          <w:spacing w:val="-66"/>
        </w:rPr>
      </w:r>
      <w:r>
        <w:rPr>
          <w:spacing w:val="2"/>
        </w:rPr>
        <w:t>播板块整合效果开始显现，已与知名品牌客户建立了合作。报告期公司数字传播业务实现收入</w:t>
      </w:r>
      <w:r>
        <w:rPr>
          <w:rFonts w:ascii="Times New Roman" w:hAnsi="Times New Roman" w:cs="Times New Roman" w:eastAsia="Times New Roman" w:hint="default"/>
          <w:spacing w:val="2"/>
        </w:rPr>
        <w:t>118,916.10</w:t>
      </w:r>
      <w:r>
        <w:rPr>
          <w:spacing w:val="2"/>
        </w:rPr>
        <w:t>万元，同比增幅</w:t>
      </w:r>
      <w:r>
        <w:rPr>
          <w:spacing w:val="-42"/>
        </w:rPr>
        <w:t> </w:t>
      </w:r>
      <w:r>
        <w:rPr>
          <w:spacing w:val="-42"/>
        </w:rPr>
      </w:r>
      <w:r>
        <w:rPr>
          <w:rFonts w:ascii="Times New Roman" w:hAnsi="Times New Roman" w:cs="Times New Roman" w:eastAsia="Times New Roman" w:hint="default"/>
        </w:rPr>
        <w:t>111.47%</w:t>
      </w:r>
      <w:r>
        <w:rPr/>
        <w:t>。</w:t>
      </w:r>
    </w:p>
    <w:p>
      <w:pPr>
        <w:spacing w:line="240" w:lineRule="auto" w:before="1"/>
        <w:rPr>
          <w:rFonts w:ascii="宋体" w:hAnsi="宋体" w:cs="宋体" w:eastAsia="宋体" w:hint="default"/>
          <w:sz w:val="24"/>
          <w:szCs w:val="24"/>
        </w:rPr>
      </w:pPr>
    </w:p>
    <w:p>
      <w:pPr>
        <w:pStyle w:val="BodyText"/>
        <w:spacing w:line="312" w:lineRule="auto"/>
        <w:ind w:right="1033"/>
        <w:jc w:val="left"/>
      </w:pPr>
      <w:r>
        <w:rPr>
          <w:spacing w:val="-2"/>
        </w:rPr>
        <w:t>移动营销方面，点入移动继续夯实其作为国内移动大数据营销平台的核心竞争力，根据苹果商店市场特点、自身的技术和经</w:t>
      </w:r>
      <w:r>
        <w:rPr>
          <w:spacing w:val="-66"/>
        </w:rPr>
        <w:t> </w:t>
      </w:r>
      <w:r>
        <w:rPr>
          <w:spacing w:val="-66"/>
        </w:rPr>
      </w:r>
      <w:r>
        <w:rPr/>
        <w:t>验的积累以及丰富的运营数据，在业内首创了</w:t>
      </w:r>
      <w:r>
        <w:rPr>
          <w:rFonts w:ascii="Times New Roman" w:hAnsi="Times New Roman" w:cs="Times New Roman" w:eastAsia="Times New Roman" w:hint="default"/>
        </w:rPr>
        <w:t>AMO</w:t>
      </w:r>
      <w:r>
        <w:rPr/>
        <w:t>（</w:t>
      </w:r>
      <w:r>
        <w:rPr>
          <w:rFonts w:ascii="Times New Roman" w:hAnsi="Times New Roman" w:cs="Times New Roman" w:eastAsia="Times New Roman" w:hint="default"/>
        </w:rPr>
        <w:t>App Store Marketing</w:t>
      </w:r>
      <w:r>
        <w:rPr>
          <w:rFonts w:ascii="Times New Roman" w:hAnsi="Times New Roman" w:cs="Times New Roman" w:eastAsia="Times New Roman" w:hint="default"/>
          <w:spacing w:val="28"/>
        </w:rPr>
        <w:t> </w:t>
      </w:r>
      <w:r>
        <w:rPr>
          <w:rFonts w:ascii="Times New Roman" w:hAnsi="Times New Roman" w:cs="Times New Roman" w:eastAsia="Times New Roman" w:hint="default"/>
        </w:rPr>
        <w:t>Optimization</w:t>
      </w:r>
      <w:r>
        <w:rPr/>
        <w:t>）服务系统，通过大数据营销能力的 持续构建，深耕</w:t>
      </w:r>
      <w:r>
        <w:rPr>
          <w:rFonts w:ascii="Times New Roman" w:hAnsi="Times New Roman" w:cs="Times New Roman" w:eastAsia="Times New Roman" w:hint="default"/>
        </w:rPr>
        <w:t>IOS</w:t>
      </w:r>
      <w:r>
        <w:rPr/>
        <w:t>业务，升级广告技术平台。自主研发了互动式效果广告投放服务平台，目前已链接几十家知名广告主及 </w:t>
      </w:r>
      <w:r>
        <w:rPr>
          <w:spacing w:val="-2"/>
        </w:rPr>
        <w:t>应用，提供产品推广及流量变现服务，为广告主提供品牌曝光、用户推广的互动式营销平台。此外，点入移动按照客户需求</w:t>
      </w:r>
      <w:r>
        <w:rPr>
          <w:spacing w:val="-66"/>
        </w:rPr>
        <w:t> </w:t>
      </w:r>
      <w:r>
        <w:rPr>
          <w:spacing w:val="-66"/>
        </w:rPr>
      </w:r>
      <w:r>
        <w:rPr>
          <w:spacing w:val="-2"/>
        </w:rPr>
        <w:t>的特点及内部运营模式、技术实现方式和服务模式的区别，推出点入智效和点入魔方两个客户服务平台。通过对广告主的需</w:t>
      </w:r>
      <w:r>
        <w:rPr>
          <w:spacing w:val="-66"/>
        </w:rPr>
        <w:t> </w:t>
      </w:r>
      <w:r>
        <w:rPr>
          <w:spacing w:val="-66"/>
        </w:rPr>
      </w:r>
      <w:r>
        <w:rPr/>
        <w:t>求和数据分析，准确判断可投放媒体类型并选择最优媒体投放，先后为京东、安居客、网易等品牌客户提供产品投放优化、 策略创意、媒介执行等精准营销服务并帮助其持续获得优质用户。 出海营销方面，报告期初由于</w:t>
      </w:r>
      <w:r>
        <w:rPr>
          <w:rFonts w:ascii="Times New Roman" w:hAnsi="Times New Roman" w:cs="Times New Roman" w:eastAsia="Times New Roman" w:hint="default"/>
        </w:rPr>
        <w:t>Facebook</w:t>
      </w:r>
      <w:r>
        <w:rPr/>
        <w:t>暂停工具类出海宣传的不利影响，</w:t>
      </w:r>
      <w:r>
        <w:rPr>
          <w:rFonts w:ascii="Times New Roman" w:hAnsi="Times New Roman" w:cs="Times New Roman" w:eastAsia="Times New Roman" w:hint="default"/>
        </w:rPr>
        <w:t>PandaMobo</w:t>
      </w:r>
      <w:r>
        <w:rPr/>
        <w:t>业绩一度下滑严重，但面对市场环境的 变化，</w:t>
      </w:r>
      <w:r>
        <w:rPr>
          <w:rFonts w:ascii="Times New Roman" w:hAnsi="Times New Roman" w:cs="Times New Roman" w:eastAsia="Times New Roman" w:hint="default"/>
        </w:rPr>
        <w:t>PandaMobo</w:t>
      </w:r>
      <w:r>
        <w:rPr/>
        <w:t>积极推进业务战略的转型，借助一带一路政策红利以及国家品牌战略的全面推进，大力发展以大数据产品 </w:t>
      </w:r>
      <w:r>
        <w:rPr>
          <w:spacing w:val="-2"/>
        </w:rPr>
        <w:t>为核心的政企业务，推出了大型国企出海、旅游出海等业务，相继签约茅台集团、人民日报、中国国际广播电台、河南省旅</w:t>
      </w:r>
      <w:r>
        <w:rPr>
          <w:spacing w:val="-68"/>
        </w:rPr>
        <w:t> </w:t>
      </w:r>
      <w:r>
        <w:rPr>
          <w:spacing w:val="-68"/>
        </w:rPr>
      </w:r>
      <w:r>
        <w:rPr/>
        <w:t>游发展委员会和厦门市旅游发展委员会等客户，并通过研发海外媒体监控大数据平台</w:t>
      </w:r>
      <w:r>
        <w:rPr>
          <w:rFonts w:ascii="Times New Roman" w:hAnsi="Times New Roman" w:cs="Times New Roman" w:eastAsia="Times New Roman" w:hint="default"/>
        </w:rPr>
        <w:t>PandaCompass</w:t>
      </w:r>
      <w:r>
        <w:rPr/>
        <w:t>，为行业出海建立了新</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983"/>
        <w:jc w:val="left"/>
      </w:pPr>
      <w:r>
        <w:rPr/>
        <w:t>的营销模型。</w:t>
      </w:r>
    </w:p>
    <w:p>
      <w:pPr>
        <w:spacing w:line="240" w:lineRule="auto" w:before="0"/>
        <w:rPr>
          <w:rFonts w:ascii="宋体" w:hAnsi="宋体" w:cs="宋体" w:eastAsia="宋体" w:hint="default"/>
          <w:sz w:val="18"/>
          <w:szCs w:val="18"/>
        </w:rPr>
      </w:pPr>
    </w:p>
    <w:p>
      <w:pPr>
        <w:pStyle w:val="BodyText"/>
        <w:spacing w:line="312" w:lineRule="auto" w:before="153"/>
        <w:ind w:right="983"/>
        <w:jc w:val="left"/>
      </w:pPr>
      <w:r>
        <w:rPr>
          <w:spacing w:val="-2"/>
        </w:rPr>
        <w:t>社会化营销方面，得益于口碑营销的效果优势，公司社会化营销业务发展迅速。瑞意恒动顺应市场发展趋势，为客户提供基</w:t>
      </w:r>
      <w:r>
        <w:rPr>
          <w:spacing w:val="-66"/>
        </w:rPr>
        <w:t> </w:t>
      </w:r>
      <w:r>
        <w:rPr>
          <w:spacing w:val="-66"/>
        </w:rPr>
      </w:r>
      <w:r>
        <w:rPr>
          <w:spacing w:val="-4"/>
        </w:rPr>
        <w:t>于全平台的营销策略及传播计划。随着其自主研发的自媒体全自助广告平台正式上线，报告期自媒体投放业务规模显著扩大，</w:t>
      </w:r>
      <w:r>
        <w:rPr>
          <w:spacing w:val="-44"/>
        </w:rPr>
        <w:t> </w:t>
      </w:r>
      <w:r>
        <w:rPr>
          <w:spacing w:val="-44"/>
        </w:rPr>
      </w:r>
      <w:r>
        <w:rPr/>
        <w:t>并成功与多个大型</w:t>
      </w:r>
      <w:r>
        <w:rPr>
          <w:rFonts w:ascii="Times New Roman" w:hAnsi="Times New Roman" w:cs="Times New Roman" w:eastAsia="Times New Roman" w:hint="default"/>
        </w:rPr>
        <w:t>4A</w:t>
      </w:r>
      <w:r>
        <w:rPr/>
        <w:t>公司签署了年度框架协议，以及与多个国内外知名品牌直客达成了战略合作。同时瑞意恒动持续加大</w:t>
      </w:r>
      <w:r>
        <w:rPr>
          <w:spacing w:val="-44"/>
        </w:rPr>
        <w:t> </w:t>
      </w:r>
      <w:r>
        <w:rPr>
          <w:spacing w:val="-44"/>
        </w:rPr>
      </w:r>
      <w:r>
        <w:rPr/>
        <w:t>在产品研发和项目管理上的投入，社会化营销策划服务和</w:t>
      </w:r>
      <w:r>
        <w:rPr>
          <w:rFonts w:ascii="Times New Roman" w:hAnsi="Times New Roman" w:cs="Times New Roman" w:eastAsia="Times New Roman" w:hint="default"/>
        </w:rPr>
        <w:t>SCRM</w:t>
      </w:r>
      <w:r>
        <w:rPr/>
        <w:t>产品解决方案服务等业务也保持着稳步发展。</w:t>
      </w:r>
    </w:p>
    <w:p>
      <w:pPr>
        <w:spacing w:line="240" w:lineRule="auto" w:before="1"/>
        <w:rPr>
          <w:rFonts w:ascii="宋体" w:hAnsi="宋体" w:cs="宋体" w:eastAsia="宋体" w:hint="default"/>
          <w:sz w:val="24"/>
          <w:szCs w:val="24"/>
        </w:rPr>
      </w:pPr>
    </w:p>
    <w:p>
      <w:pPr>
        <w:pStyle w:val="BodyText"/>
        <w:spacing w:line="309" w:lineRule="auto"/>
        <w:ind w:right="983"/>
        <w:jc w:val="left"/>
      </w:pPr>
      <w:r>
        <w:rPr>
          <w:spacing w:val="2"/>
        </w:rPr>
        <w:t>报告期，公司与控股股东久其科技共同出资</w:t>
      </w:r>
      <w:r>
        <w:rPr>
          <w:rFonts w:ascii="Times New Roman" w:hAnsi="Times New Roman" w:cs="Times New Roman" w:eastAsia="Times New Roman" w:hint="default"/>
          <w:spacing w:val="2"/>
        </w:rPr>
        <w:t>14.4</w:t>
      </w:r>
      <w:r>
        <w:rPr>
          <w:spacing w:val="2"/>
        </w:rPr>
        <w:t>亿元收购了国内领先的专业移动信息应用解决方案提供商上海移通，并于</w:t>
      </w:r>
      <w:r>
        <w:rPr>
          <w:spacing w:val="-79"/>
        </w:rPr>
        <w:t> </w:t>
      </w:r>
      <w:r>
        <w:rPr>
          <w:spacing w:val="-79"/>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月正式纳入公司合并范围。上海移通致力于为各大企业客户、电信运营商提供包括移动</w:t>
      </w:r>
      <w:r>
        <w:rPr>
          <w:rFonts w:ascii="Times New Roman" w:hAnsi="Times New Roman" w:cs="Times New Roman" w:eastAsia="Times New Roman" w:hint="default"/>
          <w:spacing w:val="-3"/>
        </w:rPr>
        <w:t>/</w:t>
      </w:r>
      <w:r>
        <w:rPr>
          <w:spacing w:val="-3"/>
        </w:rPr>
        <w:t>无线商务管理、多媒体交互、</w:t>
      </w:r>
      <w:r>
        <w:rPr>
          <w:spacing w:val="-51"/>
        </w:rPr>
        <w:t> </w:t>
      </w:r>
      <w:r>
        <w:rPr>
          <w:spacing w:val="-51"/>
        </w:rPr>
      </w:r>
      <w:r>
        <w:rPr>
          <w:spacing w:val="-2"/>
        </w:rPr>
        <w:t>电子商务系统在内的应用等整体解决方案，在金融、电子商务、快速消费品等多个领域拥有众多知名品牌企业客户。上海移</w:t>
      </w:r>
      <w:r>
        <w:rPr>
          <w:spacing w:val="-66"/>
        </w:rPr>
        <w:t> </w:t>
      </w:r>
      <w:r>
        <w:rPr>
          <w:spacing w:val="-66"/>
        </w:rPr>
      </w:r>
      <w:r>
        <w:rPr>
          <w:spacing w:val="-4"/>
        </w:rPr>
        <w:t>通加入久其数字传播板块后，促进了管理软件和数字传播业务的创新融合，在技术、业务、客户等方面与公司实现优势互补、</w:t>
      </w:r>
      <w:r>
        <w:rPr>
          <w:spacing w:val="-46"/>
        </w:rPr>
        <w:t> </w:t>
      </w:r>
      <w:r>
        <w:rPr>
          <w:spacing w:val="-46"/>
        </w:rPr>
      </w:r>
      <w:r>
        <w:rPr/>
        <w:t>协同发展。</w:t>
      </w:r>
    </w:p>
    <w:p>
      <w:pPr>
        <w:spacing w:line="240" w:lineRule="auto" w:before="9"/>
        <w:rPr>
          <w:rFonts w:ascii="宋体" w:hAnsi="宋体" w:cs="宋体" w:eastAsia="宋体" w:hint="default"/>
          <w:sz w:val="25"/>
          <w:szCs w:val="25"/>
        </w:rPr>
      </w:pPr>
    </w:p>
    <w:p>
      <w:pPr>
        <w:pStyle w:val="BodyText"/>
        <w:spacing w:line="240" w:lineRule="auto"/>
        <w:ind w:left="154" w:right="983"/>
        <w:jc w:val="left"/>
      </w:pPr>
      <w:r>
        <w:rPr/>
        <w:t>（三）集团管理情况</w:t>
      </w:r>
    </w:p>
    <w:p>
      <w:pPr>
        <w:spacing w:line="240" w:lineRule="auto" w:before="0"/>
        <w:rPr>
          <w:rFonts w:ascii="宋体" w:hAnsi="宋体" w:cs="宋体" w:eastAsia="宋体" w:hint="default"/>
          <w:sz w:val="18"/>
          <w:szCs w:val="18"/>
        </w:rPr>
      </w:pPr>
    </w:p>
    <w:p>
      <w:pPr>
        <w:pStyle w:val="BodyText"/>
        <w:spacing w:line="316" w:lineRule="auto" w:before="153"/>
        <w:ind w:left="154" w:right="1130"/>
        <w:jc w:val="both"/>
      </w:pPr>
      <w:r>
        <w:rPr>
          <w:spacing w:val="-2"/>
        </w:rPr>
        <w:t>报告期，公司逐步建立集团化管控体系，以达到资源共享、优势互补，提高公司创新能力和综合竞争能力。技术方面，依托</w:t>
      </w:r>
      <w:r>
        <w:rPr>
          <w:spacing w:val="-68"/>
        </w:rPr>
        <w:t> </w:t>
      </w:r>
      <w:r>
        <w:rPr>
          <w:spacing w:val="-68"/>
        </w:rPr>
      </w:r>
      <w:r>
        <w:rPr>
          <w:spacing w:val="-2"/>
        </w:rPr>
        <w:t>公司深厚的大数据底蕴，为管理软件与数字传播业务提供技术支撑，增强平台研发水平及提供整体解决方案的能力；业务方</w:t>
      </w:r>
      <w:r>
        <w:rPr>
          <w:spacing w:val="-66"/>
        </w:rPr>
        <w:t> </w:t>
      </w:r>
      <w:r>
        <w:rPr>
          <w:spacing w:val="-66"/>
        </w:rPr>
      </w:r>
      <w:r>
        <w:rPr>
          <w:spacing w:val="-2"/>
        </w:rPr>
        <w:t>面，促进全集团内部的业务协同，共享客户资源、深挖市场潜力，为客户提供大数据综合服务解决方案；内部控制方面，进</w:t>
      </w:r>
      <w:r>
        <w:rPr>
          <w:spacing w:val="-67"/>
        </w:rPr>
        <w:t> </w:t>
      </w:r>
      <w:r>
        <w:rPr>
          <w:spacing w:val="-67"/>
        </w:rPr>
      </w:r>
      <w:r>
        <w:rPr>
          <w:spacing w:val="-2"/>
        </w:rPr>
        <w:t>一步完善法人治理结构，规范集团内部审核流程，从经营和治理两方面，重点跟进业务风险、财务风险、人力风险和管理风</w:t>
      </w:r>
      <w:r>
        <w:rPr>
          <w:spacing w:val="-66"/>
        </w:rPr>
        <w:t> </w:t>
      </w:r>
      <w:r>
        <w:rPr>
          <w:spacing w:val="-66"/>
        </w:rPr>
      </w:r>
      <w:r>
        <w:rPr/>
        <w:t>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2"/>
        <w:spacing w:line="240" w:lineRule="auto"/>
        <w:ind w:left="154" w:right="983"/>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参见</w:t>
      </w:r>
      <w:r>
        <w:rPr>
          <w:rFonts w:ascii="Times New Roman" w:hAnsi="Times New Roman" w:cs="Times New Roman" w:eastAsia="Times New Roman" w:hint="default"/>
        </w:rPr>
        <w:t>“</w:t>
      </w:r>
      <w:r>
        <w:rPr/>
        <w:t>第四节、经营情况讨论与分析 一、概述</w:t>
      </w:r>
      <w:r>
        <w:rPr>
          <w:rFonts w:ascii="Times New Roman" w:hAnsi="Times New Roman" w:cs="Times New Roman" w:eastAsia="Times New Roman" w:hint="default"/>
        </w:rPr>
        <w:t>”</w:t>
      </w:r>
      <w:r>
        <w:rPr/>
        <w:t>相关内容。</w:t>
      </w:r>
    </w:p>
    <w:p>
      <w:pPr>
        <w:spacing w:line="240" w:lineRule="auto" w:before="9"/>
        <w:rPr>
          <w:rFonts w:ascii="宋体" w:hAnsi="宋体" w:cs="宋体" w:eastAsia="宋体" w:hint="default"/>
          <w:sz w:val="25"/>
          <w:szCs w:val="25"/>
        </w:rPr>
      </w:pPr>
    </w:p>
    <w:p>
      <w:pPr>
        <w:pStyle w:val="Heading3"/>
        <w:spacing w:line="240" w:lineRule="auto"/>
        <w:ind w:right="983"/>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1,992,176,981.00</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1,320,802,031.31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553,082,183.98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539,153,323.07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213,276,957.08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206,405,057.43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1,216,821,094.72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570,238,433.19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43.17%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8,996,745.22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5,005,217.62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310,556,634.10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311,296,238.08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76,384,473.12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95,987,187.31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379,863,583.22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338,274,955.11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1,216,375,545.34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570,238,433.19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8,996,745.22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5,005,217.62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79.75%</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553,082,183.98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108,322,617.81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213,276,957.08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28,485,486.60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1,216,821,094.72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869,737,218.41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310,556,634.10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27,306,584.09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379,863,583.22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48,456,161.08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1,216,375,545.34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869,737,218.41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r>
    </w:tbl>
    <w:p>
      <w:pPr>
        <w:pStyle w:val="BodyText"/>
        <w:spacing w:line="240" w:lineRule="auto" w:before="51"/>
        <w:ind w:left="154" w:right="98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983"/>
        <w:jc w:val="left"/>
      </w:pPr>
      <w:r>
        <w:rPr/>
        <w:t>行业和产品分类</w:t>
      </w:r>
    </w:p>
    <w:p>
      <w:pPr>
        <w:pStyle w:val="BodyText"/>
        <w:spacing w:line="240" w:lineRule="auto" w:before="116"/>
        <w:ind w:left="0" w:right="1130"/>
        <w:jc w:val="right"/>
      </w:pPr>
      <w:r>
        <w:rPr/>
        <w:t>单位：元</w:t>
      </w:r>
    </w:p>
    <w:p>
      <w:pPr>
        <w:spacing w:after="0" w:line="240" w:lineRule="auto"/>
        <w:jc w:val="righ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108,322,617.81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118,915,568.53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28,485,486.60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22,172,049.29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869,737,218.41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412,126,884.70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3"/>
                <w:sz w:val="18"/>
              </w:rPr>
              <w:t>111.04%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211,053.10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933,280.92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-77.39%</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27,306,584.09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20,141,413.37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61,045,359.24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79,813,242.87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48,456,161.08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41,132,961.58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869,737,218.41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412,126,884.70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3"/>
                <w:sz w:val="18"/>
              </w:rPr>
              <w:t>111.04%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211,053.10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933,280.92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-77.39%</w:t>
            </w:r>
          </w:p>
        </w:tc>
      </w:tr>
    </w:tbl>
    <w:p>
      <w:pPr>
        <w:pStyle w:val="BodyText"/>
        <w:spacing w:line="357" w:lineRule="auto" w:before="51"/>
        <w:ind w:left="154" w:right="10392"/>
        <w:jc w:val="left"/>
      </w:pPr>
      <w:r>
        <w:rPr/>
        <w:t>说明 无</w:t>
      </w:r>
    </w:p>
    <w:p>
      <w:pPr>
        <w:spacing w:line="240" w:lineRule="auto" w:before="3"/>
        <w:rPr>
          <w:rFonts w:ascii="宋体" w:hAnsi="宋体" w:cs="宋体" w:eastAsia="宋体" w:hint="default"/>
          <w:sz w:val="20"/>
          <w:szCs w:val="20"/>
        </w:rPr>
      </w:pPr>
    </w:p>
    <w:p>
      <w:pPr>
        <w:pStyle w:val="Heading3"/>
        <w:spacing w:line="240" w:lineRule="auto"/>
        <w:ind w:right="98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983"/>
        <w:jc w:val="left"/>
      </w:pPr>
      <w:r>
        <w:rPr/>
        <w:t>详见</w:t>
      </w:r>
      <w:r>
        <w:rPr>
          <w:rFonts w:ascii="Times New Roman" w:hAnsi="Times New Roman" w:cs="Times New Roman" w:eastAsia="Times New Roman" w:hint="default"/>
        </w:rPr>
        <w:t>“</w:t>
      </w:r>
      <w:r>
        <w:rPr/>
        <w:t>第十一节 财务报告</w:t>
      </w:r>
      <w:r>
        <w:rPr>
          <w:spacing w:val="-37"/>
        </w:rPr>
        <w:t> </w:t>
      </w:r>
      <w:r>
        <w:rPr/>
        <w:t>八、合并范围的变更</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98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227,022,820.42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11.40%</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53,878,693.98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52,648,108.27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51,824,066.03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35,540,377.83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33,131,574.31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227,022,820.42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11.40%</w:t>
            </w:r>
          </w:p>
        </w:tc>
      </w:tr>
    </w:tbl>
    <w:p>
      <w:pPr>
        <w:pStyle w:val="BodyText"/>
        <w:spacing w:line="240" w:lineRule="auto" w:before="51"/>
        <w:ind w:left="154" w:right="983"/>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419,841,796.43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106,862,044.80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101,981,936.44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75,670,665.41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75,371,096.80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59,956,052.98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419,841,796.43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41.70%</w:t>
            </w:r>
          </w:p>
        </w:tc>
      </w:tr>
    </w:tbl>
    <w:p>
      <w:pPr>
        <w:pStyle w:val="BodyText"/>
        <w:spacing w:line="240" w:lineRule="auto" w:before="51"/>
        <w:ind w:left="154" w:right="983"/>
        <w:jc w:val="left"/>
      </w:pPr>
      <w:r>
        <w:rPr/>
        <w:t>主要供应商其他情况说明</w:t>
      </w:r>
    </w:p>
    <w:p>
      <w:pPr>
        <w:pStyle w:val="BodyText"/>
        <w:spacing w:line="240" w:lineRule="auto" w:before="117"/>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85,972,578.20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84,277,031.09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3" w:right="0"/>
              <w:jc w:val="left"/>
              <w:rPr>
                <w:rFonts w:ascii="Times New Roman" w:hAnsi="Times New Roman" w:cs="Times New Roman" w:eastAsia="Times New Roman" w:hint="default"/>
                <w:sz w:val="18"/>
                <w:szCs w:val="18"/>
              </w:rPr>
            </w:pPr>
            <w:r>
              <w:rPr>
                <w:rFonts w:ascii="Times New Roman"/>
                <w:sz w:val="18"/>
              </w:rPr>
              <w:t>2.01%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557,498,979.03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466,546,309.09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19.49%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主要系报告期限制性股票股权激励 费用摊销所致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17,794,165.40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-1,104,984.71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主要系报告期支付借款利息、汇兑损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益，以及按实际利率计提可转债利息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为进一步完善公司大数据产品与解决方案体系，持续提升公司的核心竞争力。本年度公司开展了包括政企大数据平台、下一</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28" w:lineRule="auto" w:before="44"/>
        <w:ind w:right="983"/>
        <w:jc w:val="left"/>
      </w:pPr>
      <w:r>
        <w:rPr>
          <w:spacing w:val="-2"/>
        </w:rPr>
        <w:t>代集团管控平台、面向大数据的电子政务应用平台、法庭云平台、媒体营销与个性化推荐平台等在内的多项以大数据技术为</w:t>
      </w:r>
      <w:r>
        <w:rPr>
          <w:spacing w:val="-66"/>
        </w:rPr>
        <w:t> </w:t>
      </w:r>
      <w:r>
        <w:rPr>
          <w:spacing w:val="-66"/>
        </w:rPr>
      </w:r>
      <w:r>
        <w:rPr/>
        <w:t>核心的研发项目建设投入工作。</w:t>
      </w:r>
      <w:r>
        <w:rPr>
          <w:rFonts w:ascii="Times New Roman" w:hAnsi="Times New Roman" w:cs="Times New Roman" w:eastAsia="Times New Roman" w:hint="default"/>
        </w:rPr>
        <w:t>2017</w:t>
      </w:r>
      <w:r>
        <w:rPr/>
        <w:t>年全年研发支出总额为</w:t>
      </w:r>
      <w:r>
        <w:rPr>
          <w:rFonts w:ascii="Times New Roman" w:hAnsi="Times New Roman" w:cs="Times New Roman" w:eastAsia="Times New Roman" w:hint="default"/>
        </w:rPr>
        <w:t>24,582.22</w:t>
      </w:r>
      <w:r>
        <w:rPr/>
        <w:t>万元，占营业收入比重为</w:t>
      </w:r>
      <w:r>
        <w:rPr>
          <w:rFonts w:ascii="Times New Roman" w:hAnsi="Times New Roman" w:cs="Times New Roman" w:eastAsia="Times New Roman" w:hint="default"/>
        </w:rPr>
        <w:t>12.34%</w:t>
      </w:r>
      <w:r>
        <w:rPr/>
        <w:t>，同比增长</w:t>
      </w:r>
      <w:r>
        <w:rPr>
          <w:rFonts w:ascii="Times New Roman" w:hAnsi="Times New Roman" w:cs="Times New Roman" w:eastAsia="Times New Roman" w:hint="default"/>
        </w:rPr>
        <w:t>15.04%</w:t>
      </w:r>
      <w:r>
        <w:rPr/>
        <w:t>。 公司研发投入情况</w:t>
      </w:r>
    </w:p>
    <w:p>
      <w:pPr>
        <w:spacing w:line="240" w:lineRule="auto" w:before="11"/>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245,822,176.47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213,685,885.15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13,064,858.67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4,719,806.98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176.81%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r>
    </w:tbl>
    <w:p>
      <w:pPr>
        <w:pStyle w:val="BodyText"/>
        <w:spacing w:line="240" w:lineRule="auto" w:before="51"/>
        <w:ind w:left="154" w:right="983"/>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422"/>
        <w:gridCol w:w="2214"/>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1,971,544,244.76</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1,336,801,664.05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1,843,624,319.23</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1,240,334,316.16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127,919,925.53</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96,467,347.89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110,313,785.21</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1,022,755.17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10,685.94%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880,230,945.13</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147,195,430.69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498.00%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-769,917,159.92</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-146,172,675.52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972,771,880.00</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6,171.90%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105,903,602.46</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115,169,615.26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866,868,277.54</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-99,659,615.26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223,161,405.25</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-148,875,887.49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3"/>
        <w:jc w:val="left"/>
      </w:pPr>
      <w:r>
        <w:rPr/>
        <w:t>相关数据同比发生重大变动的主要影响因素说明</w:t>
      </w:r>
    </w:p>
    <w:p>
      <w:pPr>
        <w:pStyle w:val="BodyText"/>
        <w:spacing w:line="314"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经营活动产生的现金流量净额本期为流入</w:t>
      </w:r>
      <w:r>
        <w:rPr>
          <w:rFonts w:ascii="Times New Roman" w:hAnsi="Times New Roman" w:cs="Times New Roman" w:eastAsia="Times New Roman" w:hint="default"/>
        </w:rPr>
        <w:t>12,791.99</w:t>
      </w:r>
      <w:r>
        <w:rPr/>
        <w:t>万元，较上期净流入增加</w:t>
      </w:r>
      <w:r>
        <w:rPr>
          <w:rFonts w:ascii="Times New Roman" w:hAnsi="Times New Roman" w:cs="Times New Roman" w:eastAsia="Times New Roman" w:hint="default"/>
        </w:rPr>
        <w:t>32.60%</w:t>
      </w:r>
      <w:r>
        <w:rPr/>
        <w:t>，主要系报告期内公司业务开展以及合 并上海移通所致。 </w:t>
      </w:r>
      <w:r>
        <w:rPr>
          <w:spacing w:val="-2"/>
        </w:rPr>
        <w:t>投资活动产生的现金流量净额本期为流出</w:t>
      </w:r>
      <w:r>
        <w:rPr>
          <w:rFonts w:ascii="Times New Roman" w:hAnsi="Times New Roman" w:cs="Times New Roman" w:eastAsia="Times New Roman" w:hint="default"/>
          <w:spacing w:val="-2"/>
        </w:rPr>
        <w:t>76,991.72</w:t>
      </w:r>
      <w:r>
        <w:rPr>
          <w:spacing w:val="-2"/>
        </w:rPr>
        <w:t>万元，上期为流出</w:t>
      </w:r>
      <w:r>
        <w:rPr>
          <w:rFonts w:ascii="Times New Roman" w:hAnsi="Times New Roman" w:cs="Times New Roman" w:eastAsia="Times New Roman" w:hint="default"/>
          <w:spacing w:val="-2"/>
        </w:rPr>
        <w:t>14,617.27</w:t>
      </w:r>
      <w:r>
        <w:rPr>
          <w:spacing w:val="-2"/>
        </w:rPr>
        <w:t>万元，主要系报告期内公司购买银行理财产品</w:t>
      </w:r>
      <w:r>
        <w:rPr>
          <w:spacing w:val="-50"/>
        </w:rPr>
        <w:t> </w:t>
      </w:r>
      <w:r>
        <w:rPr>
          <w:spacing w:val="-50"/>
        </w:rPr>
      </w:r>
      <w:r>
        <w:rPr/>
        <w:t>所致。 筹资活动产生的现金流量净额本期为流入</w:t>
      </w:r>
      <w:r>
        <w:rPr>
          <w:rFonts w:ascii="Times New Roman" w:hAnsi="Times New Roman" w:cs="Times New Roman" w:eastAsia="Times New Roman" w:hint="default"/>
        </w:rPr>
        <w:t>86,686.83</w:t>
      </w:r>
      <w:r>
        <w:rPr/>
        <w:t>万元，上期为流出</w:t>
      </w:r>
      <w:r>
        <w:rPr>
          <w:rFonts w:ascii="Times New Roman" w:hAnsi="Times New Roman" w:cs="Times New Roman" w:eastAsia="Times New Roman" w:hint="default"/>
        </w:rPr>
        <w:t>9,965.96</w:t>
      </w:r>
      <w:r>
        <w:rPr/>
        <w:t>万元，主要系报告期内公司公开发行可转换公</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right="4273"/>
        <w:jc w:val="left"/>
      </w:pPr>
      <w:r>
        <w:rPr/>
        <w:t>司债券收到募集资金所致。 报告期内公司经营活动产生的现金净流量与本年度净利润存在重大差异的原因说明</w:t>
      </w:r>
    </w:p>
    <w:p>
      <w:pPr>
        <w:pStyle w:val="BodyText"/>
        <w:spacing w:line="338" w:lineRule="auto" w:before="27"/>
        <w:ind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主要系报告期内久金保业务规模扩大导致应收保理款大幅增加，对公司经营活动产生的现金流量产生了一定的影响。</w:t>
      </w:r>
    </w:p>
    <w:p>
      <w:pPr>
        <w:spacing w:line="240" w:lineRule="auto" w:before="7"/>
        <w:rPr>
          <w:rFonts w:ascii="宋体" w:hAnsi="宋体" w:cs="宋体" w:eastAsia="宋体" w:hint="default"/>
          <w:sz w:val="19"/>
          <w:szCs w:val="19"/>
        </w:rPr>
      </w:pPr>
    </w:p>
    <w:p>
      <w:pPr>
        <w:pStyle w:val="Heading2"/>
        <w:spacing w:line="240" w:lineRule="auto"/>
        <w:ind w:right="98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760"/>
        <w:gridCol w:w="1367"/>
        <w:gridCol w:w="892"/>
        <w:gridCol w:w="798"/>
        <w:gridCol w:w="2918"/>
      </w:tblGrid>
      <w:tr>
        <w:trPr>
          <w:trHeight w:val="384"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104"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60"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932,948,125.31</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19.82%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708,631,055.66</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25.35%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-5.53%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主要系报告期公开发行可转债募集 资金到位及合并上海移通所致</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488,216,872.31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305,783,701.00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主要系报告期合并上海移通所致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56,658,351.64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65,740,578.60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29,455,657.20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30,388,938.12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133,658,047.63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90,620,388.98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234,522,059.54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230,771,796.04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50,514,159.99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20,381,055.43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185,825,300.00</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3.95%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80,424,800.00</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2.88%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主要系报告期久金保新增流动资金 贷款所致</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6"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253,120,711.94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66,531,750.42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主要系报告期久金保保理业务规模 扩大所致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1,075,506.77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主要系报告期久金保应收利息</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主要系报告期公司参股投资惟新科 技和子公司参股投资数说故事所致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628,609,066.64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系公司报告期公开发行可转债所致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631,307,930.77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152,994,115.99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主要系新增应付收购上海移通的股 权对价所致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1,678,630,539.3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1,033,371,142.50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主要系报告期合并上海移通所致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573,532,599.01</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14,876,371.88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主要系报告期使用暂时闲置的募集 资金进行银行理财所致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left="154" w:right="983"/>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771,098,003.00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301,140,000.80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3"/>
          <w:szCs w:val="23"/>
        </w:rPr>
      </w:pPr>
    </w:p>
    <w:p>
      <w:pPr>
        <w:pStyle w:val="Heading3"/>
        <w:spacing w:line="240" w:lineRule="auto"/>
        <w:ind w:left="140"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w w:val="95"/>
        </w:rPr>
        <w:t>2</w:t>
      </w:r>
      <w:r>
        <w:rPr>
          <w:w w:val="95"/>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3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5"/>
        <w:ind w:left="140" w:right="0"/>
        <w:jc w:val="left"/>
      </w:pPr>
      <w:r>
        <w:rPr/>
        <w:br w:type="column"/>
      </w: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3289" w:right="0"/>
        <w:jc w:val="left"/>
      </w:pPr>
      <w:r>
        <w:rPr/>
        <w:pict>
          <v:group style="position:absolute;margin-left:70.5pt;margin-top:-49.928272pt;width:701pt;height:.1pt;mso-position-horizontal-relative:page;mso-position-vertical-relative:paragraph;z-index:1120" coordorigin="1410,-999" coordsize="14020,2">
            <v:shape style="position:absolute;left:1410;top:-999;width:14020;height:2" coordorigin="1410,-999" coordsize="14020,0" path="m1410,-999l15430,-999e" filled="false" stroked="true" strokeweight=".72pt" strokecolor="#000000">
              <v:path arrowok="t"/>
            </v:shape>
            <w10:wrap type="none"/>
          </v:group>
        </w:pict>
      </w:r>
      <w:r>
        <w:rPr/>
        <w:t>单位：元</w:t>
      </w:r>
    </w:p>
    <w:p>
      <w:pPr>
        <w:spacing w:after="0" w:line="240" w:lineRule="auto"/>
        <w:jc w:val="left"/>
        <w:sectPr>
          <w:headerReference w:type="default" r:id="rId14"/>
          <w:footerReference w:type="default" r:id="rId15"/>
          <w:pgSz w:w="16840" w:h="11910" w:orient="landscape"/>
          <w:pgMar w:header="0" w:footer="0" w:top="800" w:bottom="0" w:left="1300" w:right="0"/>
          <w:cols w:num="2" w:equalWidth="0">
            <w:col w:w="3828" w:space="6262"/>
            <w:col w:w="5450"/>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28"/>
        <w:gridCol w:w="509"/>
        <w:gridCol w:w="401"/>
        <w:gridCol w:w="1181"/>
        <w:gridCol w:w="661"/>
        <w:gridCol w:w="401"/>
        <w:gridCol w:w="401"/>
        <w:gridCol w:w="401"/>
        <w:gridCol w:w="401"/>
        <w:gridCol w:w="894"/>
        <w:gridCol w:w="1092"/>
        <w:gridCol w:w="1104"/>
        <w:gridCol w:w="402"/>
        <w:gridCol w:w="758"/>
        <w:gridCol w:w="4680"/>
      </w:tblGrid>
      <w:tr>
        <w:trPr>
          <w:trHeight w:val="1338" w:hRule="exact"/>
        </w:trPr>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 w:right="68"/>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5"/>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5" w:right="5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3"/>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z w:val="18"/>
                <w:szCs w:val="18"/>
              </w:rPr>
              <w:t>合 作 方</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3"/>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3"/>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7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7" w:right="95"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6" w:right="103"/>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4" w:right="10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33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上海移 通网络 有限公 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4"/>
              <w:jc w:val="both"/>
              <w:rPr>
                <w:rFonts w:ascii="宋体" w:hAnsi="宋体" w:cs="宋体" w:eastAsia="宋体" w:hint="default"/>
                <w:sz w:val="18"/>
                <w:szCs w:val="18"/>
              </w:rPr>
            </w:pPr>
            <w:r>
              <w:rPr>
                <w:rFonts w:ascii="宋体" w:hAnsi="宋体" w:cs="宋体" w:eastAsia="宋体" w:hint="default"/>
                <w:sz w:val="18"/>
                <w:szCs w:val="18"/>
              </w:rPr>
              <w:t>移动 信息 服务</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85"/>
              <w:jc w:val="left"/>
              <w:rPr>
                <w:rFonts w:ascii="宋体" w:hAnsi="宋体" w:cs="宋体" w:eastAsia="宋体" w:hint="default"/>
                <w:sz w:val="18"/>
                <w:szCs w:val="18"/>
              </w:rPr>
            </w:pPr>
            <w:r>
              <w:rPr>
                <w:rFonts w:ascii="宋体" w:hAnsi="宋体" w:cs="宋体" w:eastAsia="宋体" w:hint="default"/>
                <w:sz w:val="18"/>
                <w:szCs w:val="18"/>
              </w:rPr>
              <w:t>收 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734,400,000.00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51.00%</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6"/>
              <w:jc w:val="left"/>
              <w:rPr>
                <w:rFonts w:ascii="宋体" w:hAnsi="宋体" w:cs="宋体" w:eastAsia="宋体" w:hint="default"/>
                <w:sz w:val="18"/>
                <w:szCs w:val="18"/>
              </w:rPr>
            </w:pPr>
            <w:r>
              <w:rPr>
                <w:rFonts w:ascii="宋体" w:hAnsi="宋体" w:cs="宋体" w:eastAsia="宋体" w:hint="default"/>
                <w:sz w:val="18"/>
                <w:szCs w:val="18"/>
              </w:rPr>
              <w:t>自 筹</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久 其 科 技</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6"/>
              <w:jc w:val="left"/>
              <w:rPr>
                <w:rFonts w:ascii="宋体" w:hAnsi="宋体" w:cs="宋体" w:eastAsia="宋体" w:hint="default"/>
                <w:sz w:val="18"/>
                <w:szCs w:val="18"/>
              </w:rPr>
            </w:pPr>
            <w:r>
              <w:rPr>
                <w:rFonts w:ascii="宋体" w:hAnsi="宋体" w:cs="宋体" w:eastAsia="宋体" w:hint="default"/>
                <w:sz w:val="18"/>
                <w:szCs w:val="18"/>
              </w:rPr>
              <w:t>长 期</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股 权 投 资</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38"/>
              <w:jc w:val="both"/>
              <w:rPr>
                <w:rFonts w:ascii="宋体" w:hAnsi="宋体" w:cs="宋体" w:eastAsia="宋体" w:hint="default"/>
                <w:sz w:val="18"/>
                <w:szCs w:val="18"/>
              </w:rPr>
            </w:pPr>
            <w:r>
              <w:rPr>
                <w:rFonts w:ascii="宋体" w:hAnsi="宋体" w:cs="宋体" w:eastAsia="宋体" w:hint="default"/>
                <w:sz w:val="18"/>
                <w:szCs w:val="18"/>
              </w:rPr>
              <w:t>已完成资 产交割过 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53,040,000.00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44,483,647.17</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2"/>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《关于现金收购上海移通网络有限网公司、上海恒瑞网络信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息有限公司暨关联交易的公告》（公告编号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2017-006</w:t>
            </w:r>
            <w:r>
              <w:rPr>
                <w:rFonts w:ascii="宋体" w:hAnsi="宋体" w:cs="宋体" w:eastAsia="宋体" w:hint="default"/>
                <w:sz w:val="18"/>
                <w:szCs w:val="18"/>
              </w:rPr>
              <w:t>）披露</w:t>
            </w:r>
            <w:r>
              <w:rPr>
                <w:rFonts w:ascii="宋体" w:hAnsi="宋体" w:cs="宋体" w:eastAsia="宋体" w:hint="default"/>
                <w:spacing w:val="-88"/>
                <w:sz w:val="18"/>
                <w:szCs w:val="18"/>
              </w:rPr>
              <w:t> </w:t>
            </w:r>
            <w:r>
              <w:rPr>
                <w:rFonts w:ascii="宋体" w:hAnsi="宋体" w:cs="宋体" w:eastAsia="宋体" w:hint="default"/>
                <w:sz w:val="18"/>
                <w:szCs w:val="18"/>
              </w:rPr>
              <w:t>于巨潮资讯网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734,400,000.00</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53,040,000.00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44,483,647.17</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40"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923"/>
        <w:gridCol w:w="422"/>
        <w:gridCol w:w="736"/>
        <w:gridCol w:w="673"/>
        <w:gridCol w:w="1231"/>
        <w:gridCol w:w="1602"/>
        <w:gridCol w:w="852"/>
        <w:gridCol w:w="669"/>
        <w:gridCol w:w="424"/>
        <w:gridCol w:w="984"/>
        <w:gridCol w:w="1110"/>
        <w:gridCol w:w="805"/>
        <w:gridCol w:w="3584"/>
      </w:tblGrid>
      <w:tr>
        <w:trPr>
          <w:trHeight w:val="1026" w:hRule="exact"/>
        </w:trPr>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0"/>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9" w:right="71"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9" w:right="5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5"/>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 w:right="35"/>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3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026"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久其政务 研发中心 建设项目</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软件信 息及服 务业</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30,133,104.56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68,411,367.89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自有资 金、募集 资金</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21.84%</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6" w:right="25"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《公开发可转换公司债券募集资金运用可行 性分析报告》披露于巨潮资讯网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30,133,104.56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68,411,367.89</w:t>
            </w:r>
          </w:p>
        </w:tc>
        <w:tc>
          <w:tcPr>
            <w:tcW w:w="852" w:type="dxa"/>
            <w:tcBorders>
              <w:top w:val="single" w:sz="4" w:space="0" w:color="000000"/>
              <w:left w:val="single" w:sz="4" w:space="0" w:color="000000"/>
              <w:bottom w:val="single" w:sz="4" w:space="0" w:color="000000"/>
              <w:right w:val="single" w:sz="13" w:space="0" w:color="D0CECE"/>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6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76"/>
        <w:ind w:left="0" w:right="1436"/>
        <w:jc w:val="right"/>
        <w:rPr>
          <w:rFonts w:ascii="Times New Roman" w:hAnsi="Times New Roman" w:cs="Times New Roman" w:eastAsia="Times New Roman" w:hint="default"/>
        </w:rPr>
      </w:pPr>
      <w:r>
        <w:rPr/>
        <w:pict>
          <v:shape style="position:absolute;margin-left:774.419983pt;margin-top:25.422344pt;width:67.5pt;height:38.5pt;mso-position-horizontal-relative:page;mso-position-vertical-relative:paragraph;z-index:1144" type="#_x0000_t75" stroked="false">
            <v:imagedata r:id="rId16" o:title=""/>
          </v:shape>
        </w:pict>
      </w:r>
      <w:r>
        <w:rPr>
          <w:rFonts w:ascii="Times New Roman"/>
        </w:rPr>
        <w:t>26</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98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45"/>
        <w:jc w:val="right"/>
      </w:pPr>
      <w:r>
        <w:rPr/>
        <w:pict>
          <v:shape style="position:absolute;margin-left:56.459999pt;margin-top:-191.308273pt;width:479pt;height:365.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非公开定 向发行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58,239.29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86,999.99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29,345.2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58,239.29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4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[2015]2490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号《关于核准北京久其软件股份有限公司向栗军等发行股份购买资产并募 集配套资金的批复》的核准，公司向控股股东北京久其科技投资有限公司等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名配套融资认购方非公开发行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2,798,503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8,999.99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万元，扣除配套融资承销费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8,949.99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日存入兴业银行北京中轴路支行开立的募集资金专户。截至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月，已完成相应对价的支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付，合计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日，因募投项目已实施完毕，公司已于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日办理销户手续，节</w:t>
                        </w:r>
                      </w:p>
                      <w:p>
                        <w:pPr>
                          <w:pStyle w:val="TableParagraph"/>
                          <w:spacing w:line="319" w:lineRule="auto" w:before="64"/>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万元已划入公司自有资金账户，并于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日披露了《关于注销募集资金专户的公告》。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[2017]392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号《关于核准北京久其软件股份有限公司公开发行可转换公司债券的批复 </w:t>
                        </w:r>
                        <w:r>
                          <w:rPr>
                            <w:rFonts w:ascii="宋体" w:hAnsi="宋体" w:cs="宋体" w:eastAsia="宋体" w:hint="default"/>
                            <w:spacing w:val="-13"/>
                            <w:sz w:val="18"/>
                            <w:szCs w:val="18"/>
                          </w:rPr>
                          <w:t>的核准，公司于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日向社会公开发行可转换公司债券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780</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万张，发行价格为每张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78,000</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万元，扣除发行费用总额人民币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76,492.20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日存入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兴业银行北京东城支行开立的募集资金专户。截至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日，募投项目仍处于实施过程中，该募集资金专户余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58,239.29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14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before="35"/>
        <w:ind w:right="98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130"/>
        <w:jc w:val="right"/>
      </w:pPr>
      <w:r>
        <w:rPr/>
        <w:t>单位：万元</w:t>
      </w:r>
    </w:p>
    <w:p>
      <w:pPr>
        <w:spacing w:after="0" w:line="240" w:lineRule="auto"/>
        <w:jc w:val="right"/>
        <w:sectPr>
          <w:footerReference w:type="default" r:id="rId17"/>
          <w:pgSz w:w="11910" w:h="16840"/>
          <w:pgMar w:footer="979" w:header="0" w:top="1060" w:bottom="1160" w:left="980" w:right="0"/>
          <w:pgNumType w:start="27"/>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67"/>
        <w:gridCol w:w="779"/>
        <w:gridCol w:w="784"/>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、支付收购华夏电通 </w:t>
            </w:r>
            <w:r>
              <w:rPr>
                <w:rFonts w:ascii="宋体" w:hAnsi="宋体" w:cs="宋体" w:eastAsia="宋体" w:hint="default"/>
                <w:spacing w:val="-9"/>
                <w:sz w:val="18"/>
                <w:szCs w:val="18"/>
              </w:rPr>
              <w:t>股权现金对价、中介费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8,301.56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、久其政务研发中心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27,580.23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27,580.23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5,623.77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5,623.77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、购买北京瑞意恒动 科技有限公司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2,185.51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、下一代集团管控平 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4,176.95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建设中</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、数字营销运营平台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14,749.5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建设中</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、政企大数据平台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10,993.32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10,993.32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建设中</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、公开发行可转债的 发行费用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86,999.99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20,295.2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29,345.2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10,487.07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86,999.99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29,345.2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10,487.07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0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7"/>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日，公司第六届董事会第八次会议审议通过了《关于使用募集资金置换预先投入募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投项目的自筹资金的议案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16,162.</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万元置换预先已投入公开发行可转换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债券募集资金投资项目的自筹资金。其中，置换久其政务研发中心建设项目款项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3,533.23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换购买瑞意恒动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股权款项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12,300.00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万元；置换下一代集团管控平台项目款项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158.99</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万元；置</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换数字营销运营平台项目款项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万元；置换政企大数据平台项目款项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804"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日，尚未使用的募集资金余额仍存放于募集资金专户中。</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pacing w:val="-5"/>
                <w:sz w:val="18"/>
                <w:szCs w:val="18"/>
              </w:rPr>
              <w:t>公司第六届董事会第十三次会议审议通过了《关于使用闲置募集资金购买银行理财产品的议案》，同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意公司及久其政务在不影响募投项目建设和募集资金正常使用的前提下，合计使用不超过人民币 </w:t>
            </w:r>
            <w:r>
              <w:rPr>
                <w:rFonts w:ascii="Times New Roman" w:hAnsi="Times New Roman" w:cs="Times New Roman" w:eastAsia="Times New Roman" w:hint="default"/>
                <w:sz w:val="18"/>
                <w:szCs w:val="18"/>
              </w:rPr>
              <w:t>55,000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万元暂时闲置的募集资金购买短期低风险保本型银行理财产品，期限不超过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个月。在上述</w:t>
            </w:r>
            <w:r>
              <w:rPr>
                <w:rFonts w:ascii="宋体" w:hAnsi="宋体" w:cs="宋体" w:eastAsia="宋体" w:hint="default"/>
                <w:sz w:val="18"/>
                <w:szCs w:val="18"/>
              </w:rPr>
              <w:t> 额度和期限内，资金可以滚动使用。董事会授权公司管理层负责办理相关事宜。公司独立董事、监 </w:t>
            </w:r>
            <w:r>
              <w:rPr>
                <w:rFonts w:ascii="宋体" w:hAnsi="宋体" w:cs="宋体" w:eastAsia="宋体" w:hint="default"/>
                <w:spacing w:val="-3"/>
                <w:sz w:val="18"/>
                <w:szCs w:val="18"/>
              </w:rPr>
              <w:t>事会和保荐机构均对该议案发表了同意意见。截至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日，公司及久其政务购买的银行</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保本理财产品余额为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55,000 </w:t>
            </w:r>
            <w:r>
              <w:rPr>
                <w:rFonts w:ascii="宋体" w:hAnsi="宋体" w:cs="宋体" w:eastAsia="宋体" w:hint="default"/>
                <w:sz w:val="18"/>
                <w:szCs w:val="18"/>
              </w:rPr>
              <w:t>万元。</w:t>
            </w:r>
          </w:p>
        </w:tc>
      </w:tr>
      <w:tr>
        <w:trPr>
          <w:trHeight w:val="54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、久其政务研发中心建设项目 该项目整体尚处于基建投资期内，目前主体结构全部封顶，已完成地下室房心回填，筏板以下地源 热泵施工，地下桥架施工、穿线以及机电预留预埋等施工作业，通风工程尚还有部分风管主管道未 </w:t>
            </w:r>
            <w:r>
              <w:rPr>
                <w:rFonts w:ascii="宋体" w:hAnsi="宋体" w:cs="宋体" w:eastAsia="宋体" w:hint="default"/>
                <w:spacing w:val="-4"/>
                <w:sz w:val="18"/>
                <w:szCs w:val="18"/>
              </w:rPr>
              <w:t>完成安装，已进入二次结构施工阶段。截至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日，该项目实际进度与计划进度相比有 </w:t>
            </w:r>
            <w:r>
              <w:rPr>
                <w:rFonts w:ascii="宋体" w:hAnsi="宋体" w:cs="宋体" w:eastAsia="宋体" w:hint="default"/>
                <w:spacing w:val="-3"/>
                <w:sz w:val="18"/>
                <w:szCs w:val="18"/>
              </w:rPr>
              <w:t>所落后，主要受以下四方面原因影响：（</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）在工程建设初期土方及基坑支护施工阶段，受较强持续</w:t>
            </w:r>
          </w:p>
          <w:p>
            <w:pPr>
              <w:pStyle w:val="TableParagraph"/>
              <w:spacing w:line="312" w:lineRule="auto"/>
              <w:ind w:left="22" w:right="22"/>
              <w:jc w:val="both"/>
              <w:rPr>
                <w:rFonts w:ascii="宋体" w:hAnsi="宋体" w:cs="宋体" w:eastAsia="宋体" w:hint="default"/>
                <w:sz w:val="18"/>
                <w:szCs w:val="18"/>
              </w:rPr>
            </w:pPr>
            <w:r>
              <w:rPr>
                <w:rFonts w:ascii="宋体" w:hAnsi="宋体" w:cs="宋体" w:eastAsia="宋体" w:hint="default"/>
                <w:spacing w:val="-3"/>
                <w:sz w:val="18"/>
                <w:szCs w:val="18"/>
              </w:rPr>
              <w:t>雨水天气影响，导致水流入基坑中断正常施工，抽水及修复护坡导致工期延误；（</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）根据《北京市</w:t>
            </w:r>
            <w:r>
              <w:rPr>
                <w:rFonts w:ascii="宋体" w:hAnsi="宋体" w:cs="宋体" w:eastAsia="宋体" w:hint="default"/>
                <w:spacing w:val="-48"/>
                <w:sz w:val="18"/>
                <w:szCs w:val="18"/>
              </w:rPr>
              <w:t> </w:t>
            </w:r>
            <w:r>
              <w:rPr>
                <w:rFonts w:ascii="宋体" w:hAnsi="宋体" w:cs="宋体" w:eastAsia="宋体" w:hint="default"/>
                <w:spacing w:val="-5"/>
                <w:sz w:val="18"/>
                <w:szCs w:val="18"/>
              </w:rPr>
              <w:t>建设系统空气重污染应急预案》，空气污染级别达到黄色预警及以上级别时，工程施工方需要停工自</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查或主动接受政府监督检查，并采取有效的应急措施，影响施工工期；（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）在北京市召开重要会议</w:t>
            </w:r>
            <w:r>
              <w:rPr>
                <w:rFonts w:ascii="宋体" w:hAnsi="宋体" w:cs="宋体" w:eastAsia="宋体" w:hint="default"/>
                <w:spacing w:val="-48"/>
                <w:sz w:val="18"/>
                <w:szCs w:val="18"/>
              </w:rPr>
              <w:t> </w:t>
            </w:r>
            <w:r>
              <w:rPr>
                <w:rFonts w:ascii="宋体" w:hAnsi="宋体" w:cs="宋体" w:eastAsia="宋体" w:hint="default"/>
                <w:spacing w:val="-3"/>
                <w:sz w:val="18"/>
                <w:szCs w:val="18"/>
              </w:rPr>
              <w:t>期间，工程施工方应监管要求实施停工，影响施工工期；（</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月京津冀地区水泥限产，</w:t>
            </w:r>
            <w:r>
              <w:rPr>
                <w:rFonts w:ascii="宋体" w:hAnsi="宋体" w:cs="宋体" w:eastAsia="宋体" w:hint="default"/>
                <w:spacing w:val="-88"/>
                <w:sz w:val="18"/>
                <w:szCs w:val="18"/>
              </w:rPr>
              <w:t> </w:t>
            </w:r>
            <w:r>
              <w:rPr>
                <w:rFonts w:ascii="宋体" w:hAnsi="宋体" w:cs="宋体" w:eastAsia="宋体" w:hint="default"/>
                <w:sz w:val="18"/>
                <w:szCs w:val="18"/>
              </w:rPr>
              <w:t>导致工地原材料供应不足，工程进度受到极大影响。鉴于以上情况影响，公司相关部门已积极协调 施工、监理等相关单位，在满足政府部门监管要求的情况下，积极推进工程进度，增速保质，最大 程度减少由于延期对募投项目后期投入使用产生影响。针对该项目当前进展，结合后续初装修、精 装修、办公家具及设备购置等工作的排期，公司第六届董事会第二十二次会议审议通过了《关于部 </w:t>
            </w:r>
            <w:r>
              <w:rPr>
                <w:rFonts w:ascii="宋体" w:hAnsi="宋体" w:cs="宋体" w:eastAsia="宋体" w:hint="default"/>
                <w:spacing w:val="-3"/>
                <w:sz w:val="18"/>
                <w:szCs w:val="18"/>
              </w:rPr>
              <w:t>分募集资金投资项目延期的议案》，同意对该项目的计划完工时间予以延期至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、下一代集团管控平台</w:t>
            </w:r>
          </w:p>
          <w:p>
            <w:pPr>
              <w:pStyle w:val="TableParagraph"/>
              <w:spacing w:line="300" w:lineRule="auto" w:before="102"/>
              <w:ind w:left="22" w:right="-19"/>
              <w:jc w:val="left"/>
              <w:rPr>
                <w:rFonts w:ascii="宋体" w:hAnsi="宋体" w:cs="宋体" w:eastAsia="宋体" w:hint="default"/>
                <w:sz w:val="18"/>
                <w:szCs w:val="18"/>
              </w:rPr>
            </w:pPr>
            <w:r>
              <w:rPr>
                <w:rFonts w:ascii="宋体" w:hAnsi="宋体" w:cs="宋体" w:eastAsia="宋体" w:hint="default"/>
                <w:sz w:val="18"/>
                <w:szCs w:val="18"/>
              </w:rPr>
              <w:t>该项目是基于新的技术平台，结合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宋体" w:hAnsi="宋体" w:cs="宋体" w:eastAsia="宋体" w:hint="default"/>
                <w:sz w:val="18"/>
                <w:szCs w:val="18"/>
              </w:rPr>
              <w:t>、移动化、大数据存储与管理、大数据分析与挖掘等技术， 对公司集团管控产品进行技术升级和系统功能结构优化。该项目研发工作正在推进，截至目前已完</w:t>
            </w:r>
          </w:p>
        </w:tc>
      </w:tr>
    </w:tbl>
    <w:p>
      <w:pPr>
        <w:spacing w:after="0" w:line="30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BodyText"/>
        <w:spacing w:line="240" w:lineRule="auto" w:before="44"/>
        <w:ind w:left="0" w:right="1141"/>
        <w:jc w:val="right"/>
      </w:pPr>
      <w:r>
        <w:rPr/>
        <w:pict>
          <v:shape style="position:absolute;margin-left:56.459999pt;margin-top:-174.50827pt;width:479.2pt;height:194.2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2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成新一代移动开发及建模平台、大数据处理引擎集成，以及以财务共享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为核心的财务管控子系</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统等相关工作，前期项目投入主要为人工成本。但随着云计算、移动互联、大数据以及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等技术</w:t>
                        </w:r>
                      </w:p>
                    </w:tc>
                  </w:tr>
                  <w:tr>
                    <w:trPr>
                      <w:trHeight w:val="30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的深入发展，该项目仍需在运用新技术为企业集团客户创新管理模式和提升管理价值方面，进行更</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多复杂工作和具体应用实践，继续深化运营管控、战略管控和风险管控子系统的设计和研发工作。</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因此出于审慎考虑，为确保业务发展能够更好地适应市场需求，取得良好成效，公司第六届董事会</w:t>
                        </w:r>
                      </w:p>
                    </w:tc>
                  </w:tr>
                  <w:tr>
                    <w:trPr>
                      <w:trHeight w:val="313"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第二十二次会议审议通过</w:t>
                        </w:r>
                        <w:r>
                          <w:rPr>
                            <w:rFonts w:ascii="宋体" w:hAnsi="宋体" w:cs="宋体" w:eastAsia="宋体" w:hint="default"/>
                            <w:spacing w:val="-45"/>
                            <w:sz w:val="18"/>
                            <w:szCs w:val="18"/>
                          </w:rPr>
                          <w:t>了</w:t>
                        </w:r>
                        <w:r>
                          <w:rPr>
                            <w:rFonts w:ascii="宋体" w:hAnsi="宋体" w:cs="宋体" w:eastAsia="宋体" w:hint="default"/>
                            <w:sz w:val="18"/>
                            <w:szCs w:val="18"/>
                          </w:rPr>
                          <w:t>《关于部分募集资金投资项目延期的议案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同意调整该项目的计划完工</w:t>
                        </w:r>
                      </w:p>
                    </w:tc>
                  </w:tr>
                  <w:tr>
                    <w:trPr>
                      <w:trHeight w:val="338"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5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、数字营销运营平台</w:t>
                        </w:r>
                      </w:p>
                    </w:tc>
                  </w:tr>
                  <w:tr>
                    <w:trPr>
                      <w:trHeight w:val="32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为了更好地整合公司在数字营销领域的优势资源，充分发挥协同效应，构建集团层面的数字营销业</w:t>
                        </w:r>
                      </w:p>
                    </w:tc>
                  </w:tr>
                  <w:tr>
                    <w:trPr>
                      <w:trHeight w:val="31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务统一管理平台，公司于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月设立了全资子公司久其数字传播有限公司。由于整合初期需要</w:t>
                        </w:r>
                      </w:p>
                    </w:tc>
                  </w:tr>
                  <w:tr>
                    <w:trPr>
                      <w:trHeight w:val="308"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对业务战略、组织架构进行优化调整，因此数字营销运营平台项目的研发进展有所滞后，公司已督</w:t>
                        </w:r>
                      </w:p>
                    </w:tc>
                  </w:tr>
                  <w:tr>
                    <w:trPr>
                      <w:trHeight w:val="35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3"/>
                            <w:sz w:val="18"/>
                            <w:szCs w:val="18"/>
                          </w:rPr>
                          <w:t>促项目负责人抓紧落实项目进度，后续公司将视项目阶段性进展情况，确定是否调整项目有关计划</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3"/>
        <w:spacing w:line="240" w:lineRule="auto" w:before="35"/>
        <w:ind w:right="98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38" w:lineRule="auto"/>
        <w:jc w:val="left"/>
        <w:sectPr>
          <w:pgSz w:w="11910" w:h="16840"/>
          <w:pgMar w:header="0" w:footer="979" w:top="1060" w:bottom="1160" w:left="980" w:right="0"/>
        </w:sectPr>
      </w:pPr>
    </w:p>
    <w:p>
      <w:pPr>
        <w:spacing w:line="240" w:lineRule="auto" w:before="3"/>
        <w:rPr>
          <w:rFonts w:ascii="宋体" w:hAnsi="宋体" w:cs="宋体" w:eastAsia="宋体" w:hint="default"/>
          <w:sz w:val="22"/>
          <w:szCs w:val="22"/>
        </w:rPr>
      </w:pPr>
    </w:p>
    <w:p>
      <w:pPr>
        <w:pStyle w:val="Heading2"/>
        <w:spacing w:line="240" w:lineRule="auto"/>
        <w:ind w:left="140" w:right="0"/>
        <w:jc w:val="left"/>
        <w:rPr>
          <w:b w:val="0"/>
          <w:bCs w:val="0"/>
        </w:rPr>
      </w:pPr>
      <w:r>
        <w:rPr/>
        <w:pict>
          <v:group style="position:absolute;margin-left:70.5pt;margin-top:.755627pt;width:701pt;height:.1pt;mso-position-horizontal-relative:page;mso-position-vertical-relative:paragraph;z-index:-1058200" coordorigin="1410,15" coordsize="14020,2">
            <v:shape style="position:absolute;left:1410;top:15;width:14020;height:2" coordorigin="1410,15" coordsize="14020,0" path="m1410,15l15430,15e" filled="false" stroked="true" strokeweight=".72pt" strokecolor="#000000">
              <v:path arrowok="t"/>
            </v:shape>
            <w10:wrap type="none"/>
          </v:group>
        </w:pict>
      </w:r>
      <w:bookmarkStart w:name="六、重大资产和股权出售" w:id="54"/>
      <w:bookmarkEnd w:id="54"/>
      <w:r>
        <w:rPr>
          <w:b w:val="0"/>
          <w:bCs w:val="0"/>
        </w:rPr>
      </w:r>
      <w:r>
        <w:rPr>
          <w:w w:val="95"/>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pict>
          <v:shape style="position:absolute;margin-left:251.779999pt;margin-top:76.091713pt;width:75.150pt;height:23.4pt;mso-position-horizontal-relative:page;mso-position-vertical-relative:paragraph;z-index:-1058224" type="#_x0000_t202" filled="false" stroked="false">
            <v:textbox inset="0,0,0,0">
              <w:txbxContent>
                <w:p>
                  <w:pPr>
                    <w:pStyle w:val="BodyText"/>
                    <w:spacing w:line="240" w:lineRule="auto" w:before="128"/>
                    <w:ind w:left="0" w:right="0"/>
                    <w:jc w:val="left"/>
                  </w:pPr>
                  <w:r>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5"/>
        <w:ind w:left="140" w:right="0"/>
        <w:jc w:val="left"/>
      </w:pPr>
      <w:r>
        <w:rPr/>
        <w:br w:type="column"/>
      </w: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18"/>
          <w:footerReference w:type="default" r:id="rId19"/>
          <w:pgSz w:w="16840" w:h="11910" w:orient="landscape"/>
          <w:pgMar w:header="0" w:footer="0" w:top="800" w:bottom="0" w:left="1300" w:right="0"/>
          <w:cols w:num="2" w:equalWidth="0">
            <w:col w:w="2788" w:space="7302"/>
            <w:col w:w="5450"/>
          </w:cols>
        </w:sectPr>
      </w:pP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878"/>
        <w:gridCol w:w="710"/>
        <w:gridCol w:w="850"/>
        <w:gridCol w:w="852"/>
        <w:gridCol w:w="991"/>
        <w:gridCol w:w="851"/>
        <w:gridCol w:w="992"/>
        <w:gridCol w:w="568"/>
        <w:gridCol w:w="708"/>
        <w:gridCol w:w="992"/>
        <w:gridCol w:w="850"/>
        <w:gridCol w:w="852"/>
        <w:gridCol w:w="1416"/>
        <w:gridCol w:w="852"/>
        <w:gridCol w:w="1653"/>
      </w:tblGrid>
      <w:tr>
        <w:trPr>
          <w:trHeight w:val="1649" w:hRule="exact"/>
        </w:trPr>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8" w:firstLine="18"/>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both"/>
              <w:rPr>
                <w:rFonts w:ascii="宋体" w:hAnsi="宋体" w:cs="宋体" w:eastAsia="宋体" w:hint="default"/>
                <w:sz w:val="18"/>
                <w:szCs w:val="18"/>
              </w:rPr>
            </w:pPr>
            <w:r>
              <w:rPr>
                <w:rFonts w:ascii="宋体" w:hAnsi="宋体" w:cs="宋体" w:eastAsia="宋体" w:hint="default"/>
                <w:sz w:val="18"/>
                <w:szCs w:val="18"/>
              </w:rPr>
              <w:t>资产出售为 上市公司贡 献的净利润 占净利润总 额的比例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7" w:right="7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319" w:lineRule="auto" w:before="19"/>
              <w:ind w:left="40" w:right="41"/>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59"/>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z w:val="18"/>
                <w:szCs w:val="18"/>
              </w:rPr>
              <w:t>是否按计划如期 </w:t>
            </w:r>
            <w:r>
              <w:rPr>
                <w:rFonts w:ascii="宋体" w:hAnsi="宋体" w:cs="宋体" w:eastAsia="宋体" w:hint="default"/>
                <w:spacing w:val="-10"/>
                <w:sz w:val="18"/>
                <w:szCs w:val="18"/>
              </w:rPr>
              <w:t>实施，如未按计划</w:t>
            </w:r>
            <w:r>
              <w:rPr>
                <w:rFonts w:ascii="宋体" w:hAnsi="宋体" w:cs="宋体" w:eastAsia="宋体" w:hint="default"/>
                <w:sz w:val="18"/>
                <w:szCs w:val="18"/>
              </w:rPr>
              <w:t> </w:t>
            </w:r>
            <w:r>
              <w:rPr>
                <w:rFonts w:ascii="宋体" w:hAnsi="宋体" w:cs="宋体" w:eastAsia="宋体" w:hint="default"/>
                <w:spacing w:val="-10"/>
                <w:sz w:val="18"/>
                <w:szCs w:val="18"/>
              </w:rPr>
              <w:t>实施，应当说明原</w:t>
            </w:r>
            <w:r>
              <w:rPr>
                <w:rFonts w:ascii="宋体" w:hAnsi="宋体" w:cs="宋体" w:eastAsia="宋体" w:hint="default"/>
                <w:sz w:val="18"/>
                <w:szCs w:val="18"/>
              </w:rPr>
              <w:t> 因及公司已采取 的措施</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773.11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有助于公 司盘活资 产且不会 影响公司 的日常经 营活动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关于出售资产暨关 </w:t>
            </w:r>
            <w:r>
              <w:rPr>
                <w:rFonts w:ascii="宋体" w:hAnsi="宋体" w:cs="宋体" w:eastAsia="宋体" w:hint="default"/>
                <w:spacing w:val="-3"/>
                <w:sz w:val="18"/>
                <w:szCs w:val="18"/>
              </w:rPr>
              <w:t>联交易的公告（公告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2017-056</w:t>
            </w:r>
            <w:r>
              <w:rPr>
                <w:rFonts w:ascii="宋体" w:hAnsi="宋体" w:cs="宋体" w:eastAsia="宋体" w:hint="default"/>
                <w:spacing w:val="-4"/>
                <w:sz w:val="18"/>
                <w:szCs w:val="18"/>
              </w:rPr>
              <w:t>）已披</w:t>
            </w:r>
            <w:r>
              <w:rPr>
                <w:rFonts w:ascii="宋体" w:hAnsi="宋体" w:cs="宋体" w:eastAsia="宋体" w:hint="default"/>
                <w:sz w:val="18"/>
                <w:szCs w:val="18"/>
              </w:rPr>
              <w:t> 露于巨潮资讯网</w:t>
            </w:r>
          </w:p>
          <w:p>
            <w:pPr>
              <w:pStyle w:val="TableParagraph"/>
              <w:spacing w:line="240" w:lineRule="auto" w:before="63"/>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196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1,172.41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有助于公 司盘活资 产且不会 影响公司 的日常经 营活动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关于出售资产暨关 </w:t>
            </w:r>
            <w:r>
              <w:rPr>
                <w:rFonts w:ascii="宋体" w:hAnsi="宋体" w:cs="宋体" w:eastAsia="宋体" w:hint="default"/>
                <w:spacing w:val="-3"/>
                <w:sz w:val="18"/>
                <w:szCs w:val="18"/>
              </w:rPr>
              <w:t>联交易的公告（公告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2017-056</w:t>
            </w:r>
            <w:r>
              <w:rPr>
                <w:rFonts w:ascii="宋体" w:hAnsi="宋体" w:cs="宋体" w:eastAsia="宋体" w:hint="default"/>
                <w:spacing w:val="-4"/>
                <w:sz w:val="18"/>
                <w:szCs w:val="18"/>
              </w:rPr>
              <w:t>）已披</w:t>
            </w:r>
            <w:r>
              <w:rPr>
                <w:rFonts w:ascii="宋体" w:hAnsi="宋体" w:cs="宋体" w:eastAsia="宋体" w:hint="default"/>
                <w:sz w:val="18"/>
                <w:szCs w:val="18"/>
              </w:rPr>
              <w:t> 露于巨潮资讯网</w:t>
            </w:r>
          </w:p>
          <w:p>
            <w:pPr>
              <w:pStyle w:val="TableParagraph"/>
              <w:spacing w:line="240" w:lineRule="auto" w:before="63"/>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196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邱鹏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1,174.78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有助于公 司盘活资 产且不会 影响公司 的日常经 营活动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董事、财务 总监的直系 亲属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关于出售资产暨关 </w:t>
            </w:r>
            <w:r>
              <w:rPr>
                <w:rFonts w:ascii="宋体" w:hAnsi="宋体" w:cs="宋体" w:eastAsia="宋体" w:hint="default"/>
                <w:spacing w:val="-3"/>
                <w:sz w:val="18"/>
                <w:szCs w:val="18"/>
              </w:rPr>
              <w:t>联交易的公告（公告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2017-056</w:t>
            </w:r>
            <w:r>
              <w:rPr>
                <w:rFonts w:ascii="宋体" w:hAnsi="宋体" w:cs="宋体" w:eastAsia="宋体" w:hint="default"/>
                <w:spacing w:val="-4"/>
                <w:sz w:val="18"/>
                <w:szCs w:val="18"/>
              </w:rPr>
              <w:t>）已披</w:t>
            </w:r>
            <w:r>
              <w:rPr>
                <w:rFonts w:ascii="宋体" w:hAnsi="宋体" w:cs="宋体" w:eastAsia="宋体" w:hint="default"/>
                <w:sz w:val="18"/>
                <w:szCs w:val="18"/>
              </w:rPr>
              <w:t> 露于巨潮资讯网</w:t>
            </w:r>
          </w:p>
          <w:p>
            <w:pPr>
              <w:pStyle w:val="TableParagraph"/>
              <w:spacing w:line="240" w:lineRule="auto" w:before="63"/>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1"/>
        <w:rPr>
          <w:rFonts w:ascii="宋体" w:hAnsi="宋体" w:cs="宋体" w:eastAsia="宋体" w:hint="default"/>
          <w:sz w:val="28"/>
          <w:szCs w:val="28"/>
        </w:rPr>
      </w:pPr>
    </w:p>
    <w:p>
      <w:pPr>
        <w:pStyle w:val="BodyText"/>
        <w:spacing w:line="240" w:lineRule="auto" w:before="76"/>
        <w:ind w:left="0" w:right="1436"/>
        <w:jc w:val="right"/>
        <w:rPr>
          <w:rFonts w:ascii="Times New Roman" w:hAnsi="Times New Roman" w:cs="Times New Roman" w:eastAsia="Times New Roman" w:hint="default"/>
        </w:rPr>
      </w:pPr>
      <w:r>
        <w:rPr/>
        <w:pict>
          <v:shape style="position:absolute;margin-left:774.419983pt;margin-top:25.422344pt;width:67.5pt;height:38.5pt;mso-position-horizontal-relative:page;mso-position-vertical-relative:paragraph;z-index:1264" type="#_x0000_t75" stroked="false">
            <v:imagedata r:id="rId16" o:title=""/>
          </v:shape>
        </w:pict>
      </w:r>
      <w:r>
        <w:rPr>
          <w:rFonts w:ascii="Times New Roman"/>
        </w:rPr>
        <w:t>31</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60" w:left="130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98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8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0"/>
          <w:pgSz w:w="11910" w:h="16840"/>
          <w:pgMar w:footer="979" w:header="0" w:top="1060" w:bottom="1160" w:left="980" w:right="0"/>
          <w:pgNumType w:start="32"/>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10"/>
        <w:gridCol w:w="709"/>
        <w:gridCol w:w="850"/>
        <w:gridCol w:w="994"/>
        <w:gridCol w:w="1275"/>
        <w:gridCol w:w="1276"/>
        <w:gridCol w:w="1277"/>
        <w:gridCol w:w="1276"/>
        <w:gridCol w:w="1204"/>
      </w:tblGrid>
      <w:tr>
        <w:trPr>
          <w:trHeight w:val="75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both"/>
              <w:rPr>
                <w:rFonts w:ascii="宋体" w:hAnsi="宋体" w:cs="宋体" w:eastAsia="宋体" w:hint="default"/>
                <w:sz w:val="18"/>
                <w:szCs w:val="18"/>
              </w:rPr>
            </w:pPr>
            <w:r>
              <w:rPr>
                <w:rFonts w:ascii="宋体" w:hAnsi="宋体" w:cs="宋体" w:eastAsia="宋体" w:hint="default"/>
                <w:sz w:val="18"/>
                <w:szCs w:val="18"/>
              </w:rPr>
              <w:t>北京亿 起联科 技有限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国内外移 动互联网 广告业务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376,945,486.57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259,929,560.85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619,722,694.26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86,031,431.52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88,722,492.99</w:t>
            </w:r>
          </w:p>
        </w:tc>
      </w:tr>
      <w:tr>
        <w:trPr>
          <w:trHeight w:val="133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both"/>
              <w:rPr>
                <w:rFonts w:ascii="宋体" w:hAnsi="宋体" w:cs="宋体" w:eastAsia="宋体" w:hint="default"/>
                <w:sz w:val="18"/>
                <w:szCs w:val="18"/>
              </w:rPr>
            </w:pPr>
            <w:r>
              <w:rPr>
                <w:rFonts w:ascii="宋体" w:hAnsi="宋体" w:cs="宋体" w:eastAsia="宋体" w:hint="default"/>
                <w:sz w:val="18"/>
                <w:szCs w:val="18"/>
              </w:rPr>
              <w:t>北京华 夏电通 科技有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提供专业 的视讯应 用产品及 解决方案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51,300,000.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435,075,062.55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303,000,236.28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227,552,968.42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87,034,588.56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83,015,596.40</w:t>
            </w:r>
          </w:p>
        </w:tc>
      </w:tr>
      <w:tr>
        <w:trPr>
          <w:trHeight w:val="133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5"/>
              <w:jc w:val="both"/>
              <w:rPr>
                <w:rFonts w:ascii="宋体" w:hAnsi="宋体" w:cs="宋体" w:eastAsia="宋体" w:hint="default"/>
                <w:sz w:val="18"/>
                <w:szCs w:val="18"/>
              </w:rPr>
            </w:pPr>
            <w:r>
              <w:rPr>
                <w:rFonts w:ascii="宋体" w:hAnsi="宋体" w:cs="宋体" w:eastAsia="宋体" w:hint="default"/>
                <w:sz w:val="18"/>
                <w:szCs w:val="18"/>
              </w:rPr>
              <w:t>北京瑞 意恒动 科技有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60" w:lineRule="auto"/>
              <w:ind w:left="22" w:right="275"/>
              <w:jc w:val="left"/>
              <w:rPr>
                <w:rFonts w:ascii="宋体" w:hAnsi="宋体" w:cs="宋体" w:eastAsia="宋体" w:hint="default"/>
                <w:sz w:val="18"/>
                <w:szCs w:val="18"/>
              </w:rPr>
            </w:pPr>
            <w:r>
              <w:rPr>
                <w:rFonts w:ascii="宋体" w:hAnsi="宋体" w:cs="宋体" w:eastAsia="宋体" w:hint="default"/>
                <w:sz w:val="18"/>
                <w:szCs w:val="18"/>
              </w:rPr>
              <w:t>社会化 营销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21,049,979.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84,628,352.11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75,064,292.42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124,612,403.99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25,880,126.64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21,855,049.74</w:t>
            </w:r>
          </w:p>
        </w:tc>
      </w:tr>
      <w:tr>
        <w:trPr>
          <w:trHeight w:val="133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both"/>
              <w:rPr>
                <w:rFonts w:ascii="宋体" w:hAnsi="宋体" w:cs="宋体" w:eastAsia="宋体" w:hint="default"/>
                <w:sz w:val="18"/>
                <w:szCs w:val="18"/>
              </w:rPr>
            </w:pPr>
            <w:r>
              <w:rPr>
                <w:rFonts w:ascii="宋体" w:hAnsi="宋体" w:cs="宋体" w:eastAsia="宋体" w:hint="default"/>
                <w:sz w:val="18"/>
                <w:szCs w:val="18"/>
              </w:rPr>
              <w:t>上海移 通网络 有限公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提供专业 移动信息 应用解决 方案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25,127,379.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349,172,126.92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241,830,320.88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532,650,464.10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118,075,553.75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104,945,740.42</w:t>
            </w:r>
          </w:p>
        </w:tc>
      </w:tr>
    </w:tbl>
    <w:p>
      <w:pPr>
        <w:pStyle w:val="BodyText"/>
        <w:spacing w:line="240" w:lineRule="auto" w:before="51"/>
        <w:ind w:left="154" w:right="983"/>
        <w:jc w:val="left"/>
      </w:pPr>
      <w:r>
        <w:rPr/>
        <w:t>报告期内取得和处置子公司的情况</w:t>
      </w:r>
    </w:p>
    <w:p>
      <w:pPr>
        <w:pStyle w:val="BodyText"/>
        <w:spacing w:line="240" w:lineRule="auto" w:before="116"/>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完善数字传播业务布局，报告期内为公 司贡献归母净利润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4,448.36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促进公司深入拓展建筑施工领域的业 务、财务及管理信息化市场，报告期内 为公司贡献归母净利润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报告期内处于经营初期阶段，在推进数 字传播业务板块整合提升方面加大了投 入力度，报告期经营亏损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left="154" w:right="983"/>
        <w:jc w:val="left"/>
      </w:pPr>
      <w:r>
        <w:rPr/>
        <w:t>主要控股参股公司情况说明</w:t>
      </w:r>
    </w:p>
    <w:p>
      <w:pPr>
        <w:pStyle w:val="BodyText"/>
        <w:spacing w:line="300" w:lineRule="auto" w:before="116"/>
        <w:ind w:right="983"/>
        <w:jc w:val="left"/>
      </w:pPr>
      <w:r>
        <w:rPr>
          <w:rFonts w:ascii="Times New Roman" w:hAnsi="Times New Roman" w:cs="Times New Roman" w:eastAsia="Times New Roman" w:hint="default"/>
        </w:rPr>
        <w:t>1</w:t>
      </w:r>
      <w:r>
        <w:rPr/>
        <w:t>、亿起联科技 </w:t>
      </w:r>
      <w:r>
        <w:rPr>
          <w:spacing w:val="-1"/>
        </w:rPr>
        <w:t>报告期内，亿起联科技全年共实现营业收入</w:t>
      </w:r>
      <w:r>
        <w:rPr>
          <w:rFonts w:ascii="Times New Roman" w:hAnsi="Times New Roman" w:cs="Times New Roman" w:eastAsia="Times New Roman" w:hint="default"/>
          <w:spacing w:val="-1"/>
        </w:rPr>
        <w:t>61,972.27</w:t>
      </w:r>
      <w:r>
        <w:rPr>
          <w:spacing w:val="-1"/>
        </w:rPr>
        <w:t>万元，同比增幅</w:t>
      </w:r>
      <w:r>
        <w:rPr>
          <w:rFonts w:ascii="Times New Roman" w:hAnsi="Times New Roman" w:cs="Times New Roman" w:eastAsia="Times New Roman" w:hint="default"/>
          <w:spacing w:val="-1"/>
        </w:rPr>
        <w:t>18.08%</w:t>
      </w:r>
      <w:r>
        <w:rPr>
          <w:spacing w:val="-1"/>
        </w:rPr>
        <w:t>，净利润</w:t>
      </w:r>
      <w:r>
        <w:rPr>
          <w:rFonts w:ascii="Times New Roman" w:hAnsi="Times New Roman" w:cs="Times New Roman" w:eastAsia="Times New Roman" w:hint="default"/>
          <w:spacing w:val="-1"/>
        </w:rPr>
        <w:t>8,872.25</w:t>
      </w:r>
      <w:r>
        <w:rPr>
          <w:spacing w:val="-1"/>
        </w:rPr>
        <w:t>万元，同比增幅</w:t>
      </w:r>
      <w:r>
        <w:rPr>
          <w:rFonts w:ascii="Times New Roman" w:hAnsi="Times New Roman" w:cs="Times New Roman" w:eastAsia="Times New Roman" w:hint="default"/>
          <w:spacing w:val="-1"/>
        </w:rPr>
        <w:t>32.05%</w:t>
      </w:r>
      <w:r>
        <w:rPr>
          <w:spacing w:val="-1"/>
        </w:rPr>
        <w:t>，其主</w:t>
      </w:r>
    </w:p>
    <w:p>
      <w:pPr>
        <w:spacing w:after="0" w:line="30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1"/>
        <w:jc w:val="left"/>
      </w:pPr>
      <w:r>
        <w:rPr/>
        <w:t>营业务收入主要来自国内广告平台和海外业务平台。其中，国内广告业务收入</w:t>
      </w:r>
      <w:r>
        <w:rPr>
          <w:rFonts w:ascii="Times New Roman" w:hAnsi="Times New Roman" w:cs="Times New Roman" w:eastAsia="Times New Roman" w:hint="default"/>
        </w:rPr>
        <w:t>24,320.95</w:t>
      </w:r>
      <w:r>
        <w:rPr/>
        <w:t>万元，同比减少</w:t>
      </w:r>
      <w:r>
        <w:rPr>
          <w:rFonts w:ascii="Times New Roman" w:hAnsi="Times New Roman" w:cs="Times New Roman" w:eastAsia="Times New Roman" w:hint="default"/>
        </w:rPr>
        <w:t>16.34%</w:t>
      </w:r>
      <w:r>
        <w:rPr/>
        <w:t>，主要是因 </w:t>
      </w:r>
      <w:r>
        <w:rPr>
          <w:spacing w:val="-1"/>
        </w:rPr>
        <w:t>为亿起联科技为应对市场环境变化在报告期优化并调整自身业务结构，适时收缩国内部分业务规模所致；</w:t>
      </w:r>
      <w:r>
        <w:rPr>
          <w:rFonts w:ascii="Times New Roman" w:hAnsi="Times New Roman" w:cs="Times New Roman" w:eastAsia="Times New Roman" w:hint="default"/>
          <w:spacing w:val="-1"/>
        </w:rPr>
        <w:t>PandaMobo</w:t>
      </w:r>
      <w:r>
        <w:rPr>
          <w:spacing w:val="-1"/>
        </w:rPr>
        <w:t>海外业</w:t>
      </w:r>
      <w:r>
        <w:rPr>
          <w:spacing w:val="-85"/>
        </w:rPr>
        <w:t> </w:t>
      </w:r>
      <w:r>
        <w:rPr>
          <w:spacing w:val="-2"/>
        </w:rPr>
        <w:t>务平台实现收入</w:t>
      </w:r>
      <w:r>
        <w:rPr>
          <w:rFonts w:ascii="Times New Roman" w:hAnsi="Times New Roman" w:cs="Times New Roman" w:eastAsia="Times New Roman" w:hint="default"/>
          <w:spacing w:val="-2"/>
        </w:rPr>
        <w:t>37,651.32</w:t>
      </w:r>
      <w:r>
        <w:rPr>
          <w:spacing w:val="-2"/>
        </w:rPr>
        <w:t>万元，同比增幅</w:t>
      </w:r>
      <w:r>
        <w:rPr>
          <w:rFonts w:ascii="Times New Roman" w:hAnsi="Times New Roman" w:cs="Times New Roman" w:eastAsia="Times New Roman" w:hint="default"/>
          <w:spacing w:val="-2"/>
        </w:rPr>
        <w:t>60.80%</w:t>
      </w:r>
      <w:r>
        <w:rPr>
          <w:spacing w:val="-2"/>
        </w:rPr>
        <w:t>，通过积极推进业务的战略转型，最大程度地降低了年初受到</w:t>
      </w:r>
      <w:r>
        <w:rPr>
          <w:rFonts w:ascii="Times New Roman" w:hAnsi="Times New Roman" w:cs="Times New Roman" w:eastAsia="Times New Roman" w:hint="default"/>
          <w:spacing w:val="-2"/>
        </w:rPr>
        <w:t>Facebook</w:t>
      </w:r>
      <w:r>
        <w:rPr>
          <w:spacing w:val="-2"/>
        </w:rPr>
        <w:t>全面</w:t>
      </w:r>
      <w:r>
        <w:rPr>
          <w:spacing w:val="-40"/>
        </w:rPr>
        <w:t> </w:t>
      </w:r>
      <w:r>
        <w:rPr/>
        <w:t>暂停国内工具类应用广告的不利影响，实现了收入增长的目标。</w:t>
      </w:r>
    </w:p>
    <w:p>
      <w:pPr>
        <w:pStyle w:val="BodyText"/>
        <w:spacing w:line="307" w:lineRule="auto" w:before="32"/>
        <w:ind w:right="983"/>
        <w:jc w:val="left"/>
      </w:pPr>
      <w:r>
        <w:rPr>
          <w:rFonts w:ascii="Times New Roman" w:hAnsi="Times New Roman" w:cs="Times New Roman" w:eastAsia="Times New Roman" w:hint="default"/>
        </w:rPr>
        <w:t>2</w:t>
      </w:r>
      <w:r>
        <w:rPr/>
        <w:t>、华夏电通 </w:t>
      </w:r>
      <w:r>
        <w:rPr>
          <w:spacing w:val="-2"/>
        </w:rPr>
        <w:t>报告期内，华夏电通在数字法庭产品的基础上，推动公司业务向智慧法院的战略升级，实现了从数字法庭的单引擎到智慧法</w:t>
      </w:r>
      <w:r>
        <w:rPr>
          <w:spacing w:val="-66"/>
        </w:rPr>
        <w:t> </w:t>
      </w:r>
      <w:r>
        <w:rPr>
          <w:spacing w:val="-66"/>
        </w:rPr>
      </w:r>
      <w:r>
        <w:rPr>
          <w:spacing w:val="-2"/>
        </w:rPr>
        <w:t>庭与智慧审判相结合的双引擎驱动的转变，进一步优化业务结构。华夏电通在报告期共实现营业收入</w:t>
      </w:r>
      <w:r>
        <w:rPr>
          <w:rFonts w:ascii="Times New Roman" w:hAnsi="Times New Roman" w:cs="Times New Roman" w:eastAsia="Times New Roman" w:hint="default"/>
          <w:spacing w:val="-2"/>
        </w:rPr>
        <w:t>22,755.30</w:t>
      </w:r>
      <w:r>
        <w:rPr>
          <w:spacing w:val="-2"/>
        </w:rPr>
        <w:t>万元，同比增</w:t>
      </w:r>
      <w:r>
        <w:rPr>
          <w:spacing w:val="-56"/>
        </w:rPr>
        <w:t> </w:t>
      </w:r>
      <w:r>
        <w:rPr>
          <w:spacing w:val="-56"/>
        </w:rPr>
      </w:r>
      <w:r>
        <w:rPr/>
        <w:t>幅</w:t>
      </w:r>
      <w:r>
        <w:rPr>
          <w:rFonts w:ascii="Times New Roman" w:hAnsi="Times New Roman" w:cs="Times New Roman" w:eastAsia="Times New Roman" w:hint="default"/>
        </w:rPr>
        <w:t>0.47%</w:t>
      </w:r>
      <w:r>
        <w:rPr/>
        <w:t>，净利润</w:t>
      </w:r>
      <w:r>
        <w:rPr>
          <w:rFonts w:ascii="Times New Roman" w:hAnsi="Times New Roman" w:cs="Times New Roman" w:eastAsia="Times New Roman" w:hint="default"/>
        </w:rPr>
        <w:t>8,301.56</w:t>
      </w:r>
      <w:r>
        <w:rPr/>
        <w:t>万元，同比增幅</w:t>
      </w:r>
      <w:r>
        <w:rPr>
          <w:rFonts w:ascii="Times New Roman" w:hAnsi="Times New Roman" w:cs="Times New Roman" w:eastAsia="Times New Roman" w:hint="default"/>
        </w:rPr>
        <w:t>27.65%</w:t>
      </w:r>
      <w:r>
        <w:rPr/>
        <w:t>。</w:t>
      </w:r>
    </w:p>
    <w:p>
      <w:pPr>
        <w:pStyle w:val="BodyText"/>
        <w:spacing w:line="300" w:lineRule="auto" w:before="7"/>
        <w:ind w:right="983"/>
        <w:jc w:val="left"/>
      </w:pPr>
      <w:r>
        <w:rPr>
          <w:rFonts w:ascii="Times New Roman" w:hAnsi="Times New Roman" w:cs="Times New Roman" w:eastAsia="Times New Roman" w:hint="default"/>
        </w:rPr>
        <w:t>3</w:t>
      </w:r>
      <w:r>
        <w:rPr/>
        <w:t>、瑞意恒动 </w:t>
      </w:r>
      <w:r>
        <w:rPr>
          <w:spacing w:val="-2"/>
        </w:rPr>
        <w:t>瑞意恒动于</w:t>
      </w:r>
      <w:r>
        <w:rPr>
          <w:rFonts w:ascii="Times New Roman" w:hAnsi="Times New Roman" w:cs="Times New Roman" w:eastAsia="Times New Roman" w:hint="default"/>
          <w:spacing w:val="-2"/>
        </w:rPr>
        <w:t>2017</w:t>
      </w:r>
      <w:r>
        <w:rPr>
          <w:spacing w:val="-2"/>
        </w:rPr>
        <w:t>年初正式上线其自主研发的自媒体全自助广告平台，自媒体投放业务规模显著扩大。瑞意恒动在报告期共实</w:t>
      </w:r>
      <w:r>
        <w:rPr>
          <w:spacing w:val="-60"/>
        </w:rPr>
        <w:t> </w:t>
      </w:r>
      <w:r>
        <w:rPr>
          <w:spacing w:val="-60"/>
        </w:rPr>
      </w:r>
      <w:r>
        <w:rPr/>
        <w:t>现营业收入</w:t>
      </w:r>
      <w:r>
        <w:rPr>
          <w:rFonts w:ascii="Times New Roman" w:hAnsi="Times New Roman" w:cs="Times New Roman" w:eastAsia="Times New Roman" w:hint="default"/>
        </w:rPr>
        <w:t>12,461.24</w:t>
      </w:r>
      <w:r>
        <w:rPr/>
        <w:t>万元，同比增幅</w:t>
      </w:r>
      <w:r>
        <w:rPr>
          <w:rFonts w:ascii="Times New Roman" w:hAnsi="Times New Roman" w:cs="Times New Roman" w:eastAsia="Times New Roman" w:hint="default"/>
        </w:rPr>
        <w:t>58.99%</w:t>
      </w:r>
      <w:r>
        <w:rPr/>
        <w:t>，净利润</w:t>
      </w:r>
      <w:r>
        <w:rPr>
          <w:rFonts w:ascii="Times New Roman" w:hAnsi="Times New Roman" w:cs="Times New Roman" w:eastAsia="Times New Roman" w:hint="default"/>
        </w:rPr>
        <w:t>2,185.50</w:t>
      </w:r>
      <w:r>
        <w:rPr/>
        <w:t>万元，同比增幅</w:t>
      </w:r>
      <w:r>
        <w:rPr>
          <w:rFonts w:ascii="Times New Roman" w:hAnsi="Times New Roman" w:cs="Times New Roman" w:eastAsia="Times New Roman" w:hint="default"/>
        </w:rPr>
        <w:t>39.37%</w:t>
      </w:r>
      <w:r>
        <w:rPr/>
        <w:t>。</w:t>
      </w:r>
    </w:p>
    <w:p>
      <w:pPr>
        <w:pStyle w:val="BodyText"/>
        <w:spacing w:line="300" w:lineRule="auto" w:before="13"/>
        <w:ind w:right="983"/>
        <w:jc w:val="left"/>
      </w:pPr>
      <w:r>
        <w:rPr>
          <w:rFonts w:ascii="Times New Roman" w:hAnsi="Times New Roman" w:cs="Times New Roman" w:eastAsia="Times New Roman" w:hint="default"/>
        </w:rPr>
        <w:t>4</w:t>
      </w:r>
      <w:r>
        <w:rPr/>
        <w:t>、上海移通 </w:t>
      </w:r>
      <w:r>
        <w:rPr>
          <w:spacing w:val="-2"/>
        </w:rPr>
        <w:t>上海移通于报告期</w:t>
      </w:r>
      <w:r>
        <w:rPr>
          <w:rFonts w:ascii="Times New Roman" w:hAnsi="Times New Roman" w:cs="Times New Roman" w:eastAsia="Times New Roman" w:hint="default"/>
          <w:spacing w:val="-2"/>
        </w:rPr>
        <w:t>4</w:t>
      </w:r>
      <w:r>
        <w:rPr>
          <w:spacing w:val="-2"/>
        </w:rPr>
        <w:t>月正式纳入公司合并范围。报告期内，上海移通持续加大研发与运营投入，提升对客户的整体服务水平，</w:t>
      </w:r>
      <w:r>
        <w:rPr>
          <w:spacing w:val="-64"/>
        </w:rPr>
        <w:t> </w:t>
      </w:r>
      <w:r>
        <w:rPr>
          <w:spacing w:val="-64"/>
        </w:rPr>
      </w:r>
      <w:r>
        <w:rPr>
          <w:spacing w:val="-2"/>
        </w:rPr>
        <w:t>同时大力开拓新客户，在移动社交、旅游、快递等行业获得较大的业务进展。上海移通在</w:t>
      </w:r>
      <w:r>
        <w:rPr>
          <w:rFonts w:ascii="Times New Roman" w:hAnsi="Times New Roman" w:cs="Times New Roman" w:eastAsia="Times New Roman" w:hint="default"/>
          <w:spacing w:val="-2"/>
        </w:rPr>
        <w:t>2017</w:t>
      </w:r>
      <w:r>
        <w:rPr>
          <w:spacing w:val="-2"/>
        </w:rPr>
        <w:t>年度共实现营业收入</w:t>
      </w:r>
      <w:r>
        <w:rPr>
          <w:rFonts w:ascii="Times New Roman" w:hAnsi="Times New Roman" w:cs="Times New Roman" w:eastAsia="Times New Roman" w:hint="default"/>
          <w:spacing w:val="-2"/>
        </w:rPr>
        <w:t>53,265.05</w:t>
      </w:r>
      <w:r>
        <w:rPr>
          <w:rFonts w:ascii="Times New Roman" w:hAnsi="Times New Roman" w:cs="Times New Roman" w:eastAsia="Times New Roman" w:hint="default"/>
          <w:spacing w:val="-7"/>
        </w:rPr>
        <w:t> </w:t>
      </w:r>
      <w:r>
        <w:rPr/>
        <w:t>万元，同比增幅</w:t>
      </w:r>
      <w:r>
        <w:rPr>
          <w:rFonts w:ascii="Times New Roman" w:hAnsi="Times New Roman" w:cs="Times New Roman" w:eastAsia="Times New Roman" w:hint="default"/>
        </w:rPr>
        <w:t>46.29%</w:t>
      </w:r>
      <w:r>
        <w:rPr/>
        <w:t>，净利润</w:t>
      </w:r>
      <w:r>
        <w:rPr>
          <w:rFonts w:ascii="Times New Roman" w:hAnsi="Times New Roman" w:cs="Times New Roman" w:eastAsia="Times New Roman" w:hint="default"/>
        </w:rPr>
        <w:t>10,494.57</w:t>
      </w:r>
      <w:r>
        <w:rPr/>
        <w:t>万元，同比增幅</w:t>
      </w:r>
      <w:r>
        <w:rPr>
          <w:rFonts w:ascii="Times New Roman" w:hAnsi="Times New Roman" w:cs="Times New Roman" w:eastAsia="Times New Roman" w:hint="default"/>
        </w:rPr>
        <w:t>15.12%</w:t>
      </w:r>
      <w:r>
        <w:rPr/>
        <w:t>，其中报告期为公司贡献归母净利润</w:t>
      </w:r>
      <w:r>
        <w:rPr>
          <w:rFonts w:ascii="Times New Roman" w:hAnsi="Times New Roman" w:cs="Times New Roman" w:eastAsia="Times New Roman" w:hint="default"/>
        </w:rPr>
        <w:t>4,448.36</w:t>
      </w:r>
      <w:r>
        <w:rPr/>
        <w:t>万元。</w:t>
      </w:r>
    </w:p>
    <w:p>
      <w:pPr>
        <w:spacing w:line="240" w:lineRule="auto" w:before="4"/>
        <w:rPr>
          <w:rFonts w:ascii="宋体" w:hAnsi="宋体" w:cs="宋体" w:eastAsia="宋体" w:hint="default"/>
          <w:sz w:val="20"/>
          <w:szCs w:val="20"/>
        </w:rPr>
      </w:pPr>
    </w:p>
    <w:p>
      <w:pPr>
        <w:pStyle w:val="Heading2"/>
        <w:spacing w:line="240" w:lineRule="auto"/>
        <w:ind w:left="154" w:right="983"/>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3"/>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（一）行业前景</w:t>
      </w:r>
    </w:p>
    <w:p>
      <w:pPr>
        <w:spacing w:line="240" w:lineRule="auto" w:before="0"/>
        <w:rPr>
          <w:rFonts w:ascii="宋体" w:hAnsi="宋体" w:cs="宋体" w:eastAsia="宋体" w:hint="default"/>
          <w:sz w:val="18"/>
          <w:szCs w:val="18"/>
        </w:rPr>
      </w:pPr>
    </w:p>
    <w:p>
      <w:pPr>
        <w:pStyle w:val="BodyText"/>
        <w:spacing w:line="309" w:lineRule="auto" w:before="153"/>
        <w:ind w:right="1131"/>
        <w:jc w:val="both"/>
      </w:pPr>
      <w:r>
        <w:rPr>
          <w:spacing w:val="-2"/>
        </w:rPr>
        <w:t>随着经济转型、产业升级进程的不断加深，传统产业的信息化需求将会不断激发，市场规模逐年提升。同时，伴随着人力资</w:t>
      </w:r>
      <w:r>
        <w:rPr>
          <w:spacing w:val="-66"/>
        </w:rPr>
        <w:t> </w:t>
      </w:r>
      <w:r>
        <w:rPr>
          <w:spacing w:val="-66"/>
        </w:rPr>
      </w:r>
      <w:r>
        <w:rPr>
          <w:spacing w:val="-2"/>
        </w:rPr>
        <w:t>源成本的上涨，以及提高自主核心竞争力的双重压力，应用软件和专业化服务的价值更加凸显，我国软件行业呈现加速发展</w:t>
      </w:r>
      <w:r>
        <w:rPr>
          <w:spacing w:val="-66"/>
        </w:rPr>
        <w:t> </w:t>
      </w:r>
      <w:r>
        <w:rPr>
          <w:spacing w:val="-66"/>
        </w:rPr>
      </w:r>
      <w:r>
        <w:rPr>
          <w:spacing w:val="-2"/>
        </w:rPr>
        <w:t>态势。《积极推进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行动的指导意见》《中国制造</w:t>
      </w:r>
      <w:r>
        <w:rPr/>
        <w:t> </w:t>
      </w:r>
      <w:r>
        <w:rPr>
          <w:rFonts w:ascii="Times New Roman" w:hAnsi="Times New Roman" w:cs="Times New Roman" w:eastAsia="Times New Roman" w:hint="default"/>
          <w:spacing w:val="-1"/>
        </w:rPr>
        <w:t>2025</w:t>
      </w:r>
      <w:r>
        <w:rPr>
          <w:spacing w:val="-1"/>
        </w:rPr>
        <w:t>》和《加快推进网络信息技术自主创新》等政策的深入推进</w:t>
      </w:r>
      <w:r>
        <w:rPr>
          <w:spacing w:val="-84"/>
        </w:rPr>
        <w:t> </w:t>
      </w:r>
      <w:r>
        <w:rPr>
          <w:spacing w:val="-84"/>
        </w:rPr>
      </w:r>
      <w:r>
        <w:rPr>
          <w:spacing w:val="-2"/>
        </w:rPr>
        <w:t>和落实，将会对产业变革产生深远影响，国民经济各个领域对软件产业的需求将更加强劲，尤其是对基础软件、行业应用软</w:t>
      </w:r>
      <w:r>
        <w:rPr>
          <w:spacing w:val="-66"/>
        </w:rPr>
        <w:t> </w:t>
      </w:r>
      <w:r>
        <w:rPr>
          <w:spacing w:val="-66"/>
        </w:rPr>
      </w:r>
      <w:r>
        <w:rPr/>
        <w:t>件、大数据软件产生更迫切、更广泛的需求。</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月，工信部印发的《大数据产业发展规范（</w:t>
      </w:r>
      <w:r>
        <w:rPr>
          <w:rFonts w:ascii="Times New Roman" w:hAnsi="Times New Roman" w:cs="Times New Roman" w:eastAsia="Times New Roman" w:hint="default"/>
        </w:rPr>
        <w:t>2016-2020</w:t>
      </w:r>
      <w:r>
        <w:rPr/>
        <w:t>）》提出：</w:t>
      </w:r>
      <w:r>
        <w:rPr>
          <w:rFonts w:ascii="Times New Roman" w:hAnsi="Times New Roman" w:cs="Times New Roman" w:eastAsia="Times New Roman" w:hint="default"/>
        </w:rPr>
        <w:t>“</w:t>
      </w:r>
      <w:r>
        <w:rPr/>
        <w:t>到 </w:t>
      </w:r>
      <w:r>
        <w:rPr>
          <w:rFonts w:ascii="Times New Roman" w:hAnsi="Times New Roman" w:cs="Times New Roman" w:eastAsia="Times New Roman" w:hint="default"/>
        </w:rPr>
        <w:t>2020</w:t>
      </w:r>
      <w:r>
        <w:rPr/>
        <w:t>年，技术先进、应用繁荣、保证有力的大数据产业体系基本形成，大数据相关产品和服务业务收入突破</w:t>
      </w:r>
      <w:r>
        <w:rPr>
          <w:rFonts w:ascii="Times New Roman" w:hAnsi="Times New Roman" w:cs="Times New Roman" w:eastAsia="Times New Roman" w:hint="default"/>
        </w:rPr>
        <w:t>1</w:t>
      </w:r>
      <w:r>
        <w:rPr/>
        <w:t>万亿元，年均 复合增长率保持</w:t>
      </w:r>
      <w:r>
        <w:rPr>
          <w:rFonts w:ascii="Times New Roman" w:hAnsi="Times New Roman" w:cs="Times New Roman" w:eastAsia="Times New Roman" w:hint="default"/>
        </w:rPr>
        <w:t>30%</w:t>
      </w:r>
      <w:r>
        <w:rPr/>
        <w:t>左右。</w:t>
      </w:r>
      <w:r>
        <w:rPr>
          <w:rFonts w:ascii="Times New Roman" w:hAnsi="Times New Roman" w:cs="Times New Roman" w:eastAsia="Times New Roman" w:hint="default"/>
        </w:rPr>
        <w:t>”</w:t>
      </w:r>
      <w:r>
        <w:rPr/>
        <w:t>我国大数据行业市场规模未来将持续高速增长。</w:t>
      </w:r>
    </w:p>
    <w:p>
      <w:pPr>
        <w:spacing w:line="240" w:lineRule="auto" w:before="3"/>
        <w:rPr>
          <w:rFonts w:ascii="宋体" w:hAnsi="宋体" w:cs="宋体" w:eastAsia="宋体" w:hint="default"/>
          <w:sz w:val="24"/>
          <w:szCs w:val="24"/>
        </w:rPr>
      </w:pPr>
    </w:p>
    <w:p>
      <w:pPr>
        <w:pStyle w:val="BodyText"/>
        <w:spacing w:line="240" w:lineRule="auto"/>
        <w:ind w:left="154" w:right="983"/>
        <w:jc w:val="left"/>
      </w:pPr>
      <w:r>
        <w:rPr/>
        <w:t>（二）发展规划</w:t>
      </w:r>
    </w:p>
    <w:p>
      <w:pPr>
        <w:spacing w:line="240" w:lineRule="auto" w:before="0"/>
        <w:rPr>
          <w:rFonts w:ascii="宋体" w:hAnsi="宋体" w:cs="宋体" w:eastAsia="宋体" w:hint="default"/>
          <w:sz w:val="18"/>
          <w:szCs w:val="18"/>
        </w:rPr>
      </w:pPr>
    </w:p>
    <w:p>
      <w:pPr>
        <w:pStyle w:val="BodyText"/>
        <w:spacing w:line="309" w:lineRule="auto" w:before="153"/>
        <w:ind w:left="154" w:right="1131"/>
        <w:jc w:val="both"/>
      </w:pPr>
      <w:r>
        <w:rPr>
          <w:spacing w:val="-2"/>
        </w:rPr>
        <w:t>全球正迎来大数据时代，大数据已经成为最具经济价值的战略资源之一。公司将始终以软件报国为使命，本着行业领先、技</w:t>
      </w:r>
      <w:r>
        <w:rPr>
          <w:spacing w:val="-66"/>
        </w:rPr>
        <w:t> </w:t>
      </w:r>
      <w:r>
        <w:rPr>
          <w:spacing w:val="-66"/>
        </w:rPr>
      </w:r>
      <w:r>
        <w:rPr>
          <w:spacing w:val="-2"/>
        </w:rPr>
        <w:t>术先进的</w:t>
      </w:r>
      <w:r>
        <w:rPr>
          <w:rFonts w:ascii="Times New Roman" w:hAnsi="Times New Roman" w:cs="Times New Roman" w:eastAsia="Times New Roman" w:hint="default"/>
          <w:spacing w:val="-2"/>
        </w:rPr>
        <w:t>B2B2C</w:t>
      </w:r>
      <w:r>
        <w:rPr>
          <w:spacing w:val="-2"/>
        </w:rPr>
        <w:t>的大数据综合服务提供商的战略定位，深化技术研发、激发创新活力、优化业务模式与产品体系，致力于帮</w:t>
      </w:r>
      <w:r>
        <w:rPr>
          <w:spacing w:val="-66"/>
        </w:rPr>
        <w:t> </w:t>
      </w:r>
      <w:r>
        <w:rPr>
          <w:spacing w:val="-66"/>
        </w:rPr>
      </w:r>
      <w:r>
        <w:rPr/>
        <w:t>助政企客户在大数据时代实现其数据资源的价值发现与变现，用数据赋能服务客户、服务社会，为股东创造价值。</w:t>
      </w:r>
    </w:p>
    <w:p>
      <w:pPr>
        <w:spacing w:line="240" w:lineRule="auto" w:before="9"/>
        <w:rPr>
          <w:rFonts w:ascii="宋体" w:hAnsi="宋体" w:cs="宋体" w:eastAsia="宋体" w:hint="default"/>
          <w:sz w:val="25"/>
          <w:szCs w:val="25"/>
        </w:rPr>
      </w:pPr>
    </w:p>
    <w:p>
      <w:pPr>
        <w:pStyle w:val="BodyText"/>
        <w:spacing w:line="240" w:lineRule="auto"/>
        <w:ind w:left="154" w:right="983"/>
        <w:jc w:val="left"/>
      </w:pPr>
      <w:r>
        <w:rPr/>
        <w:t>（三）经营计划</w:t>
      </w:r>
    </w:p>
    <w:p>
      <w:pPr>
        <w:spacing w:line="240" w:lineRule="auto" w:before="0"/>
        <w:rPr>
          <w:rFonts w:ascii="宋体" w:hAnsi="宋体" w:cs="宋体" w:eastAsia="宋体" w:hint="default"/>
          <w:sz w:val="18"/>
          <w:szCs w:val="18"/>
        </w:rPr>
      </w:pPr>
    </w:p>
    <w:p>
      <w:pPr>
        <w:pStyle w:val="BodyText"/>
        <w:spacing w:line="312" w:lineRule="auto" w:before="153"/>
        <w:ind w:left="154" w:right="983"/>
        <w:jc w:val="left"/>
      </w:pPr>
      <w:r>
        <w:rPr>
          <w:rFonts w:ascii="Times New Roman" w:hAnsi="Times New Roman" w:cs="Times New Roman" w:eastAsia="Times New Roman" w:hint="default"/>
        </w:rPr>
        <w:t>1</w:t>
      </w:r>
      <w:r>
        <w:rPr/>
        <w:t>、聚焦优势领域，深耕大数据业务 </w:t>
      </w:r>
      <w:r>
        <w:rPr>
          <w:spacing w:val="-2"/>
        </w:rPr>
        <w:t>公司将稳步贯彻落实大数据战略布局，持续加强大数据核心技术研究，通过深度聚焦财税、统计、交通、司法、扶贫、养老</w:t>
      </w:r>
      <w:r>
        <w:rPr>
          <w:spacing w:val="-71"/>
        </w:rPr>
        <w:t> </w:t>
      </w:r>
      <w:r>
        <w:rPr>
          <w:spacing w:val="-71"/>
        </w:rPr>
      </w:r>
      <w:r>
        <w:rPr>
          <w:spacing w:val="-2"/>
        </w:rPr>
        <w:t>等优势领域，根据行业与客户大数据应用需求为出发点，构建各类创新型大数据解决方案，健全大数据创新应用体系，持续</w:t>
      </w:r>
      <w:r>
        <w:rPr>
          <w:spacing w:val="-66"/>
        </w:rPr>
        <w:t> </w:t>
      </w:r>
      <w:r>
        <w:rPr>
          <w:spacing w:val="-66"/>
        </w:rPr>
      </w:r>
      <w:r>
        <w:rPr/>
        <w:t>推进政府大数据、企业大数据、司法大数据、营销大数据的发展。</w:t>
      </w:r>
    </w:p>
    <w:p>
      <w:pPr>
        <w:spacing w:after="0" w:line="312" w:lineRule="auto"/>
        <w:jc w:val="left"/>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4" w:right="983"/>
        <w:jc w:val="left"/>
      </w:pPr>
      <w:r>
        <w:rPr>
          <w:rFonts w:ascii="Times New Roman" w:hAnsi="Times New Roman" w:cs="Times New Roman" w:eastAsia="Times New Roman" w:hint="default"/>
        </w:rPr>
        <w:t>2</w:t>
      </w:r>
      <w:r>
        <w:rPr/>
        <w:t>、深化融合与创新，激发增长新动能 深化管理软件与数字传播的融合与创新是公司实现</w:t>
      </w:r>
      <w:r>
        <w:rPr>
          <w:rFonts w:ascii="Times New Roman" w:hAnsi="Times New Roman" w:cs="Times New Roman" w:eastAsia="Times New Roman" w:hint="default"/>
        </w:rPr>
        <w:t>B2B2C</w:t>
      </w:r>
      <w:r>
        <w:rPr/>
        <w:t>大数据战略的必然之举。未来公司将继续以客户和市场需求为导 </w:t>
      </w:r>
      <w:r>
        <w:rPr>
          <w:spacing w:val="-2"/>
        </w:rPr>
        <w:t>向，持续进行业务模式创新，并通过强大的技术实力，实现市场、业务、研发的融合与发展。并且不断加大品牌宣传与市场</w:t>
      </w:r>
      <w:r>
        <w:rPr>
          <w:spacing w:val="-68"/>
        </w:rPr>
        <w:t> </w:t>
      </w:r>
      <w:r>
        <w:rPr>
          <w:spacing w:val="-68"/>
        </w:rPr>
      </w:r>
      <w:r>
        <w:rPr>
          <w:spacing w:val="-2"/>
        </w:rPr>
        <w:t>推广力度，充分利用现有的客户资源，拓展市场空间，完善销售布局，为客户提供多元化的解决方案，实现核心竞争力及盈</w:t>
      </w:r>
      <w:r>
        <w:rPr>
          <w:spacing w:val="-66"/>
        </w:rPr>
        <w:t> </w:t>
      </w:r>
      <w:r>
        <w:rPr>
          <w:spacing w:val="-66"/>
        </w:rPr>
      </w:r>
      <w:r>
        <w:rPr/>
        <w:t>利能力的持续提升。</w:t>
      </w:r>
    </w:p>
    <w:p>
      <w:pPr>
        <w:spacing w:line="240" w:lineRule="auto" w:before="9"/>
        <w:rPr>
          <w:rFonts w:ascii="宋体" w:hAnsi="宋体" w:cs="宋体" w:eastAsia="宋体" w:hint="default"/>
          <w:sz w:val="25"/>
          <w:szCs w:val="25"/>
        </w:rPr>
      </w:pPr>
    </w:p>
    <w:p>
      <w:pPr>
        <w:pStyle w:val="BodyText"/>
        <w:spacing w:line="312" w:lineRule="auto"/>
        <w:ind w:right="983"/>
        <w:jc w:val="left"/>
      </w:pPr>
      <w:r>
        <w:rPr>
          <w:rFonts w:ascii="Times New Roman" w:hAnsi="Times New Roman" w:cs="Times New Roman" w:eastAsia="Times New Roman" w:hint="default"/>
        </w:rPr>
        <w:t>3</w:t>
      </w:r>
      <w:r>
        <w:rPr/>
        <w:t>、加快推进人才培养，打造专业管理团队 </w:t>
      </w:r>
      <w:r>
        <w:rPr>
          <w:spacing w:val="-2"/>
        </w:rPr>
        <w:t>随着产业竞争的加剧、技术变革日新月异、客户需求复杂多样，项目的规模程度和复杂程度日益增加，公司亟待优化人才体</w:t>
      </w:r>
      <w:r>
        <w:rPr>
          <w:spacing w:val="-66"/>
        </w:rPr>
        <w:t> </w:t>
      </w:r>
      <w:r>
        <w:rPr>
          <w:spacing w:val="-66"/>
        </w:rPr>
      </w:r>
      <w:r>
        <w:rPr>
          <w:spacing w:val="-2"/>
        </w:rPr>
        <w:t>系，除应继续加强高技术人才梯队的培养外，还需要重点培养一批具备很强执行力、善于沟通协作、专业能力扎实且具备风</w:t>
      </w:r>
      <w:r>
        <w:rPr>
          <w:spacing w:val="-66"/>
        </w:rPr>
        <w:t> </w:t>
      </w:r>
      <w:r>
        <w:rPr>
          <w:spacing w:val="-66"/>
        </w:rPr>
      </w:r>
      <w:r>
        <w:rPr/>
        <w:t>险管控意识的优秀管理人才，强化项目实施，严把交付质量，提高交付效能，不断提升客户满意度。</w:t>
      </w:r>
    </w:p>
    <w:p>
      <w:pPr>
        <w:spacing w:line="240" w:lineRule="auto" w:before="7"/>
        <w:rPr>
          <w:rFonts w:ascii="宋体" w:hAnsi="宋体" w:cs="宋体" w:eastAsia="宋体" w:hint="default"/>
          <w:sz w:val="25"/>
          <w:szCs w:val="25"/>
        </w:rPr>
      </w:pPr>
    </w:p>
    <w:p>
      <w:pPr>
        <w:pStyle w:val="BodyText"/>
        <w:spacing w:line="312" w:lineRule="auto"/>
        <w:ind w:left="154" w:right="983"/>
        <w:jc w:val="left"/>
      </w:pPr>
      <w:r>
        <w:rPr>
          <w:rFonts w:ascii="Times New Roman" w:hAnsi="Times New Roman" w:cs="Times New Roman" w:eastAsia="Times New Roman" w:hint="default"/>
        </w:rPr>
        <w:t>4</w:t>
      </w:r>
      <w:r>
        <w:rPr/>
        <w:t>、构建集团化管理，全面提升经营成效 </w:t>
      </w:r>
      <w:r>
        <w:rPr>
          <w:spacing w:val="-2"/>
        </w:rPr>
        <w:t>为促进业务融合协同，实现大数据发展战略，公司在已经建立集团化管理体系的基础上，还将进一步优化集团组织机构及管</w:t>
      </w:r>
      <w:r>
        <w:rPr>
          <w:spacing w:val="-66"/>
        </w:rPr>
        <w:t> </w:t>
      </w:r>
      <w:r>
        <w:rPr>
          <w:spacing w:val="-66"/>
        </w:rPr>
      </w:r>
      <w:r>
        <w:rPr>
          <w:spacing w:val="-2"/>
        </w:rPr>
        <w:t>理职能，着力从经营规划、业务融合、财务管控、企业文化等方面推动集团内部的资源共享与规范治理，建立健全集团管理</w:t>
      </w:r>
      <w:r>
        <w:rPr>
          <w:spacing w:val="-66"/>
        </w:rPr>
        <w:t> </w:t>
      </w:r>
      <w:r>
        <w:rPr>
          <w:spacing w:val="-66"/>
        </w:rPr>
      </w:r>
      <w:r>
        <w:rPr/>
        <w:t>信息系统，提高管理效率。</w:t>
      </w:r>
    </w:p>
    <w:p>
      <w:pPr>
        <w:spacing w:line="240" w:lineRule="auto" w:before="7"/>
        <w:rPr>
          <w:rFonts w:ascii="宋体" w:hAnsi="宋体" w:cs="宋体" w:eastAsia="宋体" w:hint="default"/>
          <w:sz w:val="25"/>
          <w:szCs w:val="25"/>
        </w:rPr>
      </w:pPr>
    </w:p>
    <w:p>
      <w:pPr>
        <w:pStyle w:val="BodyText"/>
        <w:spacing w:line="312" w:lineRule="auto"/>
        <w:ind w:right="1122"/>
        <w:jc w:val="left"/>
      </w:pPr>
      <w:r>
        <w:rPr>
          <w:rFonts w:ascii="Times New Roman" w:hAnsi="Times New Roman" w:cs="Times New Roman" w:eastAsia="Times New Roman" w:hint="default"/>
        </w:rPr>
        <w:t>5</w:t>
      </w:r>
      <w:r>
        <w:rPr/>
        <w:t>、合理筹划资金使用，为发展保驾护航 </w:t>
      </w:r>
      <w:r>
        <w:rPr>
          <w:spacing w:val="-1"/>
        </w:rPr>
        <w:t>根据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日公司股东大会决议，公司将以自有资金或自筹资金的方式作价</w:t>
      </w:r>
      <w:r>
        <w:rPr>
          <w:rFonts w:ascii="Times New Roman" w:hAnsi="Times New Roman" w:cs="Times New Roman" w:eastAsia="Times New Roman" w:hint="default"/>
          <w:spacing w:val="-1"/>
        </w:rPr>
        <w:t>8</w:t>
      </w:r>
      <w:r>
        <w:rPr>
          <w:spacing w:val="-1"/>
        </w:rPr>
        <w:t>亿元收购上海移通</w:t>
      </w:r>
      <w:r>
        <w:rPr>
          <w:rFonts w:ascii="Times New Roman" w:hAnsi="Times New Roman" w:cs="Times New Roman" w:eastAsia="Times New Roman" w:hint="default"/>
          <w:spacing w:val="-1"/>
        </w:rPr>
        <w:t>49%</w:t>
      </w:r>
      <w:r>
        <w:rPr>
          <w:spacing w:val="-1"/>
        </w:rPr>
        <w:t>股权，加之公司持</w:t>
      </w:r>
      <w:r>
        <w:rPr>
          <w:spacing w:val="-85"/>
        </w:rPr>
        <w:t> </w:t>
      </w:r>
      <w:r>
        <w:rPr>
          <w:spacing w:val="-85"/>
        </w:rPr>
      </w:r>
      <w:r>
        <w:rPr>
          <w:spacing w:val="-2"/>
        </w:rPr>
        <w:t>续的自主研发投入，需要强有力的资金支持。在自有资金不足的情况下，公司需要通过申请金融机构贷款等方式来满足大额</w:t>
      </w:r>
      <w:r>
        <w:rPr>
          <w:spacing w:val="-66"/>
        </w:rPr>
        <w:t> </w:t>
      </w:r>
      <w:r>
        <w:rPr>
          <w:spacing w:val="-66"/>
        </w:rPr>
      </w:r>
      <w:r>
        <w:rPr>
          <w:spacing w:val="-2"/>
        </w:rPr>
        <w:t>的资金需求，此举将导致公司新增负债及财务费用的提升。公司将通过资金的合理化管理，充分发挥资源运营，降低资金的</w:t>
      </w:r>
      <w:r>
        <w:rPr>
          <w:spacing w:val="-66"/>
        </w:rPr>
        <w:t> </w:t>
      </w:r>
      <w:r>
        <w:rPr>
          <w:spacing w:val="-66"/>
        </w:rPr>
      </w:r>
      <w:r>
        <w:rPr>
          <w:spacing w:val="-2"/>
        </w:rPr>
        <w:t>相关成本，实现经济利益最大化。同时公司仍将探索多元化的融资渠道，进一步改善资产负债结构，为未来发展提供全面的</w:t>
      </w:r>
      <w:r>
        <w:rPr>
          <w:spacing w:val="-66"/>
        </w:rPr>
        <w:t> </w:t>
      </w:r>
      <w:r>
        <w:rPr>
          <w:spacing w:val="-66"/>
        </w:rPr>
      </w:r>
      <w:r>
        <w:rPr/>
        <w:t>保障。</w:t>
      </w:r>
    </w:p>
    <w:p>
      <w:pPr>
        <w:spacing w:line="240" w:lineRule="auto" w:before="8"/>
        <w:rPr>
          <w:rFonts w:ascii="宋体" w:hAnsi="宋体" w:cs="宋体" w:eastAsia="宋体" w:hint="default"/>
          <w:sz w:val="25"/>
          <w:szCs w:val="25"/>
        </w:rPr>
      </w:pPr>
    </w:p>
    <w:p>
      <w:pPr>
        <w:pStyle w:val="BodyText"/>
        <w:spacing w:line="240" w:lineRule="auto"/>
        <w:ind w:right="983"/>
        <w:jc w:val="left"/>
      </w:pPr>
      <w:r>
        <w:rPr/>
        <w:t>（四）风险提示</w:t>
      </w:r>
    </w:p>
    <w:p>
      <w:pPr>
        <w:spacing w:line="240" w:lineRule="auto" w:before="0"/>
        <w:rPr>
          <w:rFonts w:ascii="宋体" w:hAnsi="宋体" w:cs="宋体" w:eastAsia="宋体" w:hint="default"/>
          <w:sz w:val="18"/>
          <w:szCs w:val="18"/>
        </w:rPr>
      </w:pPr>
    </w:p>
    <w:p>
      <w:pPr>
        <w:pStyle w:val="BodyText"/>
        <w:spacing w:line="307" w:lineRule="auto" w:before="153"/>
        <w:ind w:right="1129"/>
        <w:jc w:val="both"/>
      </w:pPr>
      <w:r>
        <w:rPr>
          <w:spacing w:val="-2"/>
        </w:rPr>
        <w:t>公司经营过程中可能面对的宏观经济与政策风险、行业竞争风险、业绩季节波动风险、业务发展风险、收购整合与商誉减值</w:t>
      </w:r>
      <w:r>
        <w:rPr>
          <w:spacing w:val="-66"/>
        </w:rPr>
        <w:t> </w:t>
      </w:r>
      <w:r>
        <w:rPr>
          <w:spacing w:val="-66"/>
        </w:rPr>
      </w:r>
      <w:r>
        <w:rPr/>
        <w:t>风险、人力资源风险、应收保理款风险和募集资金运用风险，针对前述风险计划采取的应对措施已在本报告</w:t>
      </w:r>
      <w:r>
        <w:rPr>
          <w:rFonts w:ascii="Times New Roman" w:hAnsi="Times New Roman" w:cs="Times New Roman" w:eastAsia="Times New Roman" w:hint="default"/>
        </w:rPr>
        <w:t>“</w:t>
      </w:r>
      <w:r>
        <w:rPr/>
        <w:t>第一节</w:t>
      </w:r>
      <w:r>
        <w:rPr>
          <w:spacing w:val="-65"/>
        </w:rPr>
        <w:t> </w:t>
      </w:r>
      <w:r>
        <w:rPr/>
        <w:t>重要提</w:t>
      </w:r>
      <w:r>
        <w:rPr/>
        <w:t> 示、目录和释义</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对年度报告涉及未来计划等前瞻性陈述的风险提示</w:t>
      </w:r>
      <w:r>
        <w:rPr>
          <w:rFonts w:ascii="Times New Roman" w:hAnsi="Times New Roman" w:cs="Times New Roman" w:eastAsia="Times New Roman" w:hint="default"/>
        </w:rPr>
        <w:t>”</w:t>
      </w:r>
      <w:r>
        <w:rPr/>
        <w:t>中进行了阐述。其中，宏观经济与政策风险、行业 竞争风险、业务发展风险、人力资源风险、应收款项无法收回的风险和募集资金运用风险系本报告期新增的风险因素。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9"/>
        <w:ind w:right="983"/>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bl>
    <w:p>
      <w:pPr>
        <w:spacing w:after="0" w:line="36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 </w:t>
            </w:r>
            <w:hyperlink r:id="rId21">
              <w:r>
                <w:rPr>
                  <w:rFonts w:ascii="Times New Roman" w:hAnsi="Times New Roman" w:cs="Times New Roman" w:eastAsia="Times New Roman" w:hint="default"/>
                  <w:sz w:val="18"/>
                  <w:szCs w:val="18"/>
                </w:rPr>
                <w:t>http://irm.cninfo.com.cn/ssessgs/S00227</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9/index.html</w:t>
            </w:r>
          </w:p>
        </w:tc>
      </w:tr>
    </w:tbl>
    <w:p>
      <w:pPr>
        <w:spacing w:after="0" w:line="36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248"/>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8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报告期内普通股利润分配政策，特别是现金分红政策的制定、执行或调整情况</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报告期内，公司的利润分配及现金分红政策未发生调整及变化。根据《上市公司证券发行管理办法》《关于修改上市公司现</w:t>
      </w:r>
      <w:r>
        <w:rPr>
          <w:spacing w:val="-65"/>
        </w:rPr>
        <w:t> </w:t>
      </w:r>
      <w:r>
        <w:rPr>
          <w:spacing w:val="-65"/>
        </w:rPr>
      </w:r>
      <w:r>
        <w:rPr>
          <w:spacing w:val="-2"/>
        </w:rPr>
        <w:t>金分红若干规定的决定》（证监会令第</w:t>
      </w:r>
      <w:r>
        <w:rPr>
          <w:rFonts w:ascii="Times New Roman" w:hAnsi="Times New Roman" w:cs="Times New Roman" w:eastAsia="Times New Roman" w:hint="default"/>
          <w:spacing w:val="-2"/>
        </w:rPr>
        <w:t>57</w:t>
      </w:r>
      <w:r>
        <w:rPr>
          <w:spacing w:val="-2"/>
        </w:rPr>
        <w:t>号）以及《公司章程》的规定，公司</w:t>
      </w:r>
      <w:r>
        <w:rPr>
          <w:rFonts w:ascii="Times New Roman" w:hAnsi="Times New Roman" w:cs="Times New Roman" w:eastAsia="Times New Roman" w:hint="default"/>
          <w:spacing w:val="-2"/>
        </w:rPr>
        <w:t>2016</w:t>
      </w:r>
      <w:r>
        <w:rPr>
          <w:spacing w:val="-2"/>
        </w:rPr>
        <w:t>年度股东大会审议通过了《</w:t>
      </w:r>
      <w:r>
        <w:rPr>
          <w:rFonts w:ascii="Times New Roman" w:hAnsi="Times New Roman" w:cs="Times New Roman" w:eastAsia="Times New Roman" w:hint="default"/>
          <w:spacing w:val="-2"/>
        </w:rPr>
        <w:t>2016</w:t>
      </w:r>
      <w:r>
        <w:rPr>
          <w:spacing w:val="-2"/>
        </w:rPr>
        <w:t>年度利润</w:t>
      </w:r>
      <w:r>
        <w:rPr>
          <w:spacing w:val="-61"/>
        </w:rPr>
        <w:t> </w:t>
      </w:r>
      <w:r>
        <w:rPr>
          <w:spacing w:val="-61"/>
        </w:rPr>
      </w:r>
      <w:r>
        <w:rPr/>
        <w:t>分配及资本公积金转增股本方案》，即以截至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日的总股本</w:t>
      </w:r>
      <w:r>
        <w:rPr>
          <w:rFonts w:ascii="Times New Roman" w:hAnsi="Times New Roman" w:cs="Times New Roman" w:eastAsia="Times New Roman" w:hint="default"/>
        </w:rPr>
        <w:t>541,272,432</w:t>
      </w:r>
      <w:r>
        <w:rPr/>
        <w:t>股为基数，向全体股东每</w:t>
      </w:r>
      <w:r>
        <w:rPr>
          <w:rFonts w:ascii="Times New Roman" w:hAnsi="Times New Roman" w:cs="Times New Roman" w:eastAsia="Times New Roman" w:hint="default"/>
        </w:rPr>
        <w:t>10</w:t>
      </w:r>
      <w:r>
        <w:rPr/>
        <w:t>股派发现金股</w:t>
      </w:r>
    </w:p>
    <w:p>
      <w:pPr>
        <w:pStyle w:val="BodyText"/>
        <w:spacing w:line="300" w:lineRule="auto"/>
        <w:ind w:right="983"/>
        <w:jc w:val="left"/>
      </w:pPr>
      <w:r>
        <w:rPr>
          <w:spacing w:val="-2"/>
        </w:rPr>
        <w:t>利</w:t>
      </w:r>
      <w:r>
        <w:rPr>
          <w:rFonts w:ascii="Times New Roman" w:hAnsi="Times New Roman" w:cs="Times New Roman" w:eastAsia="Times New Roman" w:hint="default"/>
          <w:spacing w:val="-2"/>
        </w:rPr>
        <w:t>0.30</w:t>
      </w:r>
      <w:r>
        <w:rPr>
          <w:spacing w:val="-2"/>
        </w:rPr>
        <w:t>元（含税），共计派发现金股利</w:t>
      </w:r>
      <w:r>
        <w:rPr>
          <w:rFonts w:ascii="Times New Roman" w:hAnsi="Times New Roman" w:cs="Times New Roman" w:eastAsia="Times New Roman" w:hint="default"/>
          <w:spacing w:val="-2"/>
        </w:rPr>
        <w:t>16,238,172.96</w:t>
      </w:r>
      <w:r>
        <w:rPr>
          <w:spacing w:val="-2"/>
        </w:rPr>
        <w:t>元，同时，向全体股东每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股，共计转增</w:t>
      </w:r>
      <w:r>
        <w:rPr>
          <w:rFonts w:ascii="Times New Roman" w:hAnsi="Times New Roman" w:cs="Times New Roman" w:eastAsia="Times New Roman" w:hint="default"/>
          <w:spacing w:val="-2"/>
        </w:rPr>
        <w:t>162,381,729</w:t>
      </w:r>
      <w:r>
        <w:rPr>
          <w:spacing w:val="-2"/>
        </w:rPr>
        <w:t>股，转增股</w:t>
      </w:r>
      <w:r>
        <w:rPr>
          <w:spacing w:val="-41"/>
        </w:rPr>
        <w:t> </w:t>
      </w:r>
      <w:r>
        <w:rPr>
          <w:spacing w:val="-41"/>
        </w:rPr>
      </w:r>
      <w:r>
        <w:rPr/>
        <w:t>本后，公司总股本为</w:t>
      </w:r>
      <w:r>
        <w:rPr>
          <w:rFonts w:ascii="Times New Roman" w:hAnsi="Times New Roman" w:cs="Times New Roman" w:eastAsia="Times New Roman" w:hint="default"/>
        </w:rPr>
        <w:t>703,654,161</w:t>
      </w:r>
      <w:r>
        <w:rPr/>
        <w:t>股。</w:t>
      </w:r>
    </w:p>
    <w:p>
      <w:pPr>
        <w:pStyle w:val="BodyText"/>
        <w:spacing w:line="309" w:lineRule="auto" w:before="53"/>
        <w:ind w:right="1130"/>
        <w:jc w:val="both"/>
      </w:pPr>
      <w:r>
        <w:rPr>
          <w:spacing w:val="-2"/>
        </w:rPr>
        <w:t>公司独立董事对公司</w:t>
      </w:r>
      <w:r>
        <w:rPr>
          <w:rFonts w:ascii="Times New Roman" w:hAnsi="Times New Roman" w:cs="Times New Roman" w:eastAsia="Times New Roman" w:hint="default"/>
          <w:spacing w:val="-2"/>
        </w:rPr>
        <w:t>2016</w:t>
      </w:r>
      <w:r>
        <w:rPr>
          <w:spacing w:val="-2"/>
        </w:rPr>
        <w:t>年度利润分配及资本公积金转增股本方案发表了独立意见，认为公司</w:t>
      </w:r>
      <w:r>
        <w:rPr>
          <w:rFonts w:ascii="Times New Roman" w:hAnsi="Times New Roman" w:cs="Times New Roman" w:eastAsia="Times New Roman" w:hint="default"/>
          <w:spacing w:val="-2"/>
        </w:rPr>
        <w:t>2016</w:t>
      </w:r>
      <w:r>
        <w:rPr>
          <w:spacing w:val="-2"/>
        </w:rPr>
        <w:t>年度利润分配及资本公积</w:t>
      </w:r>
      <w:r>
        <w:rPr>
          <w:spacing w:val="-56"/>
        </w:rPr>
        <w:t> </w:t>
      </w:r>
      <w:r>
        <w:rPr>
          <w:spacing w:val="-2"/>
        </w:rPr>
        <w:t>金转增股本方案符合有关法律、行政法规和部门规章的要求，符合公司客观实际，并不影响公司正常生产经营。公司监事会</w:t>
      </w:r>
      <w:r>
        <w:rPr>
          <w:spacing w:val="-66"/>
        </w:rPr>
        <w:t> </w:t>
      </w:r>
      <w:r>
        <w:rPr>
          <w:spacing w:val="-66"/>
        </w:rPr>
      </w:r>
      <w:r>
        <w:rPr/>
        <w:t>就该方案发表了明确同意的意见。前述方案已于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日实施完毕。</w:t>
      </w:r>
    </w:p>
    <w:p>
      <w:pPr>
        <w:spacing w:line="240" w:lineRule="auto" w:before="8"/>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3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年度利润分配及资本公积金转增股本方案：以截至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216,596,780</w:t>
      </w:r>
      <w:r>
        <w:rPr/>
        <w:t>股为基数，向全体股东</w:t>
      </w:r>
      <w:r>
        <w:rPr>
          <w:spacing w:val="-85"/>
        </w:rPr>
        <w:t> </w:t>
      </w:r>
      <w:r>
        <w:rPr>
          <w:spacing w:val="-85"/>
        </w:rPr>
      </w:r>
      <w:r>
        <w:rPr/>
        <w:t>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股，共计派发现金股利</w:t>
      </w:r>
      <w:r>
        <w:rPr>
          <w:rFonts w:ascii="Times New Roman" w:hAnsi="Times New Roman" w:cs="Times New Roman" w:eastAsia="Times New Roman" w:hint="default"/>
        </w:rPr>
        <w:t>21,659,678.00</w:t>
      </w:r>
      <w:r>
        <w:rPr/>
        <w:t>元，新增股</w:t>
      </w:r>
      <w:r>
        <w:rPr>
          <w:spacing w:val="-47"/>
        </w:rPr>
        <w:t> </w:t>
      </w:r>
      <w:r>
        <w:rPr>
          <w:spacing w:val="-47"/>
        </w:rPr>
      </w:r>
      <w:r>
        <w:rPr/>
        <w:t>份</w:t>
      </w:r>
      <w:r>
        <w:rPr>
          <w:rFonts w:ascii="Times New Roman" w:hAnsi="Times New Roman" w:cs="Times New Roman" w:eastAsia="Times New Roman" w:hint="default"/>
        </w:rPr>
        <w:t>324,895,170</w:t>
      </w:r>
      <w:r>
        <w:rPr/>
        <w:t>股。</w:t>
      </w:r>
    </w:p>
    <w:p>
      <w:pPr>
        <w:pStyle w:val="BodyText"/>
        <w:spacing w:line="240" w:lineRule="auto" w:before="53"/>
        <w:ind w:left="154"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年度利润分配及资本公积金转增股本方案：以截至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日公司总股本</w:t>
      </w:r>
      <w:r>
        <w:rPr>
          <w:rFonts w:ascii="Times New Roman" w:hAnsi="Times New Roman" w:cs="Times New Roman" w:eastAsia="Times New Roman" w:hint="default"/>
        </w:rPr>
        <w:t>541,272,432</w:t>
      </w:r>
      <w:r>
        <w:rPr/>
        <w:t>股为基数，向全体股东每</w:t>
      </w:r>
    </w:p>
    <w:p>
      <w:pPr>
        <w:pStyle w:val="BodyText"/>
        <w:spacing w:line="240" w:lineRule="auto" w:before="61"/>
        <w:ind w:right="0"/>
        <w:jc w:val="both"/>
      </w:pP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0.30</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股，共计派发现金股利</w:t>
      </w:r>
      <w:r>
        <w:rPr>
          <w:rFonts w:ascii="Times New Roman" w:hAnsi="Times New Roman" w:cs="Times New Roman" w:eastAsia="Times New Roman" w:hint="default"/>
        </w:rPr>
        <w:t>16,238,172.96</w:t>
      </w:r>
      <w:r>
        <w:rPr/>
        <w:t>元，新增股份</w:t>
      </w:r>
    </w:p>
    <w:p>
      <w:pPr>
        <w:pStyle w:val="BodyText"/>
        <w:spacing w:line="240" w:lineRule="auto" w:before="64"/>
        <w:ind w:right="0"/>
        <w:jc w:val="both"/>
      </w:pPr>
      <w:r>
        <w:rPr>
          <w:rFonts w:ascii="Times New Roman" w:hAnsi="Times New Roman" w:cs="Times New Roman" w:eastAsia="Times New Roman" w:hint="default"/>
        </w:rPr>
        <w:t>162,381,729</w:t>
      </w:r>
      <w:r>
        <w:rPr/>
        <w:t>股。</w:t>
      </w:r>
    </w:p>
    <w:p>
      <w:pPr>
        <w:pStyle w:val="BodyText"/>
        <w:spacing w:line="240" w:lineRule="auto" w:before="101"/>
        <w:ind w:right="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年度利润分配预案：以未来实施分配方案时股权登记日的总股本为基数，向全体股东每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0.30</w:t>
      </w:r>
      <w:r>
        <w:rPr/>
        <w:t>元</w:t>
      </w:r>
    </w:p>
    <w:p>
      <w:pPr>
        <w:pStyle w:val="BodyText"/>
        <w:spacing w:line="319" w:lineRule="auto" w:before="63"/>
        <w:ind w:right="1129"/>
        <w:jc w:val="both"/>
      </w:pPr>
      <w:r>
        <w:rPr>
          <w:spacing w:val="-2"/>
        </w:rPr>
        <w:t>（含税），此外，公司不送红股，不以资本公积金转增股本。如公司董事会、股东大会审议通过该方案后到方案实施前公司</w:t>
      </w:r>
      <w:r>
        <w:rPr>
          <w:spacing w:val="-67"/>
        </w:rPr>
        <w:t> </w:t>
      </w:r>
      <w:r>
        <w:rPr>
          <w:spacing w:val="-67"/>
        </w:rPr>
      </w:r>
      <w:r>
        <w:rPr>
          <w:spacing w:val="-2"/>
        </w:rPr>
        <w:t>股本发生变动的，依照变动后的总股本为基数实施，每股分配额度保持不变。未来总股本变动后的预计分配总额不会超过报</w:t>
      </w:r>
      <w:r>
        <w:rPr>
          <w:spacing w:val="-65"/>
        </w:rPr>
        <w:t> </w:t>
      </w:r>
      <w:r>
        <w:rPr>
          <w:spacing w:val="-65"/>
        </w:rPr>
      </w:r>
      <w:r>
        <w:rPr/>
        <w:t>告期末财务报表上可供分配的范围。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983"/>
        <w:jc w:val="left"/>
      </w:pPr>
      <w:r>
        <w:rPr/>
        <w:t>公司近三年（包括本报告期）普通股现金分红情况表</w:t>
      </w:r>
    </w:p>
    <w:p>
      <w:pPr>
        <w:pStyle w:val="BodyText"/>
        <w:spacing w:line="240" w:lineRule="auto" w:before="117"/>
        <w:ind w:left="0" w:right="1130"/>
        <w:jc w:val="right"/>
      </w:pPr>
      <w:r>
        <w:rPr/>
        <w:t>单位：元</w:t>
      </w:r>
    </w:p>
    <w:p>
      <w:pPr>
        <w:spacing w:after="0" w:line="240" w:lineRule="auto"/>
        <w:jc w:val="right"/>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21,321,822.51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306,943,384.51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218,609,712.88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21,659,678.00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134,979,385.42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40" w:lineRule="auto" w:before="51"/>
        <w:ind w:right="2077"/>
        <w:jc w:val="left"/>
      </w:pPr>
      <w:r>
        <w:rPr/>
        <w:t>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年度现金分红金额（含税）暂以截至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日公司总股本</w:t>
      </w:r>
      <w:r>
        <w:rPr>
          <w:spacing w:val="-46"/>
        </w:rPr>
        <w:t> </w:t>
      </w:r>
      <w:r>
        <w:rPr>
          <w:rFonts w:ascii="Times New Roman" w:hAnsi="Times New Roman" w:cs="Times New Roman" w:eastAsia="Times New Roman" w:hint="default"/>
        </w:rPr>
        <w:t>710,727,417</w:t>
      </w:r>
      <w:r>
        <w:rPr>
          <w:rFonts w:ascii="Times New Roman" w:hAnsi="Times New Roman" w:cs="Times New Roman" w:eastAsia="Times New Roman" w:hint="default"/>
          <w:spacing w:val="-1"/>
        </w:rPr>
        <w:t> </w:t>
      </w:r>
      <w:r>
        <w:rPr/>
        <w:t>股为基数计算得出。 公司报告期内盈利且母公司可供普通股股东分配利润为正但未提出普通股现金红利分配预案</w:t>
      </w:r>
    </w:p>
    <w:p>
      <w:pPr>
        <w:pStyle w:val="BodyText"/>
        <w:spacing w:line="240" w:lineRule="auto" w:before="40"/>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710,727,417</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21,321,822.51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405,815,326.43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1"/>
                <w:sz w:val="18"/>
                <w:szCs w:val="18"/>
              </w:rPr>
              <w:t>以未来实施分配方案时股权登记日的总股本为基数，向全体股东每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股派发现金股利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元（含税），不送红股，不以资</w:t>
            </w:r>
            <w:r>
              <w:rPr>
                <w:rFonts w:ascii="宋体" w:hAnsi="宋体" w:cs="宋体" w:eastAsia="宋体" w:hint="default"/>
                <w:sz w:val="18"/>
                <w:szCs w:val="18"/>
              </w:rPr>
              <w:t> </w:t>
            </w:r>
            <w:r>
              <w:rPr>
                <w:rFonts w:ascii="宋体" w:hAnsi="宋体" w:cs="宋体" w:eastAsia="宋体" w:hint="default"/>
                <w:spacing w:val="-1"/>
                <w:sz w:val="18"/>
                <w:szCs w:val="18"/>
              </w:rPr>
              <w:t>本公积金转增股本。如公司董事会、股东大会审议通过利润分配方案后到方案实施前公司股本发生变动的，依照变动后的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总股本为基数实施，每股分配额度保持不变。未来总股本变动后的预计分配总额不会超过财务报表上可供分配的范围。暂</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以截至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710,727,417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股为基数，计算出本报告期预计现金分红（含税）金额为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21,321,822.51 </w:t>
            </w:r>
            <w:r>
              <w:rPr>
                <w:rFonts w:ascii="宋体" w:hAnsi="宋体" w:cs="宋体" w:eastAsia="宋体" w:hint="default"/>
                <w:sz w:val="18"/>
                <w:szCs w:val="18"/>
              </w:rPr>
              <w:t>元。</w:t>
            </w:r>
          </w:p>
        </w:tc>
      </w:tr>
    </w:tbl>
    <w:p>
      <w:pPr>
        <w:spacing w:after="0" w:line="309" w:lineRule="auto"/>
        <w:jc w:val="both"/>
        <w:rPr>
          <w:rFonts w:ascii="宋体" w:hAnsi="宋体" w:cs="宋体" w:eastAsia="宋体" w:hint="default"/>
          <w:sz w:val="18"/>
          <w:szCs w:val="18"/>
        </w:rPr>
        <w:sectPr>
          <w:pgSz w:w="11910" w:h="16840"/>
          <w:pgMar w:header="0" w:footer="979" w:top="1060" w:bottom="116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05815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61"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2"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黄家骁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①上海移通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年度实现的合并税后净利润分别不低于人民币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10,400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万元，即三年承诺实现税后净利润总额不低于人民币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31,900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万元（前 述税后净利润以会计师事务所出具的《专项审核报告》中标的公司合并报表归属于母公司股东 的净利润与扣除非经常性损益后归属于母公司股东的净利润中孰低者为计算依据）②若标的公 司业绩承诺期限内任何年度截至当年期末，累计实际实现税后净利润少于截至当年期末累计承 诺金额，则转让方应于该年度标的公司专项审计报告出具后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个月内向受让方支付业绩补偿</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988"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46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16" w:right="-13"/>
              <w:jc w:val="left"/>
              <w:rPr>
                <w:rFonts w:ascii="宋体" w:hAnsi="宋体" w:cs="宋体" w:eastAsia="宋体" w:hint="default"/>
                <w:sz w:val="18"/>
                <w:szCs w:val="18"/>
              </w:rPr>
            </w:pPr>
            <w:r>
              <w:rPr>
                <w:rFonts w:ascii="宋体" w:hAnsi="宋体" w:cs="宋体" w:eastAsia="宋体" w:hint="default"/>
                <w:sz w:val="18"/>
                <w:szCs w:val="18"/>
              </w:rPr>
              <w:t>沈栋梁、郝欣诚、 顾瀚博</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22"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7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①业绩补偿期内，瑞意恒动每年度实现的经审计的合并报表口径下归属于母公司股东的净利润</w:t>
            </w:r>
          </w:p>
          <w:p>
            <w:pPr>
              <w:pStyle w:val="TableParagraph"/>
              <w:spacing w:line="307"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（以扣除非经常性损益前后孰低者为准）</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年度分别不低于人民币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1,950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2,535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万元。如瑞意恒动在业绩承诺期间经审计的累计实际实现净利润 数不足承诺净利润的，则由补偿义务人以现金方式补偿。②补偿义务人承诺，瑞意恒动截至基 准日的所有应收账款（以《审计报告》中载明的合并报表为准）应在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日前全部</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收回。若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年度瑞意恒动实际净利润不低于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万元的，瑞意恒动应于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前收回截至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日的所有应收账款。③补偿义务人承诺，瑞意恒动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年每年度经营性活动产生的现金流量净额应为正数（以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宋体" w:hAnsi="宋体" w:cs="宋体" w:eastAsia="宋体" w:hint="default"/>
                <w:spacing w:val="-3"/>
                <w:sz w:val="18"/>
                <w:szCs w:val="18"/>
              </w:rPr>
              <w:t>的《专项审核报告》为准）。④补偿义务人承诺，如瑞意恒动累计实现的净利润低于瑞意恒动累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计承诺净利润，瑞意恒动商誉减值额不应大于补偿义务人业绩承诺补偿累计金额。⑤补偿义务 人向上市公司支付的补偿总额（包括业绩承诺补偿、应收账款补偿、经营性现金流补偿、商誉 减值补偿）不超过交易对价（扣除实缴个人所得税后的剩余部分）</w:t>
            </w:r>
          </w:p>
        </w:tc>
        <w:tc>
          <w:tcPr>
            <w:tcW w:w="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4"/>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704"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460"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7506"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r>
      <w:tr>
        <w:trPr>
          <w:trHeight w:val="2950"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506"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r>
    </w:tbl>
    <w:p>
      <w:pPr>
        <w:spacing w:after="0"/>
        <w:sectPr>
          <w:headerReference w:type="default" r:id="rId22"/>
          <w:footerReference w:type="default" r:id="rId23"/>
          <w:pgSz w:w="16840" w:h="11910" w:orient="landscape"/>
          <w:pgMar w:header="867" w:footer="979" w:top="1060" w:bottom="1160" w:left="1300" w:right="0"/>
          <w:pgNumType w:start="38"/>
        </w:sectPr>
      </w:pPr>
    </w:p>
    <w:p>
      <w:pPr>
        <w:spacing w:line="240" w:lineRule="auto" w:before="4"/>
        <w:rPr>
          <w:rFonts w:ascii="Times New Roman" w:hAnsi="Times New Roman" w:cs="Times New Roman" w:eastAsia="Times New Roman" w:hint="default"/>
          <w:sz w:val="3"/>
          <w:szCs w:val="3"/>
        </w:rPr>
      </w:pPr>
      <w:r>
        <w:rPr/>
        <w:pict>
          <v:shape style="position:absolute;margin-left:511.943024pt;margin-top:92.900009pt;width:170.3pt;height:62.4pt;mso-position-horizontal-relative:page;mso-position-vertical-relative:page;z-index:-1058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jc w:val="left"/>
                  </w:pPr>
                  <w:r>
                    <w:rPr/>
                    <w:t>或以其他任何形式取得该经济实体、</w:t>
                  </w:r>
                </w:p>
              </w:txbxContent>
            </v:textbox>
            <w10:wrap type="none"/>
          </v:shape>
        </w:pict>
      </w:r>
      <w:r>
        <w:rPr/>
        <w:pict>
          <v:shape style="position:absolute;margin-left:376.942993pt;margin-top:221.720001pt;width:305.3pt;height:62.45pt;mso-position-horizontal-relative:page;mso-position-vertical-relative:page;z-index:-1058104" type="#_x0000_t202" filled="false" stroked="false">
            <v:textbox inset="0,0,0,0">
              <w:txbxContent>
                <w:p>
                  <w:pPr>
                    <w:pStyle w:val="BodyText"/>
                    <w:spacing w:line="207" w:lineRule="exact"/>
                    <w:ind w:left="0" w:right="0"/>
                    <w:jc w:val="left"/>
                  </w:pPr>
                  <w:r>
                    <w:rPr/>
                    <w:t>或者将相竞争的业务转让给无关联关系的第三方的方式避免同业竞争。</w:t>
                  </w:r>
                </w:p>
              </w:txbxContent>
            </v:textbox>
            <w10:wrap type="none"/>
          </v:shape>
        </w:pict>
      </w:r>
      <w:r>
        <w:rPr/>
        <w:pict>
          <v:shape style="position:absolute;margin-left:413.006012pt;margin-top:284.619995pt;width:269.25pt;height:84.85pt;mso-position-horizontal-relative:page;mso-position-vertical-relative:page;z-index:-1058080" type="#_x0000_t202" filled="false" stroked="false">
            <v:textbox inset="0,0,0,0">
              <w:txbxContent>
                <w:p>
                  <w:pPr>
                    <w:pStyle w:val="BodyText"/>
                    <w:spacing w:line="240" w:lineRule="auto" w:before="51"/>
                    <w:ind w:left="0" w:right="0" w:firstLine="4679"/>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对于本人及本人控制的其他企业与久其软件及其控股子公司、</w:t>
                  </w:r>
                </w:p>
              </w:txbxContent>
            </v:textbox>
            <w10:wrap type="none"/>
          </v:shape>
        </w:pict>
      </w:r>
      <w:r>
        <w:rPr/>
        <w:pict>
          <v:group style="position:absolute;margin-left:653.140015pt;margin-top:92.900009pt;width:29.1pt;height:80.05pt;mso-position-horizontal-relative:page;mso-position-vertical-relative:page;z-index:-1058056" coordorigin="13063,1858" coordsize="582,1601">
            <v:group style="position:absolute;left:13063;top:1858;width:582;height:1248" coordorigin="13063,1858" coordsize="582,1248">
              <v:shape style="position:absolute;left:13063;top:1858;width:582;height:1248" coordorigin="13063,1858" coordsize="582,1248" path="m13063,3106l13645,3106,13645,1858,13063,1858,13063,3106xe" filled="true" fillcolor="#ffffff" stroked="false">
                <v:path arrowok="t"/>
                <v:fill type="solid"/>
              </v:shape>
            </v:group>
            <v:group style="position:absolute;left:13086;top:3106;width:537;height:353" coordorigin="13086,3106" coordsize="537,353">
              <v:shape style="position:absolute;left:13086;top:3106;width:537;height:353" coordorigin="13086,3106" coordsize="537,353" path="m13086,3459l13622,3459,13622,3106,13086,3106,13086,3459xe" filled="true" fillcolor="#ffffff" stroked="false">
                <v:path arrowok="t"/>
                <v:fill type="solid"/>
              </v:shape>
            </v:group>
            <w10:wrap type="none"/>
          </v:group>
        </w:pict>
      </w:r>
      <w:r>
        <w:rPr/>
        <w:pict>
          <v:group style="position:absolute;margin-left:653.140015pt;margin-top:221.720001pt;width:29.1pt;height:147.75pt;mso-position-horizontal-relative:page;mso-position-vertical-relative:page;z-index:-1058032" coordorigin="13063,4434" coordsize="582,2955">
            <v:group style="position:absolute;left:13063;top:4434;width:582;height:1249" coordorigin="13063,4434" coordsize="582,1249">
              <v:shape style="position:absolute;left:13063;top:4434;width:582;height:1249" coordorigin="13063,4434" coordsize="582,1249" path="m13063,5683l13645,5683,13645,4434,13063,4434,13063,5683xe" filled="true" fillcolor="#ffffff" stroked="false">
                <v:path arrowok="t"/>
                <v:fill type="solid"/>
              </v:shape>
            </v:group>
            <v:group style="position:absolute;left:13063;top:5692;width:582;height:1697" coordorigin="13063,5692" coordsize="582,1697">
              <v:shape style="position:absolute;left:13063;top:5692;width:582;height:1697" coordorigin="13063,5692" coordsize="582,1697" path="m13063,7389l13645,7389,13645,5692,13063,5692,13063,7389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3834"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3"/>
              <w:jc w:val="left"/>
              <w:rPr>
                <w:rFonts w:ascii="宋体" w:hAnsi="宋体" w:cs="宋体" w:eastAsia="宋体" w:hint="default"/>
                <w:sz w:val="18"/>
                <w:szCs w:val="18"/>
              </w:rPr>
            </w:pPr>
            <w:r>
              <w:rPr>
                <w:rFonts w:ascii="宋体" w:hAnsi="宋体" w:cs="宋体" w:eastAsia="宋体" w:hint="default"/>
                <w:sz w:val="18"/>
                <w:szCs w:val="18"/>
              </w:rPr>
              <w:t>沈栋梁、郝欣诚、 顾瀚博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7506"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1"/>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、截至本承诺函签署之日，本人未在、在本函有效期内也不会在中国境内外以任何方式直接或 间接从事或参与任何与久其软件及其下属子公司、瑞意恒动及其下属子公司相同、相似或在商 业上构成任何竞争的业务及活动，或拥有与久其软件及其下属子公司、瑞意恒动及其下属子公 司存在竞争关系的任何经济实体、机构、经济组织的权益， </w:t>
            </w:r>
            <w:r>
              <w:rPr>
                <w:rFonts w:ascii="宋体" w:hAnsi="宋体" w:cs="宋体" w:eastAsia="宋体" w:hint="default"/>
                <w:spacing w:val="-2"/>
                <w:sz w:val="18"/>
                <w:szCs w:val="18"/>
              </w:rPr>
              <w:t>机构、经济组织的控制权，或者为该等构成同业竞争关系的经济实体、机构、经济组织以劳务、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顾问或咨询等方式提供服务。</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、若发现本人及本人控制的其他企业在本函有效期内从事与久其 软件及其下属子公司、瑞意恒动及其下属子公司的产品或业务存在竞争的业务，则本人及本人 控制的其他企业承诺将以停止生产经营相竞争的业务或产品的方式，或者将相竞争的业务无偿 转让给久其软件的方式，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、本人在久其软件及其下属子公司、瑞意恒动及其下属子公司任职期间以及离职后两年内，本 </w:t>
            </w:r>
            <w:r>
              <w:rPr>
                <w:rFonts w:ascii="宋体" w:hAnsi="宋体" w:cs="宋体" w:eastAsia="宋体" w:hint="default"/>
                <w:spacing w:val="-2"/>
                <w:sz w:val="18"/>
                <w:szCs w:val="18"/>
              </w:rPr>
              <w:t>承诺函持续有效。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、如上述承诺被证明是不真实的或未被遵守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本人愿意承担因违反上述承诺而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给久其软件造成的全部经济损失</w:t>
            </w:r>
          </w:p>
        </w:tc>
        <w:tc>
          <w:tcPr>
            <w:tcW w:w="5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473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22" w:right="-13"/>
              <w:jc w:val="left"/>
              <w:rPr>
                <w:rFonts w:ascii="宋体" w:hAnsi="宋体" w:cs="宋体" w:eastAsia="宋体" w:hint="default"/>
                <w:sz w:val="18"/>
                <w:szCs w:val="18"/>
              </w:rPr>
            </w:pPr>
            <w:r>
              <w:rPr>
                <w:rFonts w:ascii="宋体" w:hAnsi="宋体" w:cs="宋体" w:eastAsia="宋体" w:hint="default"/>
                <w:sz w:val="18"/>
                <w:szCs w:val="18"/>
              </w:rPr>
              <w:t>沈栋梁、郝欣诚、 顾瀚博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关于规范关联 交易的承诺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、本人及本人的近亲属、控制的企业，在本次交易完成前，与久其软件、久其软件的控股股东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实际控制人之间不存在任何关联关系、未向久其软件推荐董事或高级管理人员。</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、本人承诺将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尽量避免或减少与久其软件及其子公司、瑞意恒动之间可能发生的关联交易。对于久其软件及 其控股子公司、瑞意恒动能够通过市场与第三方之间发生的交易，将由久其软件及其控股子公 司、瑞意恒动独立与第三方进行；</w:t>
            </w:r>
            <w:r>
              <w:rPr>
                <w:rFonts w:ascii="宋体" w:hAnsi="宋体" w:cs="宋体" w:eastAsia="宋体" w:hint="default"/>
                <w:sz w:val="18"/>
                <w:szCs w:val="18"/>
              </w:rPr>
              <w:t> 瑞意恒动之间无法避免的关联交易，均将严格遵守市场化原则，本着平等互利、等价有偿的一 </w:t>
            </w:r>
            <w:r>
              <w:rPr>
                <w:rFonts w:ascii="宋体" w:hAnsi="宋体" w:cs="宋体" w:eastAsia="宋体" w:hint="default"/>
                <w:spacing w:val="-1"/>
                <w:sz w:val="18"/>
                <w:szCs w:val="18"/>
              </w:rPr>
              <w:t>般原则，公平合理地进行。</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、本人特此承诺，本次交易过程中及交易完成后，除开展正常业务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所需备用金外，不会以任何方式占用或使用久其软件及其子公司、瑞意恒动的资金、资产或其 他资源，也不会要求久其软件及其子公司、瑞意恒动为本人及本人控制的其他企业代垫款项、 代偿债务，本人不会以任何直接或间接的方式从事损害或可能损害久其软件及其子公司、瑞意 </w:t>
            </w:r>
            <w:r>
              <w:rPr>
                <w:rFonts w:ascii="宋体" w:hAnsi="宋体" w:cs="宋体" w:eastAsia="宋体" w:hint="default"/>
                <w:spacing w:val="-1"/>
                <w:sz w:val="18"/>
                <w:szCs w:val="18"/>
              </w:rPr>
              <w:t>恒动利益的行为。</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、本人承诺，本人及本人控制的其他企业与久其软件及其子公司、瑞意恒动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发生关联交易时，将严格按照有关法律、法规、规范性文件及久其软件《公司章程》等公司治 理制度的有关规定履行审批程序和信息披露义务，保证不通过关联交易损害久其软件及其子公 司、瑞意恒动及广大中小股东的合法权益。本人在董事会、或股东大会审议该等关联交易事项 </w:t>
            </w:r>
            <w:r>
              <w:rPr>
                <w:rFonts w:ascii="宋体" w:hAnsi="宋体" w:cs="宋体" w:eastAsia="宋体" w:hint="default"/>
                <w:spacing w:val="-1"/>
                <w:sz w:val="18"/>
                <w:szCs w:val="18"/>
              </w:rPr>
              <w:t>时，主动依法履行回避义务，并在议案通过后方可实施。</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、如果因违反上述承诺导致久其软件</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3"/>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89.860001pt;margin-top:224.240005pt;width:87.5pt;height:93.65pt;mso-position-horizontal-relative:page;mso-position-vertical-relative:page;z-index:-105796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李行、</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及其子公司、瑞意恒动利益损失的，该等损失由本人承担</w:t>
            </w:r>
          </w:p>
        </w:tc>
        <w:tc>
          <w:tcPr>
            <w:tcW w:w="59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李俊峰、张思必、 蒋国兴、贾瑞明、 </w:t>
            </w:r>
            <w:r>
              <w:rPr>
                <w:rFonts w:ascii="宋体" w:hAnsi="宋体" w:cs="宋体" w:eastAsia="宋体" w:hint="default"/>
                <w:spacing w:val="-5"/>
                <w:sz w:val="18"/>
                <w:szCs w:val="18"/>
              </w:rPr>
              <w:t>谢泳江、李建、贾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高勇、周明浩、夏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郁葱、孙莉、赵月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军、单衍景、王瑞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宾、王平、房兰花、</w:t>
            </w:r>
            <w:r>
              <w:rPr>
                <w:rFonts w:ascii="宋体" w:hAnsi="宋体" w:cs="宋体" w:eastAsia="宋体" w:hint="default"/>
                <w:spacing w:val="-34"/>
                <w:sz w:val="18"/>
                <w:szCs w:val="18"/>
              </w:rPr>
              <w:t> </w:t>
            </w:r>
            <w:r>
              <w:rPr>
                <w:rFonts w:ascii="宋体" w:hAnsi="宋体" w:cs="宋体" w:eastAsia="宋体" w:hint="default"/>
                <w:spacing w:val="-5"/>
                <w:sz w:val="18"/>
                <w:szCs w:val="18"/>
              </w:rPr>
              <w:t>杨建军、胡雷、刘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枫、曹艳中、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郭武、张锐锋、高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翔、杨颖、邹康（即</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3"/>
                <w:sz w:val="18"/>
                <w:szCs w:val="18"/>
              </w:rPr>
              <w:t>类交易对方）、</w:t>
            </w:r>
            <w:r>
              <w:rPr>
                <w:rFonts w:ascii="宋体" w:hAnsi="宋体" w:cs="宋体" w:eastAsia="宋体" w:hint="default"/>
                <w:sz w:val="18"/>
                <w:szCs w:val="18"/>
              </w:rPr>
              <w:t> 栗军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276"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63.3pt;height:113.85pt;mso-position-horizontal-relative:char;mso-position-vertical-relative:line" coordorigin="0,0" coordsize="1266,2277">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0;top:404;width:1266;height:1873" coordorigin="0,404" coordsize="1266,1873">
                    <v:shape style="position:absolute;left:0;top:404;width:1266;height:1873" coordorigin="0,404" coordsize="1266,1873" path="m0,2276l1266,2276,1266,404,0,404,0,2276xe" filled="true" fillcolor="#ffffff" stroked="false">
                      <v:path arrowok="t"/>
                      <v:fill type="solid"/>
                    </v:shape>
                  </v:group>
                  <v:group style="position:absolute;left:23;top:11;width:1220;height:393" coordorigin="23,11" coordsize="1220,393">
                    <v:shape style="position:absolute;left:23;top:11;width:1220;height:393" coordorigin="23,11" coordsize="1220,393" path="m23,404l1242,404,1242,11,23,11,23,404xe" filled="true" fillcolor="#ffffff" stroked="false">
                      <v:path arrowok="t"/>
                      <v:fill type="solid"/>
                    </v:shape>
                  </v:group>
                </v:group>
              </w:pict>
            </w:r>
            <w:r>
              <w:rPr>
                <w:rFonts w:ascii="Times New Roman" w:hAnsi="Times New Roman" w:cs="Times New Roman" w:eastAsia="Times New Roman" w:hint="default"/>
                <w:position w:val="-45"/>
                <w:sz w:val="20"/>
                <w:szCs w:val="20"/>
              </w:rPr>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类交易对方因本次交易而取得的上市公司股份，以及栗军因本次交易而取得的除栗军需锁定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个月的股份数以外的剩余股份，自股份发行结束之日起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个月内不进行转让。</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个月后，</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类交易对方因本次交易而取得的上市公司股份按照</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分三期按照交易协议的约定</w:t>
            </w:r>
            <w:r>
              <w:rPr>
                <w:rFonts w:ascii="宋体" w:hAnsi="宋体" w:cs="宋体" w:eastAsia="宋体" w:hint="default"/>
                <w:sz w:val="18"/>
                <w:szCs w:val="18"/>
              </w:rPr>
              <w:t> 解除限售，栗军在本次交易所取得的上市公司除需锁定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个月的股份数以外的剩余股份按照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分三期解除限售。</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类交易对方和栗军应同时应遵守交易协议中关于延长股份 锁定期的其他相关规定</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1650"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13"/>
              <w:jc w:val="both"/>
              <w:rPr>
                <w:rFonts w:ascii="宋体" w:hAnsi="宋体" w:cs="宋体" w:eastAsia="宋体" w:hint="default"/>
                <w:sz w:val="18"/>
                <w:szCs w:val="18"/>
              </w:rPr>
            </w:pPr>
            <w:r>
              <w:rPr>
                <w:rFonts w:ascii="宋体" w:hAnsi="宋体" w:cs="宋体" w:eastAsia="宋体" w:hint="default"/>
                <w:sz w:val="18"/>
                <w:szCs w:val="18"/>
              </w:rPr>
              <w:t>姚立生、陈皞玥、 </w:t>
            </w:r>
            <w:r>
              <w:rPr>
                <w:rFonts w:ascii="宋体" w:hAnsi="宋体" w:cs="宋体" w:eastAsia="宋体" w:hint="default"/>
                <w:spacing w:val="-5"/>
                <w:sz w:val="18"/>
                <w:szCs w:val="18"/>
              </w:rPr>
              <w:t>卢昌、白锐、于大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泳、仝敬明（即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类交易对方）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类交易对方因本次交易而取得的上市公司股份自股份发行结束之日起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个月内不进行转让。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B </w:t>
            </w:r>
            <w:r>
              <w:rPr>
                <w:rFonts w:ascii="宋体" w:hAnsi="宋体" w:cs="宋体" w:eastAsia="宋体" w:hint="default"/>
                <w:sz w:val="18"/>
                <w:szCs w:val="18"/>
              </w:rPr>
              <w:t>类交易对方因本次交易而取得的上市公司股份按照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分三期按照 交易协议的约定解除限售。</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类交易对方应同时应遵守交易协议中关于延长股份锁定期的其他 相关规定</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2547"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pacing w:val="-5"/>
                <w:sz w:val="18"/>
                <w:szCs w:val="18"/>
              </w:rPr>
              <w:t>栗军、李俊峰、张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思必、蒋国兴、贾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瑞明、谢泳江、李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建、贾高勇、周明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浩、夏郁葱、孙莉、</w:t>
            </w:r>
            <w:r>
              <w:rPr>
                <w:rFonts w:ascii="宋体" w:hAnsi="宋体" w:cs="宋体" w:eastAsia="宋体" w:hint="default"/>
                <w:spacing w:val="-34"/>
                <w:sz w:val="18"/>
                <w:szCs w:val="18"/>
              </w:rPr>
              <w:t> </w:t>
            </w:r>
            <w:r>
              <w:rPr>
                <w:rFonts w:ascii="宋体" w:hAnsi="宋体" w:cs="宋体" w:eastAsia="宋体" w:hint="default"/>
                <w:sz w:val="18"/>
                <w:szCs w:val="18"/>
              </w:rPr>
              <w:t>赵月军、单衍景、</w:t>
            </w:r>
            <w:r>
              <w:rPr>
                <w:rFonts w:ascii="宋体" w:hAnsi="宋体" w:cs="宋体" w:eastAsia="宋体" w:hint="default"/>
                <w:sz w:val="18"/>
                <w:szCs w:val="18"/>
              </w:rPr>
              <w:t> </w:t>
            </w:r>
            <w:r>
              <w:rPr>
                <w:rFonts w:ascii="宋体" w:hAnsi="宋体" w:cs="宋体" w:eastAsia="宋体" w:hint="default"/>
                <w:spacing w:val="-5"/>
                <w:sz w:val="18"/>
                <w:szCs w:val="18"/>
              </w:rPr>
              <w:t>王瑞宾、王平、房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兰花、杨建军、胡</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16"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351"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61pt;height:17.6pt;mso-position-horizontal-relative:char;mso-position-vertical-relative:line" coordorigin="0,0" coordsize="1220,352">
                  <v:group style="position:absolute;left:0;top:0;width:1220;height:352" coordorigin="0,0" coordsize="1220,352">
                    <v:shape style="position:absolute;left:0;top:0;width:1220;height:352" coordorigin="0,0" coordsize="1220,352" path="m0,352l1219,352,1219,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①业绩补偿期内，华夏电通每年度实现的经审计的合并报表口径下归属于母公司股东的净利润</w:t>
            </w:r>
          </w:p>
          <w:p>
            <w:pPr>
              <w:pStyle w:val="TableParagraph"/>
              <w:spacing w:line="309"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（以扣除非经常性损益前后孰低者为准）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年度分别不低于人民币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年度期间，如华夏电通经审计的累计实 际实现净利润数不足承诺净利润的，则由补偿义务人首先以股份补偿的方式进行补偿，不足部 分以现金方式补偿。②在业绩承诺期届满时，对华夏电通进行减值测试，若期末华夏电通的减 值额大于承担补偿义务的交易对方已补偿总额，则承担补偿义务的交易对方同意除前述补偿外 另行向上市公司作出资产减值补偿。③补偿义务人承诺，华夏电通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每年期末应收账款净额占当期营业收入比重不高于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，若未能满足，则承诺向华夏电通以现</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80.860001pt;margin-top:92.900009pt;width:96.5pt;height:111.25pt;mso-position-horizontal-relative:page;mso-position-vertical-relative:page;z-index:-1057936" type="#_x0000_t202" filled="false" stroked="false">
            <v:textbox inset="0,0,0,0">
              <w:txbxContent>
                <w:p>
                  <w:pPr>
                    <w:pStyle w:val="BodyText"/>
                    <w:spacing w:line="240" w:lineRule="auto" w:before="10"/>
                    <w:ind w:left="180" w:right="0" w:hanging="180"/>
                    <w:jc w:val="left"/>
                  </w:pPr>
                  <w:r>
                    <w:rPr/>
                    <w:t>曹艳中、</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180" w:right="0"/>
                    <w:jc w:val="left"/>
                  </w:pPr>
                  <w:r>
                    <w:rPr/>
                    <w:t>白锐、</w:t>
                  </w:r>
                </w:p>
              </w:txbxContent>
            </v:textbox>
            <w10:wrap type="none"/>
          </v:shape>
        </w:pict>
      </w:r>
      <w:r>
        <w:rPr/>
        <w:pict>
          <v:shape style="position:absolute;margin-left:503.003021pt;margin-top:92.900009pt;width:179.25pt;height:111.25pt;mso-position-horizontal-relative:page;mso-position-vertical-relative:page;z-index:-1057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（包括业绩承诺补偿和资产减值补偿）</w:t>
                  </w:r>
                </w:p>
              </w:txbxContent>
            </v:textbox>
            <w10:wrap type="none"/>
          </v:shape>
        </w:pict>
      </w:r>
      <w:r>
        <w:rPr/>
        <w:pict>
          <v:shape style="position:absolute;margin-left:189.860001pt;margin-top:204.62001pt;width:87.5pt;height:78.05pt;mso-position-horizontal-relative:page;mso-position-vertical-relative:page;z-index:-1057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孙莉、</w:t>
                  </w:r>
                </w:p>
              </w:txbxContent>
            </v:textbox>
            <w10:wrap type="none"/>
          </v:shape>
        </w:pict>
      </w:r>
      <w:r>
        <w:rPr/>
        <w:pict>
          <v:shape style="position:absolute;margin-left:180.860001pt;margin-top:317.860016pt;width:96.5pt;height:78pt;mso-position-horizontal-relative:page;mso-position-vertical-relative:page;z-index:-1057864"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曹艳中、</w:t>
                  </w:r>
                </w:p>
              </w:txbxContent>
            </v:textbox>
            <w10:wrap type="none"/>
          </v:shape>
        </w:pict>
      </w:r>
      <w:r>
        <w:rPr/>
        <w:pict>
          <v:shape style="position:absolute;margin-left:511.943024pt;margin-top:204.62001pt;width:170.3pt;height:62.45pt;mso-position-horizontal-relative:page;mso-position-vertical-relative:page;z-index:-1057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或以其他任何形式取得该经济实体、</w:t>
                  </w:r>
                </w:p>
              </w:txbxContent>
            </v:textbox>
            <w10:wrap type="none"/>
          </v:shape>
        </w:pict>
      </w:r>
      <w:r>
        <w:rPr/>
        <w:pict>
          <v:shape style="position:absolute;margin-left:376.942993pt;margin-top:333.460022pt;width:305.3pt;height:62.4pt;mso-position-horizontal-relative:page;mso-position-vertical-relative:page;z-index:-1057816" type="#_x0000_t202" filled="false" stroked="false">
            <v:textbox inset="0,0,0,0">
              <w:txbxContent>
                <w:p>
                  <w:pPr>
                    <w:pStyle w:val="BodyText"/>
                    <w:spacing w:line="205" w:lineRule="exact"/>
                    <w:ind w:left="0" w:right="0"/>
                    <w:jc w:val="left"/>
                  </w:pPr>
                  <w:r>
                    <w:rPr/>
                    <w:t>或者将相竞争的业务转让给无关联关系的第三方的方式避免同业竞争。</w:t>
                  </w:r>
                </w:p>
              </w:txbxContent>
            </v:textbox>
            <w10:wrap type="none"/>
          </v:shape>
        </w:pict>
      </w:r>
      <w:r>
        <w:rPr/>
        <w:pict>
          <v:shape style="position:absolute;margin-left:189.860001pt;margin-top:396.339996pt;width:87.5pt;height:45.8pt;mso-position-horizontal-relative:page;mso-position-vertical-relative:page;z-index:-1057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陈亮、</w:t>
                  </w:r>
                </w:p>
              </w:txbxContent>
            </v:textbox>
            <w10:wrap type="none"/>
          </v:shape>
        </w:pict>
      </w:r>
      <w:r>
        <w:rPr/>
        <w:pict>
          <v:group style="position:absolute;margin-left:214.039993pt;margin-top:92.900009pt;width:63.3pt;height:189.75pt;mso-position-horizontal-relative:page;mso-position-vertical-relative:page;z-index:-1057768" coordorigin="4281,1858" coordsize="1266,3795">
            <v:group style="position:absolute;left:4281;top:1858;width:1266;height:2225" coordorigin="4281,1858" coordsize="1266,2225">
              <v:shape style="position:absolute;left:4281;top:1858;width:1266;height:2225" coordorigin="4281,1858" coordsize="1266,2225" path="m4281,4083l5547,4083,5547,1858,4281,1858,4281,4083xe" filled="true" fillcolor="#ffffff" stroked="false">
                <v:path arrowok="t"/>
                <v:fill type="solid"/>
              </v:shape>
            </v:group>
            <v:group style="position:absolute;left:4281;top:4092;width:1266;height:1561" coordorigin="4281,4092" coordsize="1266,1561">
              <v:shape style="position:absolute;left:4281;top:4092;width:1266;height:1561" coordorigin="4281,4092" coordsize="1266,1561" path="m4281,5653l5547,5653,5547,4092,4281,4092,4281,5653xe" filled="true" fillcolor="#ffffff" stroked="false">
                <v:path arrowok="t"/>
                <v:fill type="solid"/>
              </v:shape>
            </v:group>
            <w10:wrap type="none"/>
          </v:group>
        </w:pict>
      </w:r>
      <w:r>
        <w:rPr/>
        <w:pict>
          <v:group style="position:absolute;margin-left:653.140015pt;margin-top:92.900009pt;width:29.1pt;height:191.75pt;mso-position-horizontal-relative:page;mso-position-vertical-relative:page;z-index:-1057744" coordorigin="13063,1858" coordsize="582,3835">
            <v:group style="position:absolute;left:13063;top:1858;width:582;height:2225" coordorigin="13063,1858" coordsize="582,2225">
              <v:shape style="position:absolute;left:13063;top:1858;width:582;height:2225" coordorigin="13063,1858" coordsize="582,2225" path="m13063,4083l13645,4083,13645,1858,13063,1858,13063,4083xe" filled="true" fillcolor="#ffffff" stroked="false">
                <v:path arrowok="t"/>
                <v:fill type="solid"/>
              </v:shape>
            </v:group>
            <v:group style="position:absolute;left:13063;top:4092;width:582;height:1249" coordorigin="13063,4092" coordsize="582,1249">
              <v:shape style="position:absolute;left:13063;top:4092;width:582;height:1249" coordorigin="13063,4092" coordsize="582,1249" path="m13063,5341l13645,5341,13645,4092,13063,4092,13063,5341xe" filled="true" fillcolor="#ffffff" stroked="false">
                <v:path arrowok="t"/>
                <v:fill type="solid"/>
              </v:shape>
            </v:group>
            <v:group style="position:absolute;left:13086;top:5341;width:537;height:352" coordorigin="13086,5341" coordsize="537,352">
              <v:shape style="position:absolute;left:13086;top:5341;width:537;height:352" coordorigin="13086,5341" coordsize="537,352" path="m13086,5692l13622,5692,13622,5341,13086,5341,13086,5692xe" filled="true" fillcolor="#ffffff" stroked="false">
                <v:path arrowok="t"/>
                <v:fill type="solid"/>
              </v:shape>
            </v:group>
            <w10:wrap type="none"/>
          </v:group>
        </w:pict>
      </w:r>
      <w:r>
        <w:rPr/>
        <w:pict>
          <v:group style="position:absolute;margin-left:214.039993pt;margin-top:317.860016pt;width:63.3pt;height:124.3pt;mso-position-horizontal-relative:page;mso-position-vertical-relative:page;z-index:-1057720" coordorigin="4281,6357" coordsize="1266,2486">
            <v:group style="position:absolute;left:4281;top:6357;width:1266;height:1560" coordorigin="4281,6357" coordsize="1266,1560">
              <v:shape style="position:absolute;left:4281;top:6357;width:1266;height:1560" coordorigin="4281,6357" coordsize="1266,1560" path="m4281,7917l5547,7917,5547,6357,4281,6357,4281,7917xe" filled="true" fillcolor="#ffffff" stroked="false">
                <v:path arrowok="t"/>
                <v:fill type="solid"/>
              </v:shape>
            </v:group>
            <v:group style="position:absolute;left:4281;top:7927;width:1266;height:916" coordorigin="4281,7927" coordsize="1266,916">
              <v:shape style="position:absolute;left:4281;top:7927;width:1266;height:916" coordorigin="4281,7927" coordsize="1266,916" path="m4281,8843l5547,8843,5547,7927,4281,7927,4281,8843xe" filled="true" fillcolor="#ffffff" stroked="false">
                <v:path arrowok="t"/>
                <v:fill type="solid"/>
              </v:shape>
            </v:group>
            <w10:wrap type="none"/>
          </v:group>
        </w:pict>
      </w:r>
      <w:r>
        <w:rPr/>
        <w:pict>
          <v:group style="position:absolute;margin-left:653.140015pt;margin-top:333.460022pt;width:29.1pt;height:62.4pt;mso-position-horizontal-relative:page;mso-position-vertical-relative:page;z-index:-1057696" coordorigin="13063,6669" coordsize="582,1248">
            <v:shape style="position:absolute;left:13063;top:6669;width:582;height:1248" coordorigin="13063,6669" coordsize="582,1248" path="m13063,7917l13645,7917,13645,6669,13063,6669,13063,7917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雷、刘枫、</w:t>
            </w:r>
          </w:p>
        </w:tc>
        <w:tc>
          <w:tcPr>
            <w:tcW w:w="1276" w:type="dxa"/>
            <w:vMerge w:val="restart"/>
            <w:tcBorders>
              <w:top w:val="single" w:sz="4" w:space="0" w:color="000000"/>
              <w:left w:val="single" w:sz="4" w:space="0" w:color="000000"/>
              <w:right w:val="single" w:sz="4" w:space="0" w:color="000000"/>
            </w:tcBorders>
          </w:tcPr>
          <w:p>
            <w:pPr/>
          </w:p>
        </w:tc>
        <w:tc>
          <w:tcPr>
            <w:tcW w:w="75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金方式补偿。④补偿义务人承诺，华夏电通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年经营活动产生的现金流</w:t>
            </w:r>
          </w:p>
        </w:tc>
        <w:tc>
          <w:tcPr>
            <w:tcW w:w="592" w:type="dxa"/>
            <w:vMerge w:val="restart"/>
            <w:tcBorders>
              <w:top w:val="single" w:sz="4" w:space="0" w:color="000000"/>
              <w:left w:val="single" w:sz="4" w:space="0" w:color="000000"/>
              <w:right w:val="single" w:sz="4" w:space="0" w:color="000000"/>
            </w:tcBorders>
          </w:tcPr>
          <w:p>
            <w:pPr/>
          </w:p>
        </w:tc>
        <w:tc>
          <w:tcPr>
            <w:tcW w:w="629" w:type="dxa"/>
            <w:vMerge w:val="restart"/>
            <w:tcBorders>
              <w:top w:val="single" w:sz="4" w:space="0" w:color="000000"/>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
        </w:tc>
      </w:tr>
      <w:tr>
        <w:trPr>
          <w:trHeight w:val="312"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李行、郭武、张锐</w:t>
            </w:r>
          </w:p>
        </w:tc>
        <w:tc>
          <w:tcPr>
            <w:tcW w:w="1276" w:type="dxa"/>
            <w:vMerge/>
            <w:tcBorders>
              <w:left w:val="single" w:sz="4" w:space="0" w:color="000000"/>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量净额不能为负，且占当年净利润比例均不低于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，若未能满足，则承诺向华夏电通以现金</w:t>
            </w:r>
          </w:p>
        </w:tc>
        <w:tc>
          <w:tcPr>
            <w:tcW w:w="592"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r>
      <w:tr>
        <w:trPr>
          <w:trHeight w:val="307"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3"/>
              <w:jc w:val="left"/>
              <w:rPr>
                <w:rFonts w:ascii="宋体" w:hAnsi="宋体" w:cs="宋体" w:eastAsia="宋体" w:hint="default"/>
                <w:sz w:val="18"/>
                <w:szCs w:val="18"/>
              </w:rPr>
            </w:pPr>
            <w:r>
              <w:rPr>
                <w:rFonts w:ascii="宋体" w:hAnsi="宋体" w:cs="宋体" w:eastAsia="宋体" w:hint="default"/>
                <w:sz w:val="18"/>
                <w:szCs w:val="18"/>
              </w:rPr>
              <w:t>锋、高翔、杨颖、</w:t>
            </w:r>
          </w:p>
        </w:tc>
        <w:tc>
          <w:tcPr>
            <w:tcW w:w="1276" w:type="dxa"/>
            <w:vMerge/>
            <w:tcBorders>
              <w:left w:val="single" w:sz="4" w:space="0" w:color="000000"/>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方式支补偿。⑤补偿义务人方向上市公司支付的补偿总额</w:t>
            </w:r>
          </w:p>
        </w:tc>
        <w:tc>
          <w:tcPr>
            <w:tcW w:w="592"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r>
      <w:tr>
        <w:trPr>
          <w:trHeight w:val="318"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邹康、姚立生、陈</w:t>
            </w:r>
          </w:p>
        </w:tc>
        <w:tc>
          <w:tcPr>
            <w:tcW w:w="1276" w:type="dxa"/>
            <w:vMerge/>
            <w:tcBorders>
              <w:left w:val="single" w:sz="4" w:space="0" w:color="000000"/>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92"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r>
      <w:tr>
        <w:trPr>
          <w:trHeight w:val="306"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皞玥、卢昌、</w:t>
            </w:r>
          </w:p>
        </w:tc>
        <w:tc>
          <w:tcPr>
            <w:tcW w:w="1276" w:type="dxa"/>
            <w:vMerge/>
            <w:tcBorders>
              <w:left w:val="single" w:sz="4" w:space="0" w:color="000000"/>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r>
      <w:tr>
        <w:trPr>
          <w:trHeight w:val="313"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于大泳、仝敬明</w:t>
            </w:r>
          </w:p>
        </w:tc>
        <w:tc>
          <w:tcPr>
            <w:tcW w:w="1276" w:type="dxa"/>
            <w:vMerge/>
            <w:tcBorders>
              <w:left w:val="single" w:sz="4" w:space="0" w:color="000000"/>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r>
      <w:tr>
        <w:trPr>
          <w:trHeight w:val="357"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13"/>
              <w:jc w:val="left"/>
              <w:rPr>
                <w:rFonts w:ascii="宋体" w:hAnsi="宋体" w:cs="宋体" w:eastAsia="宋体" w:hint="default"/>
                <w:sz w:val="18"/>
                <w:szCs w:val="18"/>
              </w:rPr>
            </w:pPr>
            <w:r>
              <w:rPr>
                <w:rFonts w:ascii="宋体" w:hAnsi="宋体" w:cs="宋体" w:eastAsia="宋体" w:hint="default"/>
                <w:sz w:val="18"/>
                <w:szCs w:val="18"/>
              </w:rPr>
              <w:t>（即补偿义务人）</w:t>
            </w:r>
          </w:p>
        </w:tc>
        <w:tc>
          <w:tcPr>
            <w:tcW w:w="1276" w:type="dxa"/>
            <w:vMerge/>
            <w:tcBorders>
              <w:left w:val="single" w:sz="4" w:space="0" w:color="000000"/>
              <w:bottom w:val="single" w:sz="4" w:space="0" w:color="000000"/>
              <w:right w:val="single" w:sz="4" w:space="0" w:color="000000"/>
            </w:tcBorders>
          </w:tcPr>
          <w:p>
            <w:pPr/>
          </w:p>
        </w:tc>
        <w:tc>
          <w:tcPr>
            <w:tcW w:w="7506" w:type="dxa"/>
            <w:tcBorders>
              <w:top w:val="nil" w:sz="6" w:space="0" w:color="auto"/>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r>
      <w:tr>
        <w:trPr>
          <w:trHeight w:val="362"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栗军、李俊峰、张</w:t>
            </w:r>
          </w:p>
        </w:tc>
        <w:tc>
          <w:tcPr>
            <w:tcW w:w="1276" w:type="dxa"/>
            <w:tcBorders>
              <w:top w:val="single" w:sz="4" w:space="0" w:color="000000"/>
              <w:left w:val="single" w:sz="4" w:space="0" w:color="000000"/>
              <w:bottom w:val="nil" w:sz="6" w:space="0" w:color="auto"/>
              <w:right w:val="single" w:sz="4" w:space="0" w:color="000000"/>
            </w:tcBorders>
          </w:tcPr>
          <w:p>
            <w:pPr/>
          </w:p>
        </w:tc>
        <w:tc>
          <w:tcPr>
            <w:tcW w:w="75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、截至本承诺函签署之日，本人未在，在本函有效期内也不会在中国境内外以任何方式直接或</w:t>
            </w:r>
          </w:p>
        </w:tc>
        <w:tc>
          <w:tcPr>
            <w:tcW w:w="592"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114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思必、蒋国兴、贾</w:t>
            </w:r>
          </w:p>
        </w:tc>
        <w:tc>
          <w:tcPr>
            <w:tcW w:w="1276" w:type="dxa"/>
            <w:tcBorders>
              <w:top w:val="nil" w:sz="6" w:space="0" w:color="auto"/>
              <w:left w:val="single" w:sz="4" w:space="0" w:color="000000"/>
              <w:bottom w:val="nil" w:sz="6" w:space="0" w:color="auto"/>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间接从事或参与任何与久其软件及其下属子公司、华夏电通及其下属子公司相同、相似或在商</w:t>
            </w:r>
          </w:p>
        </w:tc>
        <w:tc>
          <w:tcPr>
            <w:tcW w:w="592"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11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瑞明、谢泳江、李</w:t>
            </w:r>
          </w:p>
        </w:tc>
        <w:tc>
          <w:tcPr>
            <w:tcW w:w="1276" w:type="dxa"/>
            <w:tcBorders>
              <w:top w:val="nil" w:sz="6" w:space="0" w:color="auto"/>
              <w:left w:val="single" w:sz="4" w:space="0" w:color="000000"/>
              <w:bottom w:val="nil" w:sz="6" w:space="0" w:color="auto"/>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业上构成任何竞争的业务及活动，或拥有与久其软件及其下属子公司、华夏电通及其下属子公</w:t>
            </w:r>
          </w:p>
        </w:tc>
        <w:tc>
          <w:tcPr>
            <w:tcW w:w="592"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114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
              <w:jc w:val="left"/>
              <w:rPr>
                <w:rFonts w:ascii="宋体" w:hAnsi="宋体" w:cs="宋体" w:eastAsia="宋体" w:hint="default"/>
                <w:sz w:val="18"/>
                <w:szCs w:val="18"/>
              </w:rPr>
            </w:pPr>
            <w:r>
              <w:rPr>
                <w:rFonts w:ascii="宋体" w:hAnsi="宋体" w:cs="宋体" w:eastAsia="宋体" w:hint="default"/>
                <w:spacing w:val="-5"/>
                <w:sz w:val="18"/>
                <w:szCs w:val="18"/>
              </w:rPr>
              <w:t>建、贾高勇、周明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浩、夏郁葱、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赵月军、单衍景、 </w:t>
            </w:r>
            <w:r>
              <w:rPr>
                <w:rFonts w:ascii="宋体" w:hAnsi="宋体" w:cs="宋体" w:eastAsia="宋体" w:hint="default"/>
                <w:spacing w:val="-5"/>
                <w:sz w:val="18"/>
                <w:szCs w:val="18"/>
              </w:rPr>
              <w:t>王瑞宾、王平、房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兰花、杨建军、胡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雷、刘枫、</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7506" w:type="dxa"/>
            <w:tcBorders>
              <w:top w:val="nil" w:sz="6" w:space="0" w:color="auto"/>
              <w:left w:val="single" w:sz="4" w:space="0" w:color="000000"/>
              <w:bottom w:val="nil" w:sz="6" w:space="0" w:color="auto"/>
              <w:right w:val="single" w:sz="13" w:space="0" w:color="FFFFFF"/>
            </w:tcBorders>
          </w:tcPr>
          <w:p>
            <w:pPr>
              <w:pStyle w:val="TableParagraph"/>
              <w:spacing w:line="314"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司存在竞争关系的任何经济实体、机构、经济组织的权益， </w:t>
            </w:r>
            <w:r>
              <w:rPr>
                <w:rFonts w:ascii="宋体" w:hAnsi="宋体" w:cs="宋体" w:eastAsia="宋体" w:hint="default"/>
                <w:spacing w:val="-2"/>
                <w:sz w:val="18"/>
                <w:szCs w:val="18"/>
              </w:rPr>
              <w:t>机构、经济组织的控制权，或者为该等构成同业竞争关系的经济实体、机构、经济组织以劳务、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顾问或咨询等方式提供服务。</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、若发现本人及本人控制的其他企业在本函有效期内从事与久其 软件及其下属子公司、华夏电通及其下属子公司的产品或业务存在竞争的业务，则本人及本人 控制的其他企业承诺将以停止生产经营相竞争的业务或产品的方式，或者将相竞争的业务无偿 转让给久其软件的方式，</w:t>
            </w:r>
          </w:p>
        </w:tc>
        <w:tc>
          <w:tcPr>
            <w:tcW w:w="592"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317"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李行、郭武、张锐</w:t>
            </w:r>
          </w:p>
        </w:tc>
        <w:tc>
          <w:tcPr>
            <w:tcW w:w="1276" w:type="dxa"/>
            <w:tcBorders>
              <w:top w:val="nil" w:sz="6" w:space="0" w:color="auto"/>
              <w:left w:val="single" w:sz="4" w:space="0" w:color="000000"/>
              <w:bottom w:val="nil" w:sz="6" w:space="0" w:color="auto"/>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、上述承诺在本人在久其软件及其下属子公司、华夏电通及其下属子公司任职期间以及离职后</w:t>
            </w:r>
          </w:p>
        </w:tc>
        <w:tc>
          <w:tcPr>
            <w:tcW w:w="592"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114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3"/>
              <w:jc w:val="left"/>
              <w:rPr>
                <w:rFonts w:ascii="宋体" w:hAnsi="宋体" w:cs="宋体" w:eastAsia="宋体" w:hint="default"/>
                <w:sz w:val="18"/>
                <w:szCs w:val="18"/>
              </w:rPr>
            </w:pPr>
            <w:r>
              <w:rPr>
                <w:rFonts w:ascii="宋体" w:hAnsi="宋体" w:cs="宋体" w:eastAsia="宋体" w:hint="default"/>
                <w:sz w:val="18"/>
                <w:szCs w:val="18"/>
              </w:rPr>
              <w:t>锋、高翔、杨颖、</w:t>
            </w:r>
          </w:p>
        </w:tc>
        <w:tc>
          <w:tcPr>
            <w:tcW w:w="1276" w:type="dxa"/>
            <w:tcBorders>
              <w:top w:val="nil" w:sz="6" w:space="0" w:color="auto"/>
              <w:left w:val="single" w:sz="4" w:space="0" w:color="000000"/>
              <w:bottom w:val="nil" w:sz="6" w:space="0" w:color="auto"/>
              <w:right w:val="single" w:sz="4" w:space="0" w:color="000000"/>
            </w:tcBorders>
          </w:tcPr>
          <w:p>
            <w:pP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两年内，持续有效。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、如上述承诺被证明是不真实的或未被遵守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本人愿意承担因违反上述承诺</w:t>
            </w:r>
          </w:p>
        </w:tc>
        <w:tc>
          <w:tcPr>
            <w:tcW w:w="592"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114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邹康</w:t>
            </w:r>
          </w:p>
        </w:tc>
        <w:tc>
          <w:tcPr>
            <w:tcW w:w="1276" w:type="dxa"/>
            <w:tcBorders>
              <w:top w:val="nil" w:sz="6" w:space="0" w:color="auto"/>
              <w:left w:val="single" w:sz="4" w:space="0" w:color="000000"/>
              <w:bottom w:val="single" w:sz="4" w:space="0" w:color="000000"/>
              <w:right w:val="single" w:sz="4" w:space="0" w:color="000000"/>
            </w:tcBorders>
          </w:tcPr>
          <w:p>
            <w:pPr/>
          </w:p>
        </w:tc>
        <w:tc>
          <w:tcPr>
            <w:tcW w:w="75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而给久其软件造成的全部经济损失</w:t>
            </w:r>
          </w:p>
        </w:tc>
        <w:tc>
          <w:tcPr>
            <w:tcW w:w="592"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114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姚立生、陈皞玥、</w:t>
            </w:r>
          </w:p>
        </w:tc>
        <w:tc>
          <w:tcPr>
            <w:tcW w:w="1276" w:type="dxa"/>
            <w:tcBorders>
              <w:top w:val="single" w:sz="4" w:space="0" w:color="000000"/>
              <w:left w:val="single" w:sz="4" w:space="0" w:color="000000"/>
              <w:bottom w:val="nil" w:sz="6" w:space="0" w:color="auto"/>
              <w:right w:val="single" w:sz="4" w:space="0" w:color="000000"/>
            </w:tcBorders>
          </w:tcPr>
          <w:p>
            <w:pPr/>
          </w:p>
        </w:tc>
        <w:tc>
          <w:tcPr>
            <w:tcW w:w="75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本机构承诺将尽量避免或减少与久其软件及其子公司之间的关联交易。对于久其软件及</w:t>
            </w:r>
          </w:p>
        </w:tc>
        <w:tc>
          <w:tcPr>
            <w:tcW w:w="592"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1148" w:type="dxa"/>
            <w:tcBorders>
              <w:top w:val="single" w:sz="4" w:space="0" w:color="000000"/>
              <w:left w:val="single" w:sz="4" w:space="0" w:color="000000"/>
              <w:bottom w:val="nil" w:sz="6" w:space="0" w:color="auto"/>
              <w:right w:val="single" w:sz="4" w:space="0" w:color="000000"/>
            </w:tcBorders>
          </w:tcPr>
          <w:p>
            <w:pPr/>
          </w:p>
        </w:tc>
      </w:tr>
      <w:tr>
        <w:trPr>
          <w:trHeight w:val="1866" w:hRule="exact"/>
        </w:trPr>
        <w:tc>
          <w:tcPr>
            <w:tcW w:w="1403" w:type="dxa"/>
            <w:vMerge/>
            <w:tcBorders>
              <w:left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pacing w:val="-5"/>
                <w:sz w:val="18"/>
                <w:szCs w:val="18"/>
              </w:rPr>
              <w:t>卢昌、白锐、于大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泳、仝敬明、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达晨银雷高新（北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京）创业投资有限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公司、北京辰光致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远创业投资中心</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关于规范关联 交易的承诺</w:t>
            </w:r>
          </w:p>
        </w:tc>
        <w:tc>
          <w:tcPr>
            <w:tcW w:w="7506"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其控股子公司、华夏电通及其子公司能够通过市场与第三方之间发生的交易，将由久其软件及 </w:t>
            </w:r>
            <w:r>
              <w:rPr>
                <w:rFonts w:ascii="宋体" w:hAnsi="宋体" w:cs="宋体" w:eastAsia="宋体" w:hint="default"/>
                <w:spacing w:val="-1"/>
                <w:sz w:val="18"/>
                <w:szCs w:val="18"/>
              </w:rPr>
              <w:t>其控股子公司、华夏电通及其子公司独立与第三方进行；对于本人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本机构及本人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本机构控制的</w:t>
            </w:r>
            <w:r>
              <w:rPr>
                <w:rFonts w:ascii="宋体" w:hAnsi="宋体" w:cs="宋体" w:eastAsia="宋体" w:hint="default"/>
                <w:spacing w:val="-79"/>
                <w:sz w:val="18"/>
                <w:szCs w:val="18"/>
              </w:rPr>
              <w:t> </w:t>
            </w:r>
            <w:r>
              <w:rPr>
                <w:rFonts w:ascii="宋体" w:hAnsi="宋体" w:cs="宋体" w:eastAsia="宋体" w:hint="default"/>
                <w:sz w:val="18"/>
                <w:szCs w:val="18"/>
              </w:rPr>
              <w:t>其他企业与久其软件及其控股子公司、华夏电通及其子公司之间无法避免的关联交易，均将严 </w:t>
            </w:r>
            <w:r>
              <w:rPr>
                <w:rFonts w:ascii="宋体" w:hAnsi="宋体" w:cs="宋体" w:eastAsia="宋体" w:hint="default"/>
                <w:spacing w:val="-2"/>
                <w:sz w:val="18"/>
                <w:szCs w:val="18"/>
              </w:rPr>
              <w:t>格遵守市场化原则，本着平等互利、等价有偿的一般原则，公平合理地进行。</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本机构特</w:t>
            </w:r>
            <w:r>
              <w:rPr>
                <w:rFonts w:ascii="宋体" w:hAnsi="宋体" w:cs="宋体" w:eastAsia="宋体" w:hint="default"/>
                <w:spacing w:val="-77"/>
                <w:sz w:val="18"/>
                <w:szCs w:val="18"/>
              </w:rPr>
              <w:t> </w:t>
            </w:r>
            <w:r>
              <w:rPr>
                <w:rFonts w:ascii="宋体" w:hAnsi="宋体" w:cs="宋体" w:eastAsia="宋体" w:hint="default"/>
                <w:sz w:val="18"/>
                <w:szCs w:val="18"/>
              </w:rPr>
              <w:t>此承诺，本次交易过程中及交易完成后，除开展正常业务所需备用金外，不会以任何方式占用 或使用久其软件及其子公司、华夏电通及其子公司的资金、资产或其他资源，也不会要求久其</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318"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z w:val="18"/>
                <w:szCs w:val="18"/>
              </w:rPr>
              <w:t>、苏</w:t>
            </w:r>
          </w:p>
        </w:tc>
        <w:tc>
          <w:tcPr>
            <w:tcW w:w="1276" w:type="dxa"/>
            <w:tcBorders>
              <w:top w:val="nil" w:sz="6" w:space="0" w:color="auto"/>
              <w:left w:val="single" w:sz="4" w:space="0" w:color="000000"/>
              <w:bottom w:val="single" w:sz="4" w:space="0" w:color="000000"/>
              <w:right w:val="single" w:sz="4" w:space="0" w:color="000000"/>
            </w:tcBorders>
          </w:tcPr>
          <w:p>
            <w:pPr/>
          </w:p>
        </w:tc>
        <w:tc>
          <w:tcPr>
            <w:tcW w:w="75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软件及其子公司、华夏电通及其子公司为本人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本机构控制的其他企业代垫款项、</w:t>
            </w:r>
          </w:p>
        </w:tc>
        <w:tc>
          <w:tcPr>
            <w:tcW w:w="592"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114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80.860001pt;margin-top:310.059998pt;width:96.5pt;height:54.6pt;mso-position-horizontal-relative:page;mso-position-vertical-relative:page;z-index:-1057624" type="#_x0000_t202" filled="false" stroked="false">
            <v:textbox inset="0,0,0,0">
              <w:txbxContent>
                <w:p>
                  <w:pPr>
                    <w:pStyle w:val="BodyText"/>
                    <w:spacing w:line="240" w:lineRule="auto" w:before="125"/>
                    <w:ind w:left="0" w:right="0"/>
                    <w:jc w:val="left"/>
                  </w:pPr>
                  <w:r>
                    <w:rPr/>
                    <w:t>吴鹏翎、</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2858"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州工业园区易联 创业投资基金有 限公司、刘海滨、 刘卫国、王邦新、 </w:t>
            </w:r>
            <w:r>
              <w:rPr>
                <w:rFonts w:ascii="宋体" w:hAnsi="宋体" w:cs="宋体" w:eastAsia="宋体" w:hint="default"/>
                <w:spacing w:val="-5"/>
                <w:sz w:val="18"/>
                <w:szCs w:val="18"/>
              </w:rPr>
              <w:t>梅志勇、肖冰、杨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楠、李悦、郭辉、 </w:t>
            </w:r>
            <w:r>
              <w:rPr>
                <w:rFonts w:ascii="宋体" w:hAnsi="宋体" w:cs="宋体" w:eastAsia="宋体" w:hint="default"/>
                <w:spacing w:val="-5"/>
                <w:sz w:val="18"/>
                <w:szCs w:val="18"/>
              </w:rPr>
              <w:t>郭超、张晓丽、夏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永强、杨怀兵、陈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彪</w:t>
            </w:r>
          </w:p>
        </w:tc>
        <w:tc>
          <w:tcPr>
            <w:tcW w:w="1276" w:type="dxa"/>
            <w:tcBorders>
              <w:top w:val="single" w:sz="4" w:space="0" w:color="000000"/>
              <w:left w:val="single" w:sz="4" w:space="0" w:color="000000"/>
              <w:bottom w:val="single" w:sz="4" w:space="0" w:color="000000"/>
              <w:right w:val="single" w:sz="4" w:space="0" w:color="000000"/>
            </w:tcBorders>
          </w:tcPr>
          <w:p>
            <w:pP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代偿债务，本人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本机构不以任何直接或间接的方式从事损害或可能损害久其软件及其子公司、 华夏电通及其子公司利益的行为；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本机构控制的其他 企业与久其软件及其子公司、华夏电通及其子公司发生关联交易时，将严格按照有关规定履行 审批程序和信息披露义务，保证不通过关联交易损害久其公司及其子公司、华夏电通及其子公 司及广大中小股东的合法权益。本人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本机构在董事会、或股东大会审议该等关联交易事项时， </w:t>
            </w:r>
            <w:r>
              <w:rPr>
                <w:rFonts w:ascii="宋体" w:hAnsi="宋体" w:cs="宋体" w:eastAsia="宋体" w:hint="default"/>
                <w:spacing w:val="-1"/>
                <w:sz w:val="18"/>
                <w:szCs w:val="18"/>
              </w:rPr>
              <w:t>主动依法履行回避义务，并在议案通过后方可实施。</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、如果因违反上述承诺导致久其软件及其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子公司、华夏电通及其子公司或者久其软件广大中小股东利益损失的，该等损失由本人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 承担</w:t>
            </w:r>
          </w:p>
        </w:tc>
        <w:tc>
          <w:tcPr>
            <w:tcW w:w="59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北京久其科技投 </w:t>
            </w:r>
            <w:r>
              <w:rPr>
                <w:rFonts w:ascii="宋体" w:hAnsi="宋体" w:cs="宋体" w:eastAsia="宋体" w:hint="default"/>
                <w:spacing w:val="-5"/>
                <w:sz w:val="18"/>
                <w:szCs w:val="18"/>
              </w:rPr>
              <w:t>资有限公司、北京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鼎新成长创业投 资中心（有限合 </w:t>
            </w:r>
            <w:r>
              <w:rPr>
                <w:rFonts w:ascii="宋体" w:hAnsi="宋体" w:cs="宋体" w:eastAsia="宋体" w:hint="default"/>
                <w:spacing w:val="-12"/>
                <w:sz w:val="18"/>
                <w:szCs w:val="18"/>
              </w:rPr>
              <w:t>伙）、屈庆超、党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毅、石磊、</w:t>
            </w:r>
            <w:r>
              <w:rPr>
                <w:rFonts w:ascii="宋体" w:hAnsi="宋体" w:cs="宋体" w:eastAsia="宋体" w:hint="default"/>
                <w:sz w:val="18"/>
                <w:szCs w:val="18"/>
              </w:rPr>
              <w:t> </w:t>
            </w:r>
            <w:r>
              <w:rPr>
                <w:rFonts w:ascii="宋体" w:hAnsi="宋体" w:cs="宋体" w:eastAsia="宋体" w:hint="default"/>
                <w:spacing w:val="-5"/>
                <w:sz w:val="18"/>
                <w:szCs w:val="18"/>
              </w:rPr>
              <w:t>肖兴喜、钱晖、刘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38"/>
              <w:jc w:val="center"/>
              <w:rPr>
                <w:rFonts w:ascii="宋体" w:hAnsi="宋体" w:cs="宋体" w:eastAsia="宋体" w:hint="default"/>
                <w:sz w:val="18"/>
                <w:szCs w:val="18"/>
              </w:rPr>
            </w:pPr>
            <w:r>
              <w:rPr>
                <w:rFonts w:ascii="宋体" w:hAnsi="宋体" w:cs="宋体" w:eastAsia="宋体" w:hint="default"/>
                <w:sz w:val="18"/>
                <w:szCs w:val="18"/>
              </w:rPr>
              <w:t>股份限售承诺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109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63.3pt;height:54.6pt;mso-position-horizontal-relative:char;mso-position-vertical-relative:line" coordorigin="0,0" coordsize="1266,1092">
                  <v:group style="position:absolute;left:0;top:0;width:1266;height:1092" coordorigin="0,0" coordsize="1266,1092">
                    <v:shape style="position:absolute;left:0;top:0;width:1266;height:1092" coordorigin="0,0" coordsize="1266,1092" path="m0,1092l1266,1092,126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承诺以非公开发行股份方式认购的华夏电通重组项目募集配套资金对应的股票锁定期为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317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北京久其科技投 </w:t>
            </w:r>
            <w:r>
              <w:rPr>
                <w:rFonts w:ascii="宋体" w:hAnsi="宋体" w:cs="宋体" w:eastAsia="宋体" w:hint="default"/>
                <w:spacing w:val="-5"/>
                <w:sz w:val="18"/>
                <w:szCs w:val="18"/>
              </w:rPr>
              <w:t>资有限公司、董泰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湘、赵福君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7506"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1"/>
              <w:ind w:left="22" w:right="-4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、截至本承诺函签署之日，本公司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本人未在，将来也不会在中国境内外以任何方式直接或间接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从事或参与任何与久其软件及其下属子公司、华夏电通及其下属子公司相同、相似或在商业上 构成任何竞争的业务及活动，或拥有与久其软件及其下属子公司、华夏电通及其下属子公司存 在竞争关系的任何经济实体、机构、经济组织的权益，或以其他任何形式取得该经济实体、机 构、经济组织的控制权，或者为该等构成同业竞争关系的经济实体、机构、经济组织以劳务、 顾问或咨询等方式提供服务。</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、若发现本公司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本人控制的其他企业在以后任何 </w:t>
            </w:r>
            <w:r>
              <w:rPr>
                <w:rFonts w:ascii="宋体" w:hAnsi="宋体" w:cs="宋体" w:eastAsia="宋体" w:hint="default"/>
                <w:spacing w:val="-2"/>
                <w:sz w:val="18"/>
                <w:szCs w:val="18"/>
              </w:rPr>
              <w:t>时间从事与久其软件及其下属子公司、华夏电通及其下属子公司的产品或业务存在竞争的业务，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则本公司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本人控制的其他企业承诺将以停止生产经营相竞争的业务或产品的方 式，或者将相竞争的业务无偿转让给久其软件的方式，或者将相竞争的业务转让给无关联关系 </w:t>
            </w:r>
            <w:r>
              <w:rPr>
                <w:rFonts w:ascii="宋体" w:hAnsi="宋体" w:cs="宋体" w:eastAsia="宋体" w:hint="default"/>
                <w:spacing w:val="-2"/>
                <w:sz w:val="18"/>
                <w:szCs w:val="18"/>
              </w:rPr>
              <w:t>的第三方的方式避免同业竞争。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本人持有久其软件及其下属子公司、华夏电通及其</w:t>
            </w:r>
          </w:p>
        </w:tc>
        <w:tc>
          <w:tcPr>
            <w:tcW w:w="5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51"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6.85pt;height:17.6pt;mso-position-horizontal-relative:char;mso-position-vertical-relative:line" coordorigin="0,0" coordsize="537,352">
                  <v:group style="position:absolute;left:0;top:0;width:537;height:352" coordorigin="0,0" coordsize="537,352">
                    <v:shape style="position:absolute;left:0;top:0;width:537;height:352" coordorigin="0,0" coordsize="537,352" path="m0,352l536,352,536,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530pt;margin-top:142.220001pt;width:152.25pt;height:93.6pt;mso-position-horizontal-relative:page;mso-position-vertical-relative:page;z-index:-1057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除开展正常业务所需备用金外，</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86"/>
              <w:jc w:val="both"/>
              <w:rPr>
                <w:rFonts w:ascii="宋体" w:hAnsi="宋体" w:cs="宋体" w:eastAsia="宋体" w:hint="default"/>
                <w:sz w:val="18"/>
                <w:szCs w:val="18"/>
              </w:rPr>
            </w:pPr>
            <w:r>
              <w:rPr>
                <w:rFonts w:ascii="宋体" w:hAnsi="宋体" w:cs="宋体" w:eastAsia="宋体" w:hint="default"/>
                <w:sz w:val="18"/>
                <w:szCs w:val="18"/>
              </w:rPr>
              <w:t>下属子公司股权（股份）或者本人在久其软件及其下属子公司、华夏电通及其下属子公司任职 期间，本承诺函持续有效。</w:t>
            </w:r>
            <w:r>
              <w:rPr>
                <w:rFonts w:ascii="Times New Roman" w:hAnsi="Times New Roman" w:cs="Times New Roman" w:eastAsia="Times New Roman" w:hint="default"/>
                <w:sz w:val="18"/>
                <w:szCs w:val="18"/>
              </w:rPr>
              <w:t>4</w:t>
            </w:r>
            <w:r>
              <w:rPr>
                <w:rFonts w:ascii="宋体" w:hAnsi="宋体" w:cs="宋体" w:eastAsia="宋体" w:hint="default"/>
                <w:sz w:val="18"/>
                <w:szCs w:val="18"/>
              </w:rPr>
              <w:t>、如上述承诺被证明是不真实的或未被遵守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 因违反上述承诺而给久其软件造成的全部经济损失</w:t>
            </w:r>
          </w:p>
        </w:tc>
        <w:tc>
          <w:tcPr>
            <w:tcW w:w="59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北京久其科技投 </w:t>
            </w:r>
            <w:r>
              <w:rPr>
                <w:rFonts w:ascii="宋体" w:hAnsi="宋体" w:cs="宋体" w:eastAsia="宋体" w:hint="default"/>
                <w:spacing w:val="-5"/>
                <w:sz w:val="18"/>
                <w:szCs w:val="18"/>
              </w:rPr>
              <w:t>资有限公司、董泰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湘、赵福君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关于规范关联 交易的承诺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本人承诺将尽量避免或减少与久其软件及其子公司、华夏电通及其子公司之间的关联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交易。对于久其软件及其控股子公司、华夏电通及其子公司能够通过市场与第三方之间发生的 交易，将由久其软件及其控股子公司、华夏电通及其子公司独立与第三方进行；对于本公司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本人控制的其他企业与久其软件及其控股子公司、华夏电通及其子公司之间无法避 免的关联交易，均将严格遵守市场化原则，本着平等互利、等价有偿的一般原则，公平合理地 </w:t>
            </w:r>
            <w:r>
              <w:rPr>
                <w:rFonts w:ascii="宋体" w:hAnsi="宋体" w:cs="宋体" w:eastAsia="宋体" w:hint="default"/>
                <w:spacing w:val="-5"/>
                <w:sz w:val="18"/>
                <w:szCs w:val="18"/>
              </w:rPr>
              <w:t>进行。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本人特此承诺，本次交易过程中及交易完成后，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不会以任何方式占用或使用久其软件及其子公司、华夏电通及其子公司的资金、资产或其他资 </w:t>
            </w:r>
            <w:r>
              <w:rPr>
                <w:rFonts w:ascii="宋体" w:hAnsi="宋体" w:cs="宋体" w:eastAsia="宋体" w:hint="default"/>
                <w:spacing w:val="-1"/>
                <w:sz w:val="18"/>
                <w:szCs w:val="18"/>
              </w:rPr>
              <w:t>源，也不会要求久其软件及其子公司、华夏电通及其子公司为本公司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本人控制的</w:t>
            </w:r>
            <w:r>
              <w:rPr>
                <w:rFonts w:ascii="宋体" w:hAnsi="宋体" w:cs="宋体" w:eastAsia="宋体" w:hint="default"/>
                <w:spacing w:val="-79"/>
                <w:sz w:val="18"/>
                <w:szCs w:val="18"/>
              </w:rPr>
              <w:t> </w:t>
            </w:r>
            <w:r>
              <w:rPr>
                <w:rFonts w:ascii="宋体" w:hAnsi="宋体" w:cs="宋体" w:eastAsia="宋体" w:hint="default"/>
                <w:sz w:val="18"/>
                <w:szCs w:val="18"/>
              </w:rPr>
              <w:t>其他企业代垫款项、代偿债务，本公司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本人不会不以任何直接或间接的方式从事损害或可能损 害久其软件及其子公司、华夏电通及其子公司利益的行为。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本人控制的其他企业与久其软件及其子公司、华夏电通及其子公司发生关联交易时， 将严格按照有关法律、法规、规范性文件及久其软件《公司章程》等公司治理制度的有关规定 履行审批程序和信息披露义务，保证不通过关联交易损害久其软件及其子公司、华夏电通及其 子公司及广大中小股东的合法权益。本公司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本人在董事会、或股东大会审议该等关联交易事项 </w:t>
            </w:r>
            <w:r>
              <w:rPr>
                <w:rFonts w:ascii="宋体" w:hAnsi="宋体" w:cs="宋体" w:eastAsia="宋体" w:hint="default"/>
                <w:spacing w:val="-1"/>
                <w:sz w:val="18"/>
                <w:szCs w:val="18"/>
              </w:rPr>
              <w:t>时，主动依法履行回避义务，并在议案通过后方可实施。</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、如果因违反上述承诺导致久其软件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及其子公司、华夏电通及其子公司利益损失的，该等损失由本公司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187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29.1pt;height:93.6pt;mso-position-horizontal-relative:char;mso-position-vertical-relative:line" coordorigin="0,0" coordsize="582,1872">
                  <v:group style="position:absolute;left:0;top:0;width:582;height:1872" coordorigin="0,0" coordsize="582,1872">
                    <v:shape style="position:absolute;left:0;top:0;width:582;height:1872" coordorigin="0,0" coordsize="582,1872" path="m0,1872l582,1872,582,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1650"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北京久其科技投 </w:t>
            </w:r>
            <w:r>
              <w:rPr>
                <w:rFonts w:ascii="宋体" w:hAnsi="宋体" w:cs="宋体" w:eastAsia="宋体" w:hint="default"/>
                <w:spacing w:val="-5"/>
                <w:sz w:val="18"/>
                <w:szCs w:val="18"/>
              </w:rPr>
              <w:t>资有限公司、董泰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湘、赵福君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22"/>
              <w:jc w:val="left"/>
              <w:rPr>
                <w:rFonts w:ascii="宋体" w:hAnsi="宋体" w:cs="宋体" w:eastAsia="宋体" w:hint="default"/>
                <w:sz w:val="18"/>
                <w:szCs w:val="18"/>
              </w:rPr>
            </w:pPr>
            <w:r>
              <w:rPr>
                <w:rFonts w:ascii="宋体" w:hAnsi="宋体" w:cs="宋体" w:eastAsia="宋体" w:hint="default"/>
                <w:sz w:val="18"/>
                <w:szCs w:val="18"/>
              </w:rPr>
              <w:t>自亿起联科技重组项目募集配套资金事项对应的上市公司股票发行完成之日起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4"/>
                <w:sz w:val="18"/>
                <w:szCs w:val="18"/>
              </w:rPr>
              <w:t>个月内，本公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本人不转让或通过二级市场减持本公司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本人已经持有的久其软件的全部股份</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986"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38"/>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sz w:val="18"/>
                <w:szCs w:val="18"/>
              </w:rPr>
              <w:t>承诺以非公开发行股份方式认购的亿起联科技重组项目募集配套资金对应的股票锁定期为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 月</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653.140015pt;margin-top:354.040009pt;width:29.1pt;height:86.85pt;mso-position-horizontal-relative:page;mso-position-vertical-relative:page;z-index:-1057528" coordorigin="13063,7081" coordsize="582,1737">
            <v:group style="position:absolute;left:13063;top:7081;width:582;height:1072" coordorigin="13063,7081" coordsize="582,1072">
              <v:shape style="position:absolute;left:13063;top:7081;width:582;height:1072" coordorigin="13063,7081" coordsize="582,1072" path="m13063,8153l13645,8153,13645,7081,13063,7081,13063,8153xe" filled="true" fillcolor="#ffffff" stroked="false">
                <v:path arrowok="t"/>
                <v:fill type="solid"/>
              </v:shape>
            </v:group>
            <v:group style="position:absolute;left:13086;top:8153;width:537;height:353" coordorigin="13086,8153" coordsize="537,353">
              <v:shape style="position:absolute;left:13086;top:8153;width:537;height:353" coordorigin="13086,8153" coordsize="537,353" path="m13086,8506l13622,8506,13622,8153,13086,8153,13086,8506xe" filled="true" fillcolor="#ffffff" stroked="false">
                <v:path arrowok="t"/>
                <v:fill type="solid"/>
              </v:shape>
            </v:group>
            <v:group style="position:absolute;left:13086;top:8506;width:537;height:312" coordorigin="13086,8506" coordsize="537,312">
              <v:shape style="position:absolute;left:13086;top:8506;width:537;height:312" coordorigin="13086,8506" coordsize="537,312" path="m13086,8818l13622,8818,13622,8506,13086,8506,13086,8818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506"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诺，未有违反 该承诺的情况</w:t>
            </w:r>
          </w:p>
        </w:tc>
      </w:tr>
      <w:tr>
        <w:trPr>
          <w:trHeight w:val="1650"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王新、李勇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23"/>
              <w:jc w:val="both"/>
              <w:rPr>
                <w:rFonts w:ascii="宋体" w:hAnsi="宋体" w:cs="宋体" w:eastAsia="宋体" w:hint="default"/>
                <w:sz w:val="18"/>
                <w:szCs w:val="18"/>
              </w:rPr>
            </w:pPr>
            <w:r>
              <w:rPr>
                <w:rFonts w:ascii="宋体" w:hAnsi="宋体" w:cs="宋体" w:eastAsia="宋体" w:hint="default"/>
                <w:sz w:val="18"/>
                <w:szCs w:val="18"/>
              </w:rPr>
              <w:t>交易对方王新、李勇承诺，上市公司向王新、李勇发行的股份，自本次发行上市之日起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 内不转让。</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个月后，交易对方在本次交易所取得的上市公司定向发行的股份分五期按照交易 协议的约定解除限售</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2898"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王新、李勇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①业绩补偿期内，亿起联科技每年度实现的经审计的合并报表口径下归属于母公司股东的净利 润（以扣除非经常性损益前后孰低者为准）</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年度分别 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年度期间， 若亿起联科技在业绩承诺期任何一个年度未能实现净利润承诺数，则交易对方同意以上市公司 股份及现金对上市公司进行补偿，交易对方首先进行股份补偿，股份不足的部分用现金补偿。 交易对方向上市公司支付的补偿总额不超过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万元。②在业绩承诺期届满时，若期末亿起 联科技的减值额大于交易对方已补偿总额，则交易对方同意除前述补偿外另行向上市公司作出 资产减值补偿。资产减值应补偿股份数量与业绩承诺应补偿股份数量之和不超过交易对方本次 交易实际认购上市公司股份的总量</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348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39"/>
              <w:jc w:val="left"/>
              <w:rPr>
                <w:rFonts w:ascii="宋体" w:hAnsi="宋体" w:cs="宋体" w:eastAsia="宋体" w:hint="default"/>
                <w:sz w:val="18"/>
                <w:szCs w:val="18"/>
              </w:rPr>
            </w:pPr>
            <w:r>
              <w:rPr>
                <w:rFonts w:ascii="宋体" w:hAnsi="宋体" w:cs="宋体" w:eastAsia="宋体" w:hint="default"/>
                <w:sz w:val="18"/>
                <w:szCs w:val="18"/>
              </w:rPr>
              <w:t>北京久其科技投 </w:t>
            </w:r>
            <w:r>
              <w:rPr>
                <w:rFonts w:ascii="宋体" w:hAnsi="宋体" w:cs="宋体" w:eastAsia="宋体" w:hint="default"/>
                <w:spacing w:val="-5"/>
                <w:sz w:val="18"/>
                <w:szCs w:val="18"/>
              </w:rPr>
              <w:t>资有限公司、董泰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湘、赵福君、王新、</w:t>
            </w:r>
            <w:r>
              <w:rPr>
                <w:rFonts w:ascii="宋体" w:hAnsi="宋体" w:cs="宋体" w:eastAsia="宋体" w:hint="default"/>
                <w:spacing w:val="-34"/>
                <w:sz w:val="18"/>
                <w:szCs w:val="18"/>
              </w:rPr>
              <w:t> </w:t>
            </w:r>
            <w:r>
              <w:rPr>
                <w:rFonts w:ascii="宋体" w:hAnsi="宋体" w:cs="宋体" w:eastAsia="宋体" w:hint="default"/>
                <w:sz w:val="18"/>
                <w:szCs w:val="18"/>
              </w:rPr>
              <w:t>李勇</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16"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1"/>
                <w:szCs w:val="11"/>
              </w:rPr>
            </w:pPr>
          </w:p>
          <w:p>
            <w:pPr>
              <w:pStyle w:val="TableParagraph"/>
              <w:spacing w:line="351"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61pt;height:17.6pt;mso-position-horizontal-relative:char;mso-position-vertical-relative:line" coordorigin="0,0" coordsize="1220,352">
                  <v:group style="position:absolute;left:0;top:0;width:1220;height:352" coordorigin="0,0" coordsize="1220,352">
                    <v:shape style="position:absolute;left:0;top:0;width:1220;height:352" coordorigin="0,0" coordsize="1220,352" path="m0,352l1219,352,1219,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tc>
        <w:tc>
          <w:tcPr>
            <w:tcW w:w="7506"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、截至本承诺函签署之日，本人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本公司未在，将来也不会在中国境内外以任何方式直接或间接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从事或参与任何与久其软件及其下属子公司、亿起联科技及其下属子公司相同、相似或在商业 上构成任何竞争的业务及活动，或拥有与久其软件及其下属子公司、亿起联科技及其下属子公 司存在竞争关系的任何经济实体、机构、经济组织的权益，或以其他任何形式取得该经济实体</w:t>
            </w:r>
            <w:r>
              <w:rPr>
                <w:rFonts w:ascii="宋体" w:hAnsi="宋体" w:cs="宋体" w:eastAsia="宋体" w:hint="default"/>
                <w:sz w:val="18"/>
                <w:szCs w:val="18"/>
              </w:rPr>
              <w:t> 机构、经济组织的控制权，或者为该等构成同业竞争关系的经济实体、机构、经济组织以劳务 顾问或咨询等方式提供服务。</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、若发现本人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本公司控制的其他企业在以后任何 时间从事与久其软件及其下属子公司、亿起联科技及其下属子公司的产品或业务存在竞争的业 务，则本人及本人控制的其他企业承诺将以停止生产经营相竞争的业务或产品的方式，或者将 相竞争的业务无偿转让给久其软件的方式，或者将相竞争的业务转让给无关联关系的第三方的 </w:t>
            </w:r>
            <w:r>
              <w:rPr>
                <w:rFonts w:ascii="宋体" w:hAnsi="宋体" w:cs="宋体" w:eastAsia="宋体" w:hint="default"/>
                <w:spacing w:val="-2"/>
                <w:sz w:val="18"/>
                <w:szCs w:val="18"/>
              </w:rPr>
              <w:t>方式避免同业竞争。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本公司持有久其软件及其下属子公司、亿起联科技及其下属子公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司股权或者本人在久其软件及其下属子公司、亿起联科技及其下属子公司任职期间，本承诺函</w:t>
            </w:r>
          </w:p>
        </w:tc>
        <w:tc>
          <w:tcPr>
            <w:tcW w:w="5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6" w:lineRule="exact" w:before="158"/>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42" w:lineRule="exact"/>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150"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566.006042pt;margin-top:286.660004pt;width:116.25pt;height:93.6pt;mso-position-horizontal-relative:page;mso-position-vertical-relative:page;z-index:-1057456" type="#_x0000_t202" filled="false" stroked="false">
            <v:textbox inset="0,0,0,0">
              <w:txbxContent>
                <w:p>
                  <w:pPr>
                    <w:pStyle w:val="BodyText"/>
                    <w:spacing w:line="205" w:lineRule="exact"/>
                    <w:ind w:left="0" w:right="0"/>
                    <w:jc w:val="left"/>
                  </w:pPr>
                  <w:r>
                    <w:rPr/>
                    <w:t>将严格按照有关法律、</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86"/>
              <w:jc w:val="left"/>
              <w:rPr>
                <w:rFonts w:ascii="宋体" w:hAnsi="宋体" w:cs="宋体" w:eastAsia="宋体" w:hint="default"/>
                <w:sz w:val="18"/>
                <w:szCs w:val="18"/>
              </w:rPr>
            </w:pPr>
            <w:r>
              <w:rPr>
                <w:rFonts w:ascii="宋体" w:hAnsi="宋体" w:cs="宋体" w:eastAsia="宋体" w:hint="default"/>
                <w:sz w:val="18"/>
                <w:szCs w:val="18"/>
              </w:rPr>
              <w:t>持续有效。</w:t>
            </w:r>
            <w:r>
              <w:rPr>
                <w:rFonts w:ascii="Times New Roman" w:hAnsi="Times New Roman" w:cs="Times New Roman" w:eastAsia="Times New Roman" w:hint="default"/>
                <w:sz w:val="18"/>
                <w:szCs w:val="18"/>
              </w:rPr>
              <w:t>4</w:t>
            </w:r>
            <w:r>
              <w:rPr>
                <w:rFonts w:ascii="宋体" w:hAnsi="宋体" w:cs="宋体" w:eastAsia="宋体" w:hint="default"/>
                <w:sz w:val="18"/>
                <w:szCs w:val="18"/>
              </w:rPr>
              <w:t>、如上述承诺被证明是不真实的或未被遵守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本公司愿意承担因违反上述承诺 而给久其软件造成的全部经济损失</w:t>
            </w:r>
          </w:p>
        </w:tc>
        <w:tc>
          <w:tcPr>
            <w:tcW w:w="59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39"/>
              <w:jc w:val="left"/>
              <w:rPr>
                <w:rFonts w:ascii="宋体" w:hAnsi="宋体" w:cs="宋体" w:eastAsia="宋体" w:hint="default"/>
                <w:sz w:val="18"/>
                <w:szCs w:val="18"/>
              </w:rPr>
            </w:pPr>
            <w:r>
              <w:rPr>
                <w:rFonts w:ascii="宋体" w:hAnsi="宋体" w:cs="宋体" w:eastAsia="宋体" w:hint="default"/>
                <w:sz w:val="18"/>
                <w:szCs w:val="18"/>
              </w:rPr>
              <w:t>北京久其科技投 </w:t>
            </w:r>
            <w:r>
              <w:rPr>
                <w:rFonts w:ascii="宋体" w:hAnsi="宋体" w:cs="宋体" w:eastAsia="宋体" w:hint="default"/>
                <w:spacing w:val="-5"/>
                <w:sz w:val="18"/>
                <w:szCs w:val="18"/>
              </w:rPr>
              <w:t>资有限公司、董泰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湘、赵福君、王新、</w:t>
            </w:r>
            <w:r>
              <w:rPr>
                <w:rFonts w:ascii="宋体" w:hAnsi="宋体" w:cs="宋体" w:eastAsia="宋体" w:hint="default"/>
                <w:spacing w:val="-34"/>
                <w:sz w:val="18"/>
                <w:szCs w:val="18"/>
              </w:rPr>
              <w:t> </w:t>
            </w:r>
            <w:r>
              <w:rPr>
                <w:rFonts w:ascii="宋体" w:hAnsi="宋体" w:cs="宋体" w:eastAsia="宋体" w:hint="default"/>
                <w:sz w:val="18"/>
                <w:szCs w:val="18"/>
              </w:rPr>
              <w:t>李勇</w:t>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6" w:right="161"/>
              <w:jc w:val="left"/>
              <w:rPr>
                <w:rFonts w:ascii="宋体" w:hAnsi="宋体" w:cs="宋体" w:eastAsia="宋体" w:hint="default"/>
                <w:sz w:val="18"/>
                <w:szCs w:val="18"/>
              </w:rPr>
            </w:pPr>
            <w:r>
              <w:rPr>
                <w:rFonts w:ascii="宋体" w:hAnsi="宋体" w:cs="宋体" w:eastAsia="宋体" w:hint="default"/>
                <w:sz w:val="18"/>
                <w:szCs w:val="18"/>
              </w:rPr>
              <w:t>关于规范关联 交易的承诺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2"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61pt;height:17.650pt;mso-position-horizontal-relative:char;mso-position-vertical-relative:line" coordorigin="0,0" coordsize="1220,353">
                  <v:group style="position:absolute;left:0;top:0;width:1220;height:353" coordorigin="0,0" coordsize="1220,353">
                    <v:shape style="position:absolute;left:0;top:0;width:1220;height:353" coordorigin="0,0" coordsize="1220,353" path="m0,353l1219,353,1219,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本人承诺将尽量避免或减少与久其软件及其子公司、亿起联科技及其子公司之间的关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联交易。对于久其软件及其控股子公司、亿起联科技及其子公司能够通过市场与第三方之间发 生的交易，将由久其软件及其控股子公司、亿起联科技及其子公司独立与第三方进行；对于本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本人控制的其他企业与久其软件及其控股子公司、亿起联科技及其子公司之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间无法避免的关联交易，均将严格遵守市场化原则，本着平等互利、等价有偿的一般原则，公 平合理地进行。</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、本公司特此承诺，本次交易过程中及交易完成后，不会以任何方式占用或使 用久其软件及其子公司、亿起联科技及其子公司的资金、资产或其他资源，也不会要求久其软 件及其子公司、亿起联科技及其子公司为本公司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本人控制的其他企业代垫款项、 代偿债务，本公司不会不以任何直接或间接的方式从事损害或可能损害久其软件及其子公司、 亿起联科技及其子公司利益的行为。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 他企业与久其软件及其子公司、亿起联科技及其子公司发生关联交易时， 法规、规范性文件及久其软件《公司章程》等公司治理制度的有关规定履行审批程序和信息披 露义务，保证不通过关联交易损害久其软件及其子公司、亿起联科技及其子公司及广大中小股 东的合法权益。本公司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本人在股东大会审议该等关联交易事项时，主动依法履行回避义务，并 在议案通过后方可实施。</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、如果因违反上述承诺导致久其软件及其子公司、亿起联科技及其子 公司利益损失的，该等损失由本公司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187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29.1pt;height:93.6pt;mso-position-horizontal-relative:char;mso-position-vertical-relative:line" coordorigin="0,0" coordsize="582,1872">
                  <v:group style="position:absolute;left:0;top:0;width:582;height:1872" coordorigin="0,0" coordsize="582,1872">
                    <v:shape style="position:absolute;left:0;top:0;width:582;height:1872" coordorigin="0,0" coordsize="582,1872" path="m0,1872l582,1872,582,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921"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6" w:right="-13"/>
              <w:jc w:val="both"/>
              <w:rPr>
                <w:rFonts w:ascii="宋体" w:hAnsi="宋体" w:cs="宋体" w:eastAsia="宋体" w:hint="default"/>
                <w:sz w:val="18"/>
                <w:szCs w:val="18"/>
              </w:rPr>
            </w:pPr>
            <w:r>
              <w:rPr>
                <w:rFonts w:ascii="宋体" w:hAnsi="宋体" w:cs="宋体" w:eastAsia="宋体" w:hint="default"/>
                <w:sz w:val="18"/>
                <w:szCs w:val="18"/>
              </w:rPr>
              <w:t>赵福君、施瑞丰、 欧阳曜、邱安超、 </w:t>
            </w:r>
            <w:r>
              <w:rPr>
                <w:rFonts w:ascii="宋体" w:hAnsi="宋体" w:cs="宋体" w:eastAsia="宋体" w:hint="default"/>
                <w:spacing w:val="-5"/>
                <w:sz w:val="18"/>
                <w:szCs w:val="18"/>
              </w:rPr>
              <w:t>栗军、王新、韩凤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岐、王元京、戴金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平、刘文圣、朱晓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钧、王海霞</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关于填补即期 回报措施能够 得到切实履行 的承诺</w:t>
            </w:r>
          </w:p>
        </w:tc>
        <w:tc>
          <w:tcPr>
            <w:tcW w:w="7506" w:type="dxa"/>
            <w:vMerge w:val="restart"/>
            <w:tcBorders>
              <w:top w:val="single" w:sz="4" w:space="0" w:color="000000"/>
              <w:left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、本人承诺不无偿或以不公平条件向其他单位或者个人输送利益，也不采用其他方式损害公司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、本人承诺对本人的职务消费行为进行约束。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、本人承诺不动用公司资产从事与其履 </w:t>
            </w:r>
            <w:r>
              <w:rPr>
                <w:rFonts w:ascii="宋体" w:hAnsi="宋体" w:cs="宋体" w:eastAsia="宋体" w:hint="default"/>
                <w:spacing w:val="-1"/>
                <w:sz w:val="18"/>
                <w:szCs w:val="18"/>
              </w:rPr>
              <w:t>行职责无关的投资、消费活动。</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、本人承诺由董事会或薪酬委员会制定的薪酬制度与公司填补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回报措施的执行情况相挂钩。</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、若公司后续推出公司股权激励政策，本人承诺拟公布的公司股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权激励的行权条件与公司填补回报措施的执行情况相挂钩。</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、本承诺出具日后至公司本次公开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发行可转换公司债券实施完毕前，若中国证监会作出关于填补回报措施及其承诺的其他新的监 管规定的，且上述承诺不能满足中国证监会该等规定时，本人承诺届时将按照中国证监会的最 </w:t>
            </w:r>
            <w:r>
              <w:rPr>
                <w:rFonts w:ascii="宋体" w:hAnsi="宋体" w:cs="宋体" w:eastAsia="宋体" w:hint="default"/>
                <w:spacing w:val="-1"/>
                <w:sz w:val="18"/>
                <w:szCs w:val="18"/>
              </w:rPr>
              <w:t>新规定出具补充承诺。</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、本人承诺切实履行公司制定的有关填补回报措施以及本人对此作出的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任何有关填补回报措施的承诺，若本人违反该等承诺并给公司或者投资者造成损失的，本人愿</w:t>
            </w:r>
          </w:p>
        </w:tc>
        <w:tc>
          <w:tcPr>
            <w:tcW w:w="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1016"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460"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7506"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r>
      <w:tr>
        <w:trPr>
          <w:trHeight w:val="922"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506"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03"/>
        <w:gridCol w:w="1460"/>
        <w:gridCol w:w="1276"/>
        <w:gridCol w:w="7506"/>
        <w:gridCol w:w="592"/>
        <w:gridCol w:w="629"/>
        <w:gridCol w:w="1148"/>
      </w:tblGrid>
      <w:tr>
        <w:trPr>
          <w:trHeight w:val="175" w:hRule="exact"/>
        </w:trPr>
        <w:tc>
          <w:tcPr>
            <w:tcW w:w="1403"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06" w:type="dxa"/>
            <w:tcBorders>
              <w:top w:val="single" w:sz="15" w:space="0" w:color="000000"/>
              <w:left w:val="single" w:sz="4" w:space="0" w:color="000000"/>
              <w:bottom w:val="nil" w:sz="6" w:space="0" w:color="auto"/>
              <w:right w:val="single" w:sz="4" w:space="0" w:color="000000"/>
            </w:tcBorders>
            <w:shd w:val="clear" w:color="auto" w:fill="D2D2D2"/>
          </w:tcPr>
          <w:p>
            <w:pPr/>
          </w:p>
        </w:tc>
        <w:tc>
          <w:tcPr>
            <w:tcW w:w="592"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2"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1403" w:type="dxa"/>
            <w:vMerge w:val="restart"/>
            <w:tcBorders>
              <w:top w:val="single" w:sz="4" w:space="0" w:color="000000"/>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1"/>
              <w:jc w:val="both"/>
              <w:rPr>
                <w:rFonts w:ascii="宋体" w:hAnsi="宋体" w:cs="宋体" w:eastAsia="宋体" w:hint="default"/>
                <w:sz w:val="18"/>
                <w:szCs w:val="18"/>
              </w:rPr>
            </w:pPr>
            <w:r>
              <w:rPr>
                <w:rFonts w:ascii="宋体" w:hAnsi="宋体" w:cs="宋体" w:eastAsia="宋体" w:hint="default"/>
                <w:sz w:val="18"/>
                <w:szCs w:val="18"/>
              </w:rPr>
              <w:t>意依法承担对公司或者投资者的补偿责任。本人若违反上述承诺或拒不履行上述承诺，本人同 意按照中国证监会和深圳证券交易所等证券监管机构按照其制定或发布的有关规定、规则，对 本人作出相关处罚或采取相关管理措施</w:t>
            </w:r>
          </w:p>
        </w:tc>
        <w:tc>
          <w:tcPr>
            <w:tcW w:w="59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北京久其科技投 </w:t>
            </w:r>
            <w:r>
              <w:rPr>
                <w:rFonts w:ascii="宋体" w:hAnsi="宋体" w:cs="宋体" w:eastAsia="宋体" w:hint="default"/>
                <w:spacing w:val="-5"/>
                <w:sz w:val="18"/>
                <w:szCs w:val="18"/>
              </w:rPr>
              <w:t>资有限公司、董泰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湘、赵福君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关于填补即期 回报措施能够 得到切实履行 的承诺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本人不越权干预公司经营管理活动，不侵占公司利益</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1650"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3"/>
              <w:jc w:val="both"/>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将不在中国境内外以任何方式直接或间接从事或参与任何与发行人相同、相似或在商业上构成 任何竞争的业务及活动，或拥有与发行人存在竞争关系的任何经济实体、机构、经济组织的权 益，或以其他任何形式取得该经济实体、机构、经济组织的控制权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1650" w:hRule="exact"/>
        </w:trPr>
        <w:tc>
          <w:tcPr>
            <w:tcW w:w="1403" w:type="dxa"/>
            <w:vMerge/>
            <w:tcBorders>
              <w:left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董泰湘、赵福君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1"/>
              <w:jc w:val="both"/>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将不在中国境内外以任何方式直接或间接从事或参与任何与发行人相同、相似或在商业上构成 任何竞争的业务及活动，或拥有与发行人存在竞争关系的任何经济实体、机构、经济组织的权 益，或以其他任何形式取得该经济实体、机构、经济组织的控制权，或在该经济实体、机构、 经济组织中担任高级管理人员或核心技术人员</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1650"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5"/>
                <w:sz w:val="18"/>
                <w:szCs w:val="18"/>
              </w:rPr>
              <w:t>赵福君、蒋硕、刘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文圣、欧阳曜、邱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安超、施瑞丰、王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海霞、王劲岩、曾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超、朱晓钧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1"/>
              <w:jc w:val="left"/>
              <w:rPr>
                <w:rFonts w:ascii="宋体" w:hAnsi="宋体" w:cs="宋体" w:eastAsia="宋体" w:hint="default"/>
                <w:sz w:val="18"/>
                <w:szCs w:val="18"/>
              </w:rPr>
            </w:pPr>
            <w:r>
              <w:rPr>
                <w:rFonts w:ascii="宋体" w:hAnsi="宋体" w:cs="宋体" w:eastAsia="宋体" w:hint="default"/>
                <w:sz w:val="18"/>
                <w:szCs w:val="18"/>
              </w:rPr>
              <w:t>关于避免同业 竞争的承诺</w:t>
            </w:r>
          </w:p>
        </w:tc>
        <w:tc>
          <w:tcPr>
            <w:tcW w:w="7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93"/>
              <w:jc w:val="left"/>
              <w:rPr>
                <w:rFonts w:ascii="宋体" w:hAnsi="宋体" w:cs="宋体" w:eastAsia="宋体" w:hint="default"/>
                <w:sz w:val="18"/>
                <w:szCs w:val="18"/>
              </w:rPr>
            </w:pPr>
            <w:r>
              <w:rPr>
                <w:rFonts w:ascii="宋体" w:hAnsi="宋体" w:cs="宋体" w:eastAsia="宋体" w:hint="default"/>
                <w:sz w:val="18"/>
                <w:szCs w:val="18"/>
              </w:rPr>
              <w:t>本人及近亲属在本人任职期间及离职后半年内，不从事自营或为他人经营与公司同类的业务， 也不从事与公司利益发生冲突的对外投资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54"/>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截至报告期 末，承诺方严 格遵守该承 诺，未有违反 该承诺的情况</w:t>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1261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7"/>
              <w:jc w:val="center"/>
              <w:rPr>
                <w:rFonts w:ascii="宋体" w:hAnsi="宋体" w:cs="宋体" w:eastAsia="宋体" w:hint="default"/>
                <w:sz w:val="18"/>
                <w:szCs w:val="18"/>
              </w:rPr>
            </w:pPr>
            <w:r>
              <w:rPr>
                <w:rFonts w:ascii="宋体" w:hAnsi="宋体" w:cs="宋体" w:eastAsia="宋体" w:hint="default"/>
                <w:sz w:val="18"/>
                <w:szCs w:val="18"/>
              </w:rPr>
              <w:t>如承诺超期未履</w:t>
            </w:r>
          </w:p>
        </w:tc>
        <w:tc>
          <w:tcPr>
            <w:tcW w:w="1261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380"/>
        <w:gridCol w:w="1472"/>
        <w:gridCol w:w="1276"/>
        <w:gridCol w:w="7518"/>
        <w:gridCol w:w="580"/>
        <w:gridCol w:w="629"/>
        <w:gridCol w:w="1148"/>
      </w:tblGrid>
      <w:tr>
        <w:trPr>
          <w:trHeight w:val="175" w:hRule="exact"/>
        </w:trPr>
        <w:tc>
          <w:tcPr>
            <w:tcW w:w="138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472"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15" w:space="0" w:color="000000"/>
              <w:left w:val="single" w:sz="4" w:space="0" w:color="000000"/>
              <w:bottom w:val="nil" w:sz="6" w:space="0" w:color="auto"/>
              <w:right w:val="single" w:sz="4" w:space="0" w:color="000000"/>
            </w:tcBorders>
            <w:shd w:val="clear" w:color="auto" w:fill="D2D2D2"/>
          </w:tcPr>
          <w:p>
            <w:pPr/>
          </w:p>
        </w:tc>
        <w:tc>
          <w:tcPr>
            <w:tcW w:w="7518" w:type="dxa"/>
            <w:tcBorders>
              <w:top w:val="single" w:sz="15" w:space="0" w:color="000000"/>
              <w:left w:val="single" w:sz="4" w:space="0" w:color="000000"/>
              <w:bottom w:val="nil" w:sz="6" w:space="0" w:color="auto"/>
              <w:right w:val="single" w:sz="4" w:space="0" w:color="000000"/>
            </w:tcBorders>
            <w:shd w:val="clear" w:color="auto" w:fill="D2D2D2"/>
          </w:tcPr>
          <w:p>
            <w:pPr/>
          </w:p>
        </w:tc>
        <w:tc>
          <w:tcPr>
            <w:tcW w:w="580"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98" w:right="10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29" w:type="dxa"/>
            <w:vMerge w:val="restart"/>
            <w:tcBorders>
              <w:top w:val="single" w:sz="15" w:space="0" w:color="000000"/>
              <w:left w:val="single" w:sz="4" w:space="0" w:color="000000"/>
              <w:right w:val="single" w:sz="4" w:space="0" w:color="000000"/>
            </w:tcBorders>
            <w:shd w:val="clear" w:color="auto" w:fill="D2D2D2"/>
          </w:tcPr>
          <w:p>
            <w:pPr>
              <w:pStyle w:val="TableParagraph"/>
              <w:spacing w:line="319" w:lineRule="auto" w:before="51"/>
              <w:ind w:left="218"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14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3" w:hRule="exact"/>
        </w:trPr>
        <w:tc>
          <w:tcPr>
            <w:tcW w:w="13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80"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r>
      <w:tr>
        <w:trPr>
          <w:trHeight w:val="161"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80"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r>
      <w:tr>
        <w:trPr>
          <w:trHeight w:val="1610"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97"/>
              <w:jc w:val="both"/>
              <w:rPr>
                <w:rFonts w:ascii="宋体" w:hAnsi="宋体" w:cs="宋体" w:eastAsia="宋体" w:hint="default"/>
                <w:sz w:val="18"/>
                <w:szCs w:val="18"/>
              </w:rPr>
            </w:pPr>
            <w:r>
              <w:rPr>
                <w:rFonts w:ascii="宋体" w:hAnsi="宋体" w:cs="宋体" w:eastAsia="宋体" w:hint="default"/>
                <w:sz w:val="18"/>
                <w:szCs w:val="18"/>
              </w:rPr>
              <w:t>行完毕的，应当 详细说明未完成 履行的具体原因 及下一步的工作 计划</w:t>
            </w:r>
          </w:p>
        </w:tc>
        <w:tc>
          <w:tcPr>
            <w:tcW w:w="12623" w:type="dxa"/>
            <w:gridSpan w:val="6"/>
            <w:tcBorders>
              <w:top w:val="single" w:sz="4" w:space="0" w:color="000000"/>
              <w:left w:val="single" w:sz="13" w:space="0" w:color="D2D2D2"/>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3"/>
        <w:spacing w:line="240" w:lineRule="auto" w:before="35"/>
        <w:ind w:left="140"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446"/>
        <w:gridCol w:w="850"/>
        <w:gridCol w:w="994"/>
        <w:gridCol w:w="1134"/>
        <w:gridCol w:w="1134"/>
        <w:gridCol w:w="5103"/>
        <w:gridCol w:w="850"/>
        <w:gridCol w:w="2505"/>
      </w:tblGrid>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7" w:right="87" w:hanging="270"/>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6"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27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8,365.61</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亿起联科技旗下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PandaMobo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海外业务积极推进业务转型及海外 大数据数据监控平台建设，以配合集团整体发展战略、提升业务 </w:t>
            </w:r>
            <w:r>
              <w:rPr>
                <w:rFonts w:ascii="宋体" w:hAnsi="宋体" w:cs="宋体" w:eastAsia="宋体" w:hint="default"/>
                <w:spacing w:val="-5"/>
                <w:sz w:val="18"/>
                <w:szCs w:val="18"/>
              </w:rPr>
              <w:t>可持续发展能力，同时减轻年初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Facebook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暂停工具类出海宣传的 政策调整影响。在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PandaMobo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转型成效显著，但由于公 </w:t>
            </w:r>
            <w:r>
              <w:rPr>
                <w:rFonts w:ascii="宋体" w:hAnsi="宋体" w:cs="宋体" w:eastAsia="宋体" w:hint="default"/>
                <w:spacing w:val="-5"/>
                <w:sz w:val="18"/>
                <w:szCs w:val="18"/>
              </w:rPr>
              <w:t>司转型与调整需要一定时间，年初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Facebook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政策调整对公司业绩 </w:t>
            </w:r>
            <w:r>
              <w:rPr>
                <w:rFonts w:ascii="宋体" w:hAnsi="宋体" w:cs="宋体" w:eastAsia="宋体" w:hint="default"/>
                <w:spacing w:val="-3"/>
                <w:sz w:val="18"/>
                <w:szCs w:val="18"/>
              </w:rPr>
              <w:t>影响并未能完全消除，致使公司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年未达成业绩承诺。相关交</w:t>
            </w:r>
            <w:r>
              <w:rPr>
                <w:rFonts w:ascii="宋体" w:hAnsi="宋体" w:cs="宋体" w:eastAsia="宋体" w:hint="default"/>
                <w:sz w:val="18"/>
                <w:szCs w:val="18"/>
              </w:rPr>
              <w:t> 易对手方将根据交易协议履行有关业绩补偿承诺义务。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4" w:lineRule="auto"/>
              <w:ind w:left="23"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《关于重大资产重组相关方承 </w:t>
            </w:r>
            <w:r>
              <w:rPr>
                <w:rFonts w:ascii="宋体" w:hAnsi="宋体" w:cs="宋体" w:eastAsia="宋体" w:hint="default"/>
                <w:spacing w:val="-8"/>
                <w:sz w:val="18"/>
                <w:szCs w:val="18"/>
              </w:rPr>
              <w:t>诺事项的公告》（公告编号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2015-008</w:t>
            </w:r>
            <w:r>
              <w:rPr>
                <w:rFonts w:ascii="宋体" w:hAnsi="宋体" w:cs="宋体" w:eastAsia="宋体" w:hint="default"/>
                <w:sz w:val="18"/>
                <w:szCs w:val="18"/>
              </w:rPr>
              <w:t>）披露于巨潮资讯网 </w:t>
            </w:r>
            <w:hyperlink r:id="rId13">
              <w:r>
                <w:rPr>
                  <w:rFonts w:ascii="Times New Roman" w:hAnsi="Times New Roman" w:cs="Times New Roman" w:eastAsia="Times New Roman" w:hint="default"/>
                  <w:sz w:val="18"/>
                  <w:szCs w:val="18"/>
                </w:rPr>
                <w:t>www.cninfo.com.cn</w:t>
              </w:r>
            </w:hyperlink>
          </w:p>
        </w:tc>
      </w:tr>
      <w:tr>
        <w:trPr>
          <w:trHeight w:val="1338"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华夏电通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8,019.36</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2"/>
              <w:ind w:left="23"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《关于重大资产重组相关方承 </w:t>
            </w:r>
            <w:r>
              <w:rPr>
                <w:rFonts w:ascii="宋体" w:hAnsi="宋体" w:cs="宋体" w:eastAsia="宋体" w:hint="default"/>
                <w:spacing w:val="-8"/>
                <w:sz w:val="18"/>
                <w:szCs w:val="18"/>
              </w:rPr>
              <w:t>诺事项的公告》（公告编号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2015-117</w:t>
            </w:r>
            <w:r>
              <w:rPr>
                <w:rFonts w:ascii="宋体" w:hAnsi="宋体" w:cs="宋体" w:eastAsia="宋体" w:hint="default"/>
                <w:sz w:val="18"/>
                <w:szCs w:val="18"/>
              </w:rPr>
              <w:t>）披露于巨潮资讯网 </w:t>
            </w:r>
            <w:hyperlink r:id="rId13">
              <w:r>
                <w:rPr>
                  <w:rFonts w:ascii="Times New Roman" w:hAnsi="Times New Roman" w:cs="Times New Roman" w:eastAsia="Times New Roman" w:hint="default"/>
                  <w:sz w:val="18"/>
                  <w:szCs w:val="18"/>
                </w:rPr>
                <w:t>www.cninfo.com.cn</w:t>
              </w:r>
            </w:hyperlink>
          </w:p>
        </w:tc>
      </w:tr>
      <w:tr>
        <w:trPr>
          <w:trHeight w:val="986"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瑞意恒动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1,950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2,185.06</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4"/>
              <w:jc w:val="left"/>
              <w:rPr>
                <w:rFonts w:ascii="宋体" w:hAnsi="宋体" w:cs="宋体" w:eastAsia="宋体" w:hint="default"/>
                <w:sz w:val="18"/>
                <w:szCs w:val="18"/>
              </w:rPr>
            </w:pPr>
            <w:r>
              <w:rPr>
                <w:rFonts w:ascii="宋体" w:hAnsi="宋体" w:cs="宋体" w:eastAsia="宋体" w:hint="default"/>
                <w:sz w:val="18"/>
                <w:szCs w:val="18"/>
              </w:rPr>
              <w:t>《关于以现金方式购买北京瑞 意恒动科技有限公司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宋体" w:hAnsi="宋体" w:cs="宋体" w:eastAsia="宋体" w:hint="default"/>
                <w:spacing w:val="-7"/>
                <w:sz w:val="18"/>
                <w:szCs w:val="18"/>
              </w:rPr>
              <w:t>并对其增资的公告》（公告编号</w:t>
            </w:r>
          </w:p>
        </w:tc>
      </w:tr>
    </w:tbl>
    <w:p>
      <w:pPr>
        <w:spacing w:after="0" w:line="309"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46"/>
        <w:gridCol w:w="850"/>
        <w:gridCol w:w="994"/>
        <w:gridCol w:w="1134"/>
        <w:gridCol w:w="1134"/>
        <w:gridCol w:w="5103"/>
        <w:gridCol w:w="850"/>
        <w:gridCol w:w="2505"/>
      </w:tblGrid>
      <w:tr>
        <w:trPr>
          <w:trHeight w:val="729" w:hRule="exact"/>
        </w:trPr>
        <w:tc>
          <w:tcPr>
            <w:tcW w:w="14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7" w:right="87" w:hanging="270"/>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51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6"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5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674" w:hRule="exact"/>
        </w:trPr>
        <w:tc>
          <w:tcPr>
            <w:tcW w:w="144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0"/>
              <w:ind w:left="23" w:right="15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2016-042</w:t>
            </w:r>
            <w:r>
              <w:rPr>
                <w:rFonts w:ascii="宋体" w:hAnsi="宋体" w:cs="宋体" w:eastAsia="宋体" w:hint="default"/>
                <w:sz w:val="18"/>
                <w:szCs w:val="18"/>
              </w:rPr>
              <w:t>）披露于巨潮资讯网 </w:t>
            </w:r>
            <w:hyperlink r:id="rId13">
              <w:r>
                <w:rPr>
                  <w:rFonts w:ascii="Times New Roman" w:hAnsi="Times New Roman" w:cs="Times New Roman" w:eastAsia="Times New Roman" w:hint="default"/>
                  <w:sz w:val="18"/>
                  <w:szCs w:val="18"/>
                </w:rPr>
                <w:t>www.cninfo.com.cn</w:t>
              </w:r>
            </w:hyperlink>
          </w:p>
        </w:tc>
      </w:tr>
      <w:tr>
        <w:trPr>
          <w:trHeight w:val="1650"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上海移通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10,400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10,115.12</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2" w:right="20"/>
              <w:jc w:val="left"/>
              <w:rPr>
                <w:rFonts w:ascii="宋体" w:hAnsi="宋体" w:cs="宋体" w:eastAsia="宋体" w:hint="default"/>
                <w:sz w:val="18"/>
                <w:szCs w:val="18"/>
              </w:rPr>
            </w:pPr>
            <w:r>
              <w:rPr>
                <w:rFonts w:ascii="宋体" w:hAnsi="宋体" w:cs="宋体" w:eastAsia="宋体" w:hint="default"/>
                <w:sz w:val="18"/>
                <w:szCs w:val="18"/>
              </w:rPr>
              <w:t>上海移通因加大研发投入力度，导致报告期成本费用增幅较大， 未达成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年度业绩承诺目标。但根据交易各方签订的收购协 </w:t>
            </w:r>
            <w:r>
              <w:rPr>
                <w:rFonts w:ascii="宋体" w:hAnsi="宋体" w:cs="宋体" w:eastAsia="宋体" w:hint="default"/>
                <w:spacing w:val="-7"/>
                <w:sz w:val="18"/>
                <w:szCs w:val="18"/>
              </w:rPr>
              <w:t>议，上海移通</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年度累计实现的扣除非经常性损益后净 利润高于累计承诺金额，因此业绩承诺方无需实施业绩补偿。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《关于现金收购上海移通网络 </w:t>
            </w:r>
            <w:r>
              <w:rPr>
                <w:rFonts w:ascii="宋体" w:hAnsi="宋体" w:cs="宋体" w:eastAsia="宋体" w:hint="default"/>
                <w:spacing w:val="-6"/>
                <w:sz w:val="18"/>
                <w:szCs w:val="18"/>
              </w:rPr>
              <w:t>有限公司、上海恒瑞网络信息有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限公司暨关联交易的公告》（公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2017-006</w:t>
            </w:r>
            <w:r>
              <w:rPr>
                <w:rFonts w:ascii="宋体" w:hAnsi="宋体" w:cs="宋体" w:eastAsia="宋体" w:hint="default"/>
                <w:spacing w:val="-6"/>
                <w:sz w:val="18"/>
                <w:szCs w:val="18"/>
              </w:rPr>
              <w:t>）披露于巨潮资</w:t>
            </w:r>
            <w:r>
              <w:rPr>
                <w:rFonts w:ascii="宋体" w:hAnsi="宋体" w:cs="宋体" w:eastAsia="宋体" w:hint="default"/>
                <w:sz w:val="18"/>
                <w:szCs w:val="18"/>
              </w:rPr>
              <w:t> 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bl>
    <w:p>
      <w:pPr>
        <w:pStyle w:val="BodyText"/>
        <w:spacing w:line="240" w:lineRule="auto" w:before="51"/>
        <w:ind w:left="140" w:right="0"/>
        <w:jc w:val="left"/>
      </w:pPr>
      <w:r>
        <w:rPr/>
        <w:t>公司股东、交易对手方在报告年度经营业绩做出的承诺情况</w:t>
      </w:r>
    </w:p>
    <w:p>
      <w:pPr>
        <w:pStyle w:val="BodyText"/>
        <w:spacing w:line="338" w:lineRule="auto" w:before="117"/>
        <w:ind w:left="140" w:right="7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关于交易对手方对上述标的公司就</w:t>
      </w:r>
      <w:r>
        <w:rPr>
          <w:rFonts w:ascii="Times New Roman" w:hAnsi="Times New Roman" w:cs="Times New Roman" w:eastAsia="Times New Roman" w:hint="default"/>
        </w:rPr>
        <w:t>2017</w:t>
      </w:r>
      <w:r>
        <w:rPr/>
        <w:t>年度经营业绩所做承诺详见本节</w:t>
      </w:r>
      <w:r>
        <w:rPr>
          <w:rFonts w:ascii="Times New Roman" w:hAnsi="Times New Roman" w:cs="Times New Roman" w:eastAsia="Times New Roman" w:hint="default"/>
        </w:rPr>
        <w:t>“</w:t>
      </w:r>
      <w:r>
        <w:rPr/>
        <w:t>三、承诺事项履行情况</w:t>
      </w:r>
      <w:r>
        <w:rPr>
          <w:rFonts w:ascii="Times New Roman" w:hAnsi="Times New Roman" w:cs="Times New Roman" w:eastAsia="Times New Roman" w:hint="default"/>
        </w:rPr>
        <w:t>”</w:t>
      </w:r>
      <w:r>
        <w:rPr/>
        <w:t>。</w:t>
      </w:r>
    </w:p>
    <w:p>
      <w:pPr>
        <w:spacing w:after="0" w:line="338" w:lineRule="auto"/>
        <w:jc w:val="left"/>
        <w:sectPr>
          <w:pgSz w:w="16840" w:h="11910" w:orient="landscape"/>
          <w:pgMar w:header="867" w:footer="979" w:top="1060" w:bottom="1160" w:left="1300" w:right="0"/>
        </w:sectPr>
      </w:pPr>
    </w:p>
    <w:p>
      <w:pPr>
        <w:spacing w:line="240" w:lineRule="auto" w:before="9"/>
        <w:rPr>
          <w:rFonts w:ascii="宋体" w:hAnsi="宋体" w:cs="宋体" w:eastAsia="宋体" w:hint="default"/>
          <w:sz w:val="19"/>
          <w:szCs w:val="19"/>
        </w:rPr>
      </w:pPr>
    </w:p>
    <w:p>
      <w:pPr>
        <w:pStyle w:val="Heading2"/>
        <w:spacing w:line="240" w:lineRule="auto" w:before="26"/>
        <w:ind w:right="983"/>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983"/>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83"/>
        <w:jc w:val="left"/>
        <w:rPr>
          <w:rFonts w:ascii="Times New Roman" w:hAnsi="Times New Roman" w:cs="Times New Roman" w:eastAsia="Times New Roman" w:hint="default"/>
        </w:rPr>
      </w:pPr>
      <w:r>
        <w:rPr/>
        <w:t>详见</w:t>
      </w:r>
      <w:r>
        <w:rPr>
          <w:rFonts w:ascii="Times New Roman" w:hAnsi="Times New Roman" w:cs="Times New Roman" w:eastAsia="Times New Roman" w:hint="default"/>
        </w:rPr>
        <w:t>“</w:t>
      </w:r>
      <w:r>
        <w:rPr/>
        <w:t>第十一节 财务报表 五、重要会计政策及会计估计</w:t>
      </w:r>
      <w:r>
        <w:rPr>
          <w:spacing w:val="-57"/>
        </w:rPr>
        <w:t> </w:t>
      </w:r>
      <w:r>
        <w:rPr>
          <w:rFonts w:ascii="Times New Roman" w:hAnsi="Times New Roman" w:cs="Times New Roman" w:eastAsia="Times New Roman" w:hint="default"/>
        </w:rPr>
        <w:t>30</w:t>
      </w:r>
      <w:r>
        <w:rPr/>
        <w:t>、重要会计政策和会计估计变更</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2"/>
        <w:spacing w:line="240" w:lineRule="auto" w:before="106"/>
        <w:ind w:right="983"/>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983"/>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、经公司</w:t>
      </w:r>
      <w:r>
        <w:rPr>
          <w:rFonts w:ascii="Times New Roman" w:hAnsi="Times New Roman" w:cs="Times New Roman" w:eastAsia="Times New Roman" w:hint="default"/>
        </w:rPr>
        <w:t>2017</w:t>
      </w:r>
      <w:r>
        <w:rPr/>
        <w:t>年第一次临时股东大会审议通过，公司与公司控股股东久其科技以现金支付方式作价</w:t>
      </w:r>
      <w:r>
        <w:rPr>
          <w:rFonts w:ascii="Times New Roman" w:hAnsi="Times New Roman" w:cs="Times New Roman" w:eastAsia="Times New Roman" w:hint="default"/>
        </w:rPr>
        <w:t>14.4</w:t>
      </w:r>
      <w:r>
        <w:rPr/>
        <w:t>亿元分别受让上海</w:t>
      </w:r>
      <w:r>
        <w:rPr>
          <w:spacing w:val="-45"/>
        </w:rPr>
        <w:t> </w:t>
      </w:r>
      <w:r>
        <w:rPr>
          <w:spacing w:val="-45"/>
        </w:rPr>
      </w:r>
      <w:r>
        <w:rPr>
          <w:spacing w:val="-1"/>
        </w:rPr>
        <w:t>移通</w:t>
      </w:r>
      <w:r>
        <w:rPr>
          <w:rFonts w:ascii="Times New Roman" w:hAnsi="Times New Roman" w:cs="Times New Roman" w:eastAsia="Times New Roman" w:hint="default"/>
          <w:spacing w:val="-1"/>
        </w:rPr>
        <w:t>51%</w:t>
      </w:r>
      <w:r>
        <w:rPr>
          <w:spacing w:val="-1"/>
        </w:rPr>
        <w:t>股权和</w:t>
      </w:r>
      <w:r>
        <w:rPr>
          <w:rFonts w:ascii="Times New Roman" w:hAnsi="Times New Roman" w:cs="Times New Roman" w:eastAsia="Times New Roman" w:hint="default"/>
          <w:spacing w:val="-1"/>
        </w:rPr>
        <w:t>49%</w:t>
      </w:r>
      <w:r>
        <w:rPr>
          <w:spacing w:val="-1"/>
        </w:rPr>
        <w:t>股权，该次交易已于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日完成资产过户手续，上海移通已成为公司控股子公司，并于报告期</w:t>
      </w:r>
      <w:r>
        <w:rPr>
          <w:rFonts w:ascii="Times New Roman" w:hAnsi="Times New Roman" w:cs="Times New Roman" w:eastAsia="Times New Roman" w:hint="default"/>
          <w:spacing w:val="-1"/>
        </w:rPr>
        <w:t>4</w:t>
      </w:r>
    </w:p>
    <w:p>
      <w:pPr>
        <w:pStyle w:val="BodyText"/>
        <w:spacing w:line="300" w:lineRule="auto"/>
        <w:ind w:left="154" w:right="983"/>
        <w:jc w:val="left"/>
      </w:pPr>
      <w:r>
        <w:rPr/>
        <w:t>月正式纳入公司合并范围。同时，上海移通以现金支付方式作价</w:t>
      </w:r>
      <w:r>
        <w:rPr>
          <w:rFonts w:ascii="Times New Roman" w:hAnsi="Times New Roman" w:cs="Times New Roman" w:eastAsia="Times New Roman" w:hint="default"/>
        </w:rPr>
        <w:t>1,000</w:t>
      </w:r>
      <w:r>
        <w:rPr/>
        <w:t>万元受让上海恒瑞</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日已完成</w:t>
      </w:r>
      <w:r>
        <w:rPr>
          <w:spacing w:val="-18"/>
        </w:rPr>
        <w:t> </w:t>
      </w:r>
      <w:r>
        <w:rPr>
          <w:spacing w:val="-18"/>
        </w:rPr>
      </w:r>
      <w:r>
        <w:rPr>
          <w:spacing w:val="11"/>
        </w:rPr>
        <w:t>资产过户手续，上海恒瑞成为上海移通的全资子公司。具体情况详见公司于</w:t>
      </w:r>
      <w:r>
        <w:rPr>
          <w:spacing w:val="-53"/>
        </w:rPr>
        <w:t> </w:t>
      </w:r>
      <w:r>
        <w:rPr>
          <w:rFonts w:ascii="Times New Roman" w:hAnsi="Times New Roman" w:cs="Times New Roman" w:eastAsia="Times New Roman" w:hint="default"/>
          <w:spacing w:val="9"/>
        </w:rPr>
        <w:t>2017</w:t>
      </w:r>
      <w:r>
        <w:rPr>
          <w:spacing w:val="9"/>
        </w:rPr>
        <w:t>年</w:t>
      </w:r>
      <w:r>
        <w:rPr>
          <w:rFonts w:ascii="Times New Roman" w:hAnsi="Times New Roman" w:cs="Times New Roman" w:eastAsia="Times New Roman" w:hint="default"/>
          <w:spacing w:val="9"/>
        </w:rPr>
        <w:t>1</w:t>
      </w:r>
      <w:r>
        <w:rPr>
          <w:spacing w:val="9"/>
        </w:rPr>
        <w:t>月</w:t>
      </w:r>
      <w:r>
        <w:rPr>
          <w:rFonts w:ascii="Times New Roman" w:hAnsi="Times New Roman" w:cs="Times New Roman" w:eastAsia="Times New Roman" w:hint="default"/>
          <w:spacing w:val="9"/>
        </w:rPr>
        <w:t>21</w:t>
      </w:r>
      <w:r>
        <w:rPr>
          <w:spacing w:val="9"/>
        </w:rPr>
        <w:t>日和</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17</w:t>
      </w:r>
      <w:r>
        <w:rPr>
          <w:spacing w:val="9"/>
        </w:rPr>
        <w:t>日在巨潮资讯网</w:t>
      </w:r>
    </w:p>
    <w:p>
      <w:pPr>
        <w:pStyle w:val="BodyText"/>
        <w:spacing w:line="300" w:lineRule="auto" w:before="13"/>
        <w:ind w:right="1098"/>
        <w:jc w:val="left"/>
      </w:pPr>
      <w:r>
        <w:rPr/>
        <w:t>（</w:t>
      </w:r>
      <w:hyperlink r:id="rId13">
        <w:r>
          <w:rPr>
            <w:rFonts w:ascii="Times New Roman" w:hAnsi="Times New Roman" w:cs="Times New Roman" w:eastAsia="Times New Roman" w:hint="default"/>
          </w:rPr>
          <w:t>www.cninfo.com.cn</w:t>
        </w:r>
      </w:hyperlink>
      <w:r>
        <w:rPr/>
        <w:t>）上披露的相关公告。</w:t>
      </w:r>
      <w:r>
        <w:rPr>
          <w:w w:val="99"/>
        </w:rPr>
        <w:t> </w:t>
      </w:r>
      <w:r>
        <w:rPr>
          <w:rFonts w:ascii="Times New Roman" w:hAnsi="Times New Roman" w:cs="Times New Roman" w:eastAsia="Times New Roman" w:hint="default"/>
        </w:rPr>
        <w:t>2</w:t>
      </w:r>
      <w:r>
        <w:rPr/>
        <w:t>、为了深化公司业务在建筑施工领域的发展，经公司第六届董事会第三次（临时）会议审议通过，公司与中铁建资产管理</w:t>
      </w:r>
      <w:r>
        <w:rPr>
          <w:spacing w:val="-83"/>
        </w:rPr>
        <w:t> </w:t>
      </w:r>
      <w:r>
        <w:rPr>
          <w:spacing w:val="-83"/>
        </w:rPr>
      </w:r>
      <w:r>
        <w:rPr/>
        <w:t>有限公司（系中国铁建股份有限公司全资子公司）共同出资</w:t>
      </w:r>
      <w:r>
        <w:rPr>
          <w:rFonts w:ascii="Times New Roman" w:hAnsi="Times New Roman" w:cs="Times New Roman" w:eastAsia="Times New Roman" w:hint="default"/>
        </w:rPr>
        <w:t>3,000</w:t>
      </w:r>
      <w:r>
        <w:rPr/>
        <w:t>万元设立久其金建，其中公司出资额为</w:t>
      </w:r>
      <w:r>
        <w:rPr>
          <w:rFonts w:ascii="Times New Roman" w:hAnsi="Times New Roman" w:cs="Times New Roman" w:eastAsia="Times New Roman" w:hint="default"/>
        </w:rPr>
        <w:t>2,250</w:t>
      </w:r>
      <w:r>
        <w:rPr/>
        <w:t>万元，持股占</w:t>
      </w:r>
      <w:r>
        <w:rPr>
          <w:spacing w:val="-84"/>
        </w:rPr>
        <w:t> </w:t>
      </w:r>
      <w:r>
        <w:rPr>
          <w:spacing w:val="-1"/>
        </w:rPr>
        <w:t>比</w:t>
      </w:r>
      <w:r>
        <w:rPr>
          <w:rFonts w:ascii="Times New Roman" w:hAnsi="Times New Roman" w:cs="Times New Roman" w:eastAsia="Times New Roman" w:hint="default"/>
          <w:spacing w:val="-1"/>
        </w:rPr>
        <w:t>75%</w:t>
      </w:r>
      <w:r>
        <w:rPr>
          <w:spacing w:val="-1"/>
        </w:rPr>
        <w:t>，中铁建资产管理有限公司出资额为</w:t>
      </w:r>
      <w:r>
        <w:rPr>
          <w:rFonts w:ascii="Times New Roman" w:hAnsi="Times New Roman" w:cs="Times New Roman" w:eastAsia="Times New Roman" w:hint="default"/>
          <w:spacing w:val="-1"/>
        </w:rPr>
        <w:t>750</w:t>
      </w:r>
      <w:r>
        <w:rPr>
          <w:spacing w:val="-1"/>
        </w:rPr>
        <w:t>万元，持股占比</w:t>
      </w:r>
      <w:r>
        <w:rPr>
          <w:rFonts w:ascii="Times New Roman" w:hAnsi="Times New Roman" w:cs="Times New Roman" w:eastAsia="Times New Roman" w:hint="default"/>
          <w:spacing w:val="-1"/>
        </w:rPr>
        <w:t>25%</w:t>
      </w:r>
      <w:r>
        <w:rPr>
          <w:spacing w:val="-1"/>
        </w:rPr>
        <w:t>。久其金建的工商设立登记手续已于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日办理</w:t>
      </w:r>
      <w:r>
        <w:rPr>
          <w:spacing w:val="-54"/>
        </w:rPr>
        <w:t> </w:t>
      </w:r>
      <w:r>
        <w:rPr/>
        <w:t>完成。具体情况详见公司于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日和</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日在巨潮资讯网（</w:t>
      </w:r>
      <w:hyperlink r:id="rId13">
        <w:r>
          <w:rPr>
            <w:rFonts w:ascii="Times New Roman" w:hAnsi="Times New Roman" w:cs="Times New Roman" w:eastAsia="Times New Roman" w:hint="default"/>
          </w:rPr>
          <w:t>www.cninfo.com.cn</w:t>
        </w:r>
      </w:hyperlink>
      <w:r>
        <w:rPr/>
        <w:t>）上披露的相关公告。</w:t>
      </w:r>
      <w:r>
        <w:rPr>
          <w:w w:val="99"/>
        </w:rPr>
        <w:t> </w:t>
      </w:r>
      <w:r>
        <w:rPr>
          <w:rFonts w:ascii="Times New Roman" w:hAnsi="Times New Roman" w:cs="Times New Roman" w:eastAsia="Times New Roman" w:hint="default"/>
          <w:spacing w:val="-4"/>
        </w:rPr>
        <w:t>3</w:t>
      </w:r>
      <w:r>
        <w:rPr>
          <w:spacing w:val="-4"/>
        </w:rPr>
        <w:t>、经公司第六届董事会第五次（临时）会议审议通过，公司出资</w:t>
      </w:r>
      <w:r>
        <w:rPr>
          <w:rFonts w:ascii="Times New Roman" w:hAnsi="Times New Roman" w:cs="Times New Roman" w:eastAsia="Times New Roman" w:hint="default"/>
          <w:spacing w:val="-4"/>
        </w:rPr>
        <w:t>5,000</w:t>
      </w:r>
      <w:r>
        <w:rPr>
          <w:spacing w:val="-4"/>
        </w:rPr>
        <w:t>万元设立全资子公司久其数字传播，该新公司已于</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日办理完成工商设立登记手续，具体情况详见公司于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日和</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日在巨潮资讯网（</w:t>
      </w:r>
      <w:hyperlink r:id="rId13">
        <w:r>
          <w:rPr>
            <w:rFonts w:ascii="Times New Roman" w:hAnsi="Times New Roman" w:cs="Times New Roman" w:eastAsia="Times New Roman" w:hint="default"/>
          </w:rPr>
          <w:t>www.cninfo.com.cn</w:t>
        </w:r>
      </w:hyperlink>
      <w:r>
        <w:rPr/>
        <w:t>）</w:t>
      </w:r>
      <w:r>
        <w:rPr>
          <w:w w:val="99"/>
        </w:rPr>
        <w:t> </w:t>
      </w:r>
      <w:r>
        <w:rPr/>
        <w:t>上披露的相关公告。</w:t>
      </w:r>
    </w:p>
    <w:p>
      <w:pPr>
        <w:spacing w:line="240" w:lineRule="auto" w:before="9"/>
        <w:rPr>
          <w:rFonts w:ascii="宋体" w:hAnsi="宋体" w:cs="宋体" w:eastAsia="宋体" w:hint="default"/>
          <w:sz w:val="21"/>
          <w:szCs w:val="21"/>
        </w:rPr>
      </w:pPr>
    </w:p>
    <w:p>
      <w:pPr>
        <w:pStyle w:val="Heading2"/>
        <w:spacing w:line="240" w:lineRule="auto"/>
        <w:ind w:right="983"/>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张军书、胡碟</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right"/>
        <w:rPr>
          <w:rFonts w:ascii="宋体" w:hAnsi="宋体" w:cs="宋体" w:eastAsia="宋体" w:hint="default"/>
          <w:sz w:val="18"/>
          <w:szCs w:val="18"/>
        </w:rPr>
        <w:sectPr>
          <w:headerReference w:type="default" r:id="rId24"/>
          <w:footerReference w:type="default" r:id="rId25"/>
          <w:pgSz w:w="11910" w:h="16840"/>
          <w:pgMar w:header="877" w:footer="979" w:top="1100" w:bottom="1160" w:left="980" w:right="0"/>
          <w:pgNumType w:start="49"/>
        </w:sectPr>
      </w:pPr>
    </w:p>
    <w:p>
      <w:pPr>
        <w:spacing w:line="240" w:lineRule="auto" w:before="13"/>
        <w:rPr>
          <w:rFonts w:ascii="宋体" w:hAnsi="宋体" w:cs="宋体" w:eastAsia="宋体" w:hint="default"/>
          <w:sz w:val="21"/>
          <w:szCs w:val="21"/>
        </w:rPr>
      </w:pPr>
    </w:p>
    <w:p>
      <w:pPr>
        <w:pStyle w:val="BodyText"/>
        <w:spacing w:line="240" w:lineRule="auto" w:before="44"/>
        <w:ind w:right="0"/>
        <w:jc w:val="both"/>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1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本年度，公司因公开发行可转换公司债券事项，聘请红塔证券为保荐机构，期间共支付保荐费</w:t>
      </w:r>
      <w:r>
        <w:rPr>
          <w:rFonts w:ascii="Times New Roman" w:hAnsi="Times New Roman" w:cs="Times New Roman" w:eastAsia="Times New Roman" w:hint="default"/>
        </w:rPr>
        <w:t>400</w:t>
      </w:r>
      <w:r>
        <w:rPr/>
        <w:t>万元、承销费</w:t>
      </w:r>
      <w:r>
        <w:rPr>
          <w:rFonts w:ascii="Times New Roman" w:hAnsi="Times New Roman" w:cs="Times New Roman" w:eastAsia="Times New Roman" w:hint="default"/>
        </w:rPr>
        <w:t>820</w:t>
      </w:r>
      <w:r>
        <w:rPr/>
        <w:t>万元。</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pStyle w:val="BodyText"/>
        <w:spacing w:line="240" w:lineRule="auto" w:before="42"/>
        <w:ind w:right="0"/>
        <w:jc w:val="both"/>
      </w:pPr>
      <w:r>
        <w:rPr/>
        <w:t>注：截止报告期末，亿起联科技作为原告等待裁决的涉案总额为</w:t>
      </w:r>
      <w:r>
        <w:rPr>
          <w:spacing w:val="-47"/>
        </w:rPr>
        <w:t> </w:t>
      </w:r>
      <w:r>
        <w:rPr>
          <w:rFonts w:ascii="Times New Roman" w:hAnsi="Times New Roman" w:cs="Times New Roman" w:eastAsia="Times New Roman" w:hint="default"/>
        </w:rPr>
        <w:t>1,102,271.2</w:t>
      </w:r>
      <w:r>
        <w:rPr>
          <w:rFonts w:ascii="Times New Roman" w:hAnsi="Times New Roman" w:cs="Times New Roman" w:eastAsia="Times New Roman" w:hint="default"/>
          <w:spacing w:val="-2"/>
        </w:rPr>
        <w:t> </w:t>
      </w:r>
      <w:r>
        <w:rPr/>
        <w:t>元。亿起联科技全资子公司上海亿起联科技有</w:t>
      </w:r>
    </w:p>
    <w:p>
      <w:pPr>
        <w:pStyle w:val="BodyText"/>
        <w:spacing w:line="240" w:lineRule="auto" w:before="63"/>
        <w:ind w:right="0"/>
        <w:jc w:val="both"/>
      </w:pPr>
      <w:r>
        <w:rPr/>
        <w:t>限公司于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日向北京仲裁委员会提出仲裁，请求依法判令上海连尚网络科技有限公司支付广告推广费用。经</w:t>
      </w:r>
    </w:p>
    <w:p>
      <w:pPr>
        <w:pStyle w:val="BodyText"/>
        <w:spacing w:line="302" w:lineRule="auto" w:before="63"/>
        <w:ind w:left="154" w:right="1201"/>
        <w:jc w:val="left"/>
      </w:pPr>
      <w:r>
        <w:rPr/>
        <w:t>仲裁，上海亿起联科技有限公司的申请获得支持，并已于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月收到仲裁款项共计</w:t>
      </w:r>
      <w:r>
        <w:rPr>
          <w:spacing w:val="-47"/>
        </w:rPr>
        <w:t> </w:t>
      </w:r>
      <w:r>
        <w:rPr>
          <w:rFonts w:ascii="Times New Roman" w:hAnsi="Times New Roman" w:cs="Times New Roman" w:eastAsia="Times New Roman" w:hint="default"/>
        </w:rPr>
        <w:t>29,889,430.99</w:t>
      </w:r>
      <w:r>
        <w:rPr>
          <w:rFonts w:ascii="Times New Roman" w:hAnsi="Times New Roman" w:cs="Times New Roman" w:eastAsia="Times New Roman" w:hint="default"/>
          <w:spacing w:val="-10"/>
        </w:rPr>
        <w:t> </w:t>
      </w:r>
      <w:r>
        <w:rPr/>
        <w:t>元（包括广告推广 费、违约金、公证费和律师费）。</w:t>
      </w:r>
    </w:p>
    <w:p>
      <w:pPr>
        <w:spacing w:line="240" w:lineRule="auto" w:before="5"/>
        <w:rPr>
          <w:rFonts w:ascii="宋体" w:hAnsi="宋体" w:cs="宋体" w:eastAsia="宋体" w:hint="default"/>
          <w:sz w:val="21"/>
          <w:szCs w:val="21"/>
        </w:rPr>
      </w:pPr>
    </w:p>
    <w:p>
      <w:pPr>
        <w:pStyle w:val="Heading2"/>
        <w:spacing w:line="240" w:lineRule="auto"/>
        <w:ind w:left="154" w:right="0"/>
        <w:jc w:val="both"/>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pPr>
      <w:r>
        <w:rPr/>
        <w:t>（一）</w:t>
      </w:r>
      <w:r>
        <w:rPr>
          <w:rFonts w:ascii="Times New Roman" w:hAnsi="Times New Roman" w:cs="Times New Roman" w:eastAsia="Times New Roman" w:hint="default"/>
        </w:rPr>
        <w:t>2015</w:t>
      </w:r>
      <w:r>
        <w:rPr/>
        <w:t>年员工持股计划</w:t>
      </w:r>
    </w:p>
    <w:p>
      <w:pPr>
        <w:spacing w:line="240" w:lineRule="auto" w:before="0"/>
        <w:rPr>
          <w:rFonts w:ascii="宋体" w:hAnsi="宋体" w:cs="宋体" w:eastAsia="宋体" w:hint="default"/>
          <w:sz w:val="18"/>
          <w:szCs w:val="18"/>
        </w:rPr>
      </w:pPr>
    </w:p>
    <w:p>
      <w:pPr>
        <w:pStyle w:val="BodyText"/>
        <w:spacing w:line="300" w:lineRule="auto" w:before="139"/>
        <w:ind w:right="113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日召开的</w:t>
      </w:r>
      <w:r>
        <w:rPr>
          <w:rFonts w:ascii="Times New Roman" w:hAnsi="Times New Roman" w:cs="Times New Roman" w:eastAsia="Times New Roman" w:hint="default"/>
        </w:rPr>
        <w:t>2015</w:t>
      </w:r>
      <w:r>
        <w:rPr/>
        <w:t>年第三次临时股东大会审议通过了公司《</w:t>
      </w:r>
      <w:r>
        <w:rPr>
          <w:rFonts w:ascii="Times New Roman" w:hAnsi="Times New Roman" w:cs="Times New Roman" w:eastAsia="Times New Roman" w:hint="default"/>
        </w:rPr>
        <w:t>2015</w:t>
      </w:r>
      <w:r>
        <w:rPr/>
        <w:t>年员工持股计划》及其相关议案，同意公司 实施本次员工持股计划，并委托财通证券资产管理有限公司设立</w:t>
      </w:r>
      <w:r>
        <w:rPr>
          <w:rFonts w:ascii="Times New Roman" w:hAnsi="Times New Roman" w:cs="Times New Roman" w:eastAsia="Times New Roman" w:hint="default"/>
        </w:rPr>
        <w:t>“</w:t>
      </w:r>
      <w:r>
        <w:rPr/>
        <w:t>财通证券资管久其财富</w:t>
      </w:r>
      <w:r>
        <w:rPr>
          <w:rFonts w:ascii="Times New Roman" w:hAnsi="Times New Roman" w:cs="Times New Roman" w:eastAsia="Times New Roman" w:hint="default"/>
        </w:rPr>
        <w:t>1</w:t>
      </w:r>
      <w:r>
        <w:rPr/>
        <w:t>号集合资产管理计划</w:t>
      </w:r>
      <w:r>
        <w:rPr>
          <w:rFonts w:ascii="Times New Roman" w:hAnsi="Times New Roman" w:cs="Times New Roman" w:eastAsia="Times New Roman" w:hint="default"/>
        </w:rPr>
        <w:t>”</w:t>
      </w:r>
      <w:r>
        <w:rPr/>
        <w:t>进行管理， 通过二级市场购买的方式取得并持有本公司股票。本次员工持股计划总额为</w:t>
      </w:r>
      <w:r>
        <w:rPr>
          <w:rFonts w:ascii="Times New Roman" w:hAnsi="Times New Roman" w:cs="Times New Roman" w:eastAsia="Times New Roman" w:hint="default"/>
        </w:rPr>
        <w:t>10,050</w:t>
      </w:r>
      <w:r>
        <w:rPr/>
        <w:t>万元，截止到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日完成公司股 票的购买，股票锁定期为自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p>
    <w:p>
      <w:pPr>
        <w:spacing w:line="240" w:lineRule="auto" w:before="11"/>
        <w:rPr>
          <w:rFonts w:ascii="宋体" w:hAnsi="宋体" w:cs="宋体" w:eastAsia="宋体" w:hint="default"/>
          <w:sz w:val="24"/>
          <w:szCs w:val="24"/>
        </w:rPr>
      </w:pPr>
    </w:p>
    <w:p>
      <w:pPr>
        <w:pStyle w:val="BodyText"/>
        <w:spacing w:line="240" w:lineRule="auto"/>
        <w:ind w:left="154" w:right="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日收到财通证券资产管理有限公司发送的《</w:t>
      </w:r>
      <w:r>
        <w:rPr>
          <w:rFonts w:ascii="Times New Roman" w:hAnsi="Times New Roman" w:cs="Times New Roman" w:eastAsia="Times New Roman" w:hint="default"/>
        </w:rPr>
        <w:t>“</w:t>
      </w:r>
      <w:r>
        <w:rPr/>
        <w:t>财通证券资管久其财富</w:t>
      </w:r>
      <w:r>
        <w:rPr>
          <w:rFonts w:ascii="Times New Roman" w:hAnsi="Times New Roman" w:cs="Times New Roman" w:eastAsia="Times New Roman" w:hint="default"/>
        </w:rPr>
        <w:t>1</w:t>
      </w:r>
      <w:r>
        <w:rPr/>
        <w:t>号集合资产管理计划</w:t>
      </w:r>
      <w:r>
        <w:rPr>
          <w:rFonts w:ascii="Times New Roman" w:hAnsi="Times New Roman" w:cs="Times New Roman" w:eastAsia="Times New Roman" w:hint="default"/>
        </w:rPr>
        <w:t>”</w:t>
      </w:r>
      <w:r>
        <w:rPr/>
        <w:t>资产变现告知</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154" w:right="1132"/>
        <w:jc w:val="both"/>
      </w:pPr>
      <w:r>
        <w:rPr/>
        <w:t>函》，截至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日，公司员工持股计划持有的公司股票已全部出售，本次员工持股计划已实施完毕并终止。具体内 </w:t>
      </w:r>
      <w:r>
        <w:rPr>
          <w:spacing w:val="-1"/>
        </w:rPr>
        <w:t>容详见公司于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14</w:t>
      </w:r>
      <w:r>
        <w:rPr>
          <w:spacing w:val="-1"/>
        </w:rPr>
        <w:t>日在巨潮资讯网（</w:t>
      </w:r>
      <w:hyperlink r:id="rId13">
        <w:r>
          <w:rPr>
            <w:rFonts w:ascii="Times New Roman" w:hAnsi="Times New Roman" w:cs="Times New Roman" w:eastAsia="Times New Roman" w:hint="default"/>
            <w:spacing w:val="-1"/>
          </w:rPr>
          <w:t>www.cninfo.com.cn</w:t>
        </w:r>
      </w:hyperlink>
      <w:r>
        <w:rPr>
          <w:spacing w:val="-1"/>
        </w:rPr>
        <w:t>）上披露的《关于</w:t>
      </w:r>
      <w:r>
        <w:rPr>
          <w:rFonts w:ascii="Times New Roman" w:hAnsi="Times New Roman" w:cs="Times New Roman" w:eastAsia="Times New Roman" w:hint="default"/>
          <w:spacing w:val="-1"/>
        </w:rPr>
        <w:t>2015</w:t>
      </w:r>
      <w:r>
        <w:rPr>
          <w:spacing w:val="-1"/>
        </w:rPr>
        <w:t>年员工持股计划完成股票出售并终止</w:t>
      </w:r>
      <w:r>
        <w:rPr>
          <w:spacing w:val="-44"/>
        </w:rPr>
        <w:t> </w:t>
      </w:r>
      <w:r>
        <w:rPr/>
        <w:t>的公告》（公告编号</w:t>
      </w:r>
      <w:r>
        <w:rPr>
          <w:rFonts w:ascii="Times New Roman" w:hAnsi="Times New Roman" w:cs="Times New Roman" w:eastAsia="Times New Roman" w:hint="default"/>
        </w:rPr>
        <w:t>2017-062</w:t>
      </w:r>
      <w:r>
        <w:rPr/>
        <w:t>）。本次员工持股计划的财产清算和分配工作已于报告期全部完成。</w:t>
      </w:r>
    </w:p>
    <w:p>
      <w:pPr>
        <w:spacing w:line="240" w:lineRule="auto" w:before="11"/>
        <w:rPr>
          <w:rFonts w:ascii="宋体" w:hAnsi="宋体" w:cs="宋体" w:eastAsia="宋体" w:hint="default"/>
          <w:sz w:val="24"/>
          <w:szCs w:val="24"/>
        </w:rPr>
      </w:pPr>
    </w:p>
    <w:p>
      <w:pPr>
        <w:pStyle w:val="BodyText"/>
        <w:spacing w:line="240" w:lineRule="auto"/>
        <w:ind w:right="0"/>
        <w:jc w:val="both"/>
      </w:pPr>
      <w:r>
        <w:rPr/>
        <w:t>（二）</w:t>
      </w:r>
      <w:r>
        <w:rPr>
          <w:rFonts w:ascii="Times New Roman" w:hAnsi="Times New Roman" w:cs="Times New Roman" w:eastAsia="Times New Roman" w:hint="default"/>
        </w:rPr>
        <w:t>2017</w:t>
      </w:r>
      <w:r>
        <w:rPr/>
        <w:t>年限制性股票激励计划</w:t>
      </w:r>
    </w:p>
    <w:p>
      <w:pPr>
        <w:spacing w:line="240" w:lineRule="auto" w:before="0"/>
        <w:rPr>
          <w:rFonts w:ascii="宋体" w:hAnsi="宋体" w:cs="宋体" w:eastAsia="宋体" w:hint="default"/>
          <w:sz w:val="18"/>
          <w:szCs w:val="18"/>
        </w:rPr>
      </w:pPr>
    </w:p>
    <w:p>
      <w:pPr>
        <w:pStyle w:val="BodyText"/>
        <w:spacing w:line="300" w:lineRule="auto" w:before="139"/>
        <w:ind w:right="1131"/>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2017</w:t>
      </w:r>
      <w:r>
        <w:rPr/>
        <w:t>年第三次临时股东大会审议通过了《</w:t>
      </w:r>
      <w:r>
        <w:rPr>
          <w:rFonts w:ascii="Times New Roman" w:hAnsi="Times New Roman" w:cs="Times New Roman" w:eastAsia="Times New Roman" w:hint="default"/>
        </w:rPr>
        <w:t>2017</w:t>
      </w:r>
      <w:r>
        <w:rPr/>
        <w:t>年度限制性股票激励计划》及其相关议案，同意 </w:t>
      </w:r>
      <w:r>
        <w:rPr>
          <w:spacing w:val="-2"/>
        </w:rPr>
        <w:t>公司以定向发行公司股票的方式向激励对象授予合计</w:t>
      </w:r>
      <w:r>
        <w:rPr>
          <w:rFonts w:ascii="Times New Roman" w:hAnsi="Times New Roman" w:cs="Times New Roman" w:eastAsia="Times New Roman" w:hint="default"/>
          <w:spacing w:val="-2"/>
        </w:rPr>
        <w:t>800</w:t>
      </w:r>
      <w:r>
        <w:rPr>
          <w:spacing w:val="-2"/>
        </w:rPr>
        <w:t>万股限制性股票。其中，首次授予限制性股票数量为</w:t>
      </w:r>
      <w:r>
        <w:rPr>
          <w:rFonts w:ascii="Times New Roman" w:hAnsi="Times New Roman" w:cs="Times New Roman" w:eastAsia="Times New Roman" w:hint="default"/>
          <w:spacing w:val="-2"/>
        </w:rPr>
        <w:t>720</w:t>
      </w:r>
      <w:r>
        <w:rPr>
          <w:spacing w:val="-2"/>
        </w:rPr>
        <w:t>万股，激励</w:t>
      </w:r>
      <w:r>
        <w:rPr>
          <w:spacing w:val="-60"/>
        </w:rPr>
        <w:t> </w:t>
      </w:r>
      <w:r>
        <w:rPr>
          <w:spacing w:val="-60"/>
        </w:rPr>
      </w:r>
      <w:r>
        <w:rPr/>
        <w:t>对象系公司中层管理人员、核心技术</w:t>
      </w:r>
      <w:r>
        <w:rPr>
          <w:rFonts w:ascii="Times New Roman" w:hAnsi="Times New Roman" w:cs="Times New Roman" w:eastAsia="Times New Roman" w:hint="default"/>
        </w:rPr>
        <w:t>/</w:t>
      </w:r>
      <w:r>
        <w:rPr/>
        <w:t>业务骨干共</w:t>
      </w:r>
      <w:r>
        <w:rPr>
          <w:rFonts w:ascii="Times New Roman" w:hAnsi="Times New Roman" w:cs="Times New Roman" w:eastAsia="Times New Roman" w:hint="default"/>
        </w:rPr>
        <w:t>347</w:t>
      </w:r>
      <w:r>
        <w:rPr/>
        <w:t>名，发行价格为</w:t>
      </w:r>
      <w:r>
        <w:rPr>
          <w:rFonts w:ascii="Times New Roman" w:hAnsi="Times New Roman" w:cs="Times New Roman" w:eastAsia="Times New Roman" w:hint="default"/>
        </w:rPr>
        <w:t>6.1</w:t>
      </w:r>
      <w:r>
        <w:rPr/>
        <w:t>元</w:t>
      </w:r>
      <w:r>
        <w:rPr>
          <w:rFonts w:ascii="Times New Roman" w:hAnsi="Times New Roman" w:cs="Times New Roman" w:eastAsia="Times New Roman" w:hint="default"/>
        </w:rPr>
        <w:t>/</w:t>
      </w:r>
      <w:r>
        <w:rPr/>
        <w:t>股；预留限制性股票数量为</w:t>
      </w:r>
      <w:r>
        <w:rPr>
          <w:rFonts w:ascii="Times New Roman" w:hAnsi="Times New Roman" w:cs="Times New Roman" w:eastAsia="Times New Roman" w:hint="default"/>
        </w:rPr>
        <w:t>80</w:t>
      </w:r>
      <w:r>
        <w:rPr/>
        <w:t>万股。</w:t>
      </w:r>
    </w:p>
    <w:p>
      <w:pPr>
        <w:spacing w:line="240" w:lineRule="auto" w:before="11"/>
        <w:rPr>
          <w:rFonts w:ascii="宋体" w:hAnsi="宋体" w:cs="宋体" w:eastAsia="宋体" w:hint="default"/>
          <w:sz w:val="24"/>
          <w:szCs w:val="24"/>
        </w:rPr>
      </w:pPr>
    </w:p>
    <w:p>
      <w:pPr>
        <w:pStyle w:val="BodyText"/>
        <w:spacing w:line="300" w:lineRule="auto"/>
        <w:ind w:right="1123"/>
        <w:jc w:val="left"/>
      </w:pPr>
      <w:r>
        <w:rPr/>
        <w:t>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日召开的第六届董事会第十四次会议和第六届监事会第七次会议审议通过，确定本次限制性股票的首 </w:t>
      </w:r>
      <w:r>
        <w:rPr>
          <w:spacing w:val="-2"/>
        </w:rPr>
        <w:t>次授予日为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日。在办理资金缴纳、股份登记过程中，有</w:t>
      </w:r>
      <w:r>
        <w:rPr>
          <w:rFonts w:ascii="Times New Roman" w:hAnsi="Times New Roman" w:cs="Times New Roman" w:eastAsia="Times New Roman" w:hint="default"/>
          <w:spacing w:val="-2"/>
        </w:rPr>
        <w:t>21</w:t>
      </w:r>
      <w:r>
        <w:rPr>
          <w:spacing w:val="-2"/>
        </w:rPr>
        <w:t>名激励对象因个人原因放弃认购，即本次实际授予</w:t>
      </w:r>
      <w:r>
        <w:rPr>
          <w:rFonts w:ascii="Times New Roman" w:hAnsi="Times New Roman" w:cs="Times New Roman" w:eastAsia="Times New Roman" w:hint="default"/>
          <w:spacing w:val="-2"/>
        </w:rPr>
        <w:t>326</w:t>
      </w:r>
      <w:r>
        <w:rPr>
          <w:rFonts w:ascii="Times New Roman" w:hAnsi="Times New Roman" w:cs="Times New Roman" w:eastAsia="Times New Roman" w:hint="default"/>
          <w:spacing w:val="-9"/>
        </w:rPr>
        <w:t> </w:t>
      </w:r>
      <w:r>
        <w:rPr/>
        <w:t>名激励对象共计</w:t>
      </w:r>
      <w:r>
        <w:rPr>
          <w:rFonts w:ascii="Times New Roman" w:hAnsi="Times New Roman" w:cs="Times New Roman" w:eastAsia="Times New Roman" w:hint="default"/>
        </w:rPr>
        <w:t>707.08</w:t>
      </w:r>
      <w:r>
        <w:rPr/>
        <w:t>万股限制性股票，激励对象获授的限制性股票将根据</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年度考核情况分三期按比例解除限 </w:t>
      </w:r>
      <w:r>
        <w:rPr>
          <w:spacing w:val="-2"/>
        </w:rPr>
        <w:t>售。立信会计师事务所（特殊普通合伙）于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日出具了信会师报字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ZG12200</w:t>
      </w:r>
      <w:r>
        <w:rPr>
          <w:spacing w:val="-2"/>
        </w:rPr>
        <w:t>号验资报告，对公司截至</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日止新增注册资本及股本情况进行了审验。本次股权激励计划首次授予的限制性股票已于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日上市。</w:t>
      </w:r>
    </w:p>
    <w:p>
      <w:pPr>
        <w:spacing w:line="240" w:lineRule="auto" w:before="11"/>
        <w:rPr>
          <w:rFonts w:ascii="宋体" w:hAnsi="宋体" w:cs="宋体" w:eastAsia="宋体" w:hint="default"/>
          <w:sz w:val="24"/>
          <w:szCs w:val="24"/>
        </w:rPr>
      </w:pPr>
    </w:p>
    <w:p>
      <w:pPr>
        <w:pStyle w:val="BodyText"/>
        <w:spacing w:line="240" w:lineRule="auto"/>
        <w:ind w:right="0"/>
        <w:jc w:val="both"/>
      </w:pPr>
      <w:r>
        <w:rPr/>
        <w:t>该激励计划的审批及进展情况均已公告，详细内容可查阅公司在巨潮资讯网（</w:t>
      </w:r>
      <w:hyperlink r:id="rId13">
        <w:r>
          <w:rPr>
            <w:rFonts w:ascii="Times New Roman" w:hAnsi="Times New Roman" w:cs="Times New Roman" w:eastAsia="Times New Roman" w:hint="default"/>
          </w:rPr>
          <w:t>www.cninfo.com.cn</w:t>
        </w:r>
      </w:hyperlink>
      <w:r>
        <w:rPr/>
        <w:t>）上披露的相关公告。</w:t>
      </w:r>
    </w:p>
    <w:p>
      <w:pPr>
        <w:spacing w:after="0" w:line="240" w:lineRule="auto"/>
        <w:jc w:val="both"/>
        <w:sectPr>
          <w:pgSz w:w="11910" w:h="16840"/>
          <w:pgMar w:header="877" w:footer="979" w:top="1100" w:bottom="116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05743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012"/>
        <w:gridCol w:w="536"/>
        <w:gridCol w:w="772"/>
        <w:gridCol w:w="892"/>
        <w:gridCol w:w="653"/>
        <w:gridCol w:w="534"/>
        <w:gridCol w:w="983"/>
        <w:gridCol w:w="1024"/>
        <w:gridCol w:w="952"/>
        <w:gridCol w:w="653"/>
        <w:gridCol w:w="772"/>
        <w:gridCol w:w="773"/>
        <w:gridCol w:w="787"/>
        <w:gridCol w:w="3675"/>
      </w:tblGrid>
      <w:tr>
        <w:trPr>
          <w:trHeight w:val="1337"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2"/>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0" w:right="7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1" w:right="80"/>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5" w:right="35"/>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6" w:right="55"/>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hanging="2"/>
              <w:jc w:val="center"/>
              <w:rPr>
                <w:rFonts w:ascii="宋体" w:hAnsi="宋体" w:cs="宋体" w:eastAsia="宋体" w:hint="default"/>
                <w:sz w:val="18"/>
                <w:szCs w:val="18"/>
              </w:rPr>
            </w:pPr>
            <w:r>
              <w:rPr>
                <w:rFonts w:ascii="宋体" w:hAnsi="宋体" w:cs="宋体" w:eastAsia="宋体" w:hint="default"/>
                <w:sz w:val="18"/>
                <w:szCs w:val="18"/>
              </w:rPr>
              <w:t>获批的交 易额度（万 元）</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0" w:right="10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0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北京久其移 动商务科技 有限公司</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41"/>
              <w:jc w:val="both"/>
              <w:rPr>
                <w:rFonts w:ascii="宋体" w:hAnsi="宋体" w:cs="宋体" w:eastAsia="宋体" w:hint="default"/>
                <w:sz w:val="18"/>
                <w:szCs w:val="18"/>
              </w:rPr>
            </w:pPr>
            <w:r>
              <w:rPr>
                <w:rFonts w:ascii="宋体" w:hAnsi="宋体" w:cs="宋体" w:eastAsia="宋体" w:hint="default"/>
                <w:sz w:val="18"/>
                <w:szCs w:val="18"/>
              </w:rPr>
              <w:t>同一 控股 股东</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接受关 联方提 供的劳 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37"/>
              <w:jc w:val="left"/>
              <w:rPr>
                <w:rFonts w:ascii="宋体" w:hAnsi="宋体" w:cs="宋体" w:eastAsia="宋体" w:hint="default"/>
                <w:sz w:val="18"/>
                <w:szCs w:val="18"/>
              </w:rPr>
            </w:pPr>
            <w:r>
              <w:rPr>
                <w:rFonts w:ascii="宋体" w:hAnsi="宋体" w:cs="宋体" w:eastAsia="宋体" w:hint="default"/>
                <w:sz w:val="18"/>
                <w:szCs w:val="18"/>
              </w:rPr>
              <w:t>采购商品 及劳务</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78"/>
              <w:jc w:val="left"/>
              <w:rPr>
                <w:rFonts w:ascii="宋体" w:hAnsi="宋体" w:cs="宋体" w:eastAsia="宋体" w:hint="default"/>
                <w:sz w:val="18"/>
                <w:szCs w:val="18"/>
              </w:rPr>
            </w:pPr>
            <w:r>
              <w:rPr>
                <w:rFonts w:ascii="宋体" w:hAnsi="宋体" w:cs="宋体" w:eastAsia="宋体" w:hint="default"/>
                <w:sz w:val="18"/>
                <w:szCs w:val="18"/>
              </w:rPr>
              <w:t>市场公 允定价</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39"/>
              <w:jc w:val="left"/>
              <w:rPr>
                <w:rFonts w:ascii="宋体" w:hAnsi="宋体" w:cs="宋体" w:eastAsia="宋体" w:hint="default"/>
                <w:sz w:val="18"/>
                <w:szCs w:val="18"/>
              </w:rPr>
            </w:pPr>
            <w:r>
              <w:rPr>
                <w:rFonts w:ascii="宋体" w:hAnsi="宋体" w:cs="宋体" w:eastAsia="宋体" w:hint="default"/>
                <w:sz w:val="18"/>
                <w:szCs w:val="18"/>
              </w:rPr>
              <w:t>不适 用</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37.47</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按照项 目进展 情况支 付</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3"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年度日常关联交易预计情况的公 </w:t>
            </w:r>
            <w:r>
              <w:rPr>
                <w:rFonts w:ascii="宋体" w:hAnsi="宋体" w:cs="宋体" w:eastAsia="宋体" w:hint="default"/>
                <w:spacing w:val="-13"/>
                <w:sz w:val="18"/>
                <w:szCs w:val="18"/>
              </w:rPr>
              <w:t>告》（公告编号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2017-021</w:t>
            </w: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p>
        </w:tc>
      </w:tr>
      <w:tr>
        <w:trPr>
          <w:trHeight w:val="133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中交信通网 络科技有限 公司</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41"/>
              <w:jc w:val="left"/>
              <w:rPr>
                <w:rFonts w:ascii="宋体" w:hAnsi="宋体" w:cs="宋体" w:eastAsia="宋体" w:hint="default"/>
                <w:sz w:val="18"/>
                <w:szCs w:val="18"/>
              </w:rPr>
            </w:pPr>
            <w:r>
              <w:rPr>
                <w:rFonts w:ascii="宋体" w:hAnsi="宋体" w:cs="宋体" w:eastAsia="宋体" w:hint="default"/>
                <w:sz w:val="18"/>
                <w:szCs w:val="18"/>
              </w:rPr>
              <w:t>同一 董事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向关联 方提供 租赁服 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公司向关 联方出租 办公用房</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8"/>
              <w:jc w:val="left"/>
              <w:rPr>
                <w:rFonts w:ascii="宋体" w:hAnsi="宋体" w:cs="宋体" w:eastAsia="宋体" w:hint="default"/>
                <w:sz w:val="18"/>
                <w:szCs w:val="18"/>
              </w:rPr>
            </w:pPr>
            <w:r>
              <w:rPr>
                <w:rFonts w:ascii="宋体" w:hAnsi="宋体" w:cs="宋体" w:eastAsia="宋体" w:hint="default"/>
                <w:sz w:val="18"/>
                <w:szCs w:val="18"/>
              </w:rPr>
              <w:t>市场公 允定价</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9"/>
              <w:jc w:val="left"/>
              <w:rPr>
                <w:rFonts w:ascii="宋体" w:hAnsi="宋体" w:cs="宋体" w:eastAsia="宋体" w:hint="default"/>
                <w:sz w:val="18"/>
                <w:szCs w:val="18"/>
              </w:rPr>
            </w:pPr>
            <w:r>
              <w:rPr>
                <w:rFonts w:ascii="宋体" w:hAnsi="宋体" w:cs="宋体" w:eastAsia="宋体" w:hint="default"/>
                <w:sz w:val="18"/>
                <w:szCs w:val="18"/>
              </w:rPr>
              <w:t>不适 用</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259.76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7"/>
              <w:jc w:val="left"/>
              <w:rPr>
                <w:rFonts w:ascii="宋体" w:hAnsi="宋体" w:cs="宋体" w:eastAsia="宋体" w:hint="default"/>
                <w:sz w:val="18"/>
                <w:szCs w:val="18"/>
              </w:rPr>
            </w:pPr>
            <w:r>
              <w:rPr>
                <w:rFonts w:ascii="宋体" w:hAnsi="宋体" w:cs="宋体" w:eastAsia="宋体" w:hint="default"/>
                <w:sz w:val="18"/>
                <w:szCs w:val="18"/>
              </w:rPr>
              <w:t>按季结 算支付</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3"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年度日常关联交易预计情况的公 </w:t>
            </w:r>
            <w:r>
              <w:rPr>
                <w:rFonts w:ascii="宋体" w:hAnsi="宋体" w:cs="宋体" w:eastAsia="宋体" w:hint="default"/>
                <w:spacing w:val="-13"/>
                <w:sz w:val="18"/>
                <w:szCs w:val="18"/>
              </w:rPr>
              <w:t>告》（公告编号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2017-021</w:t>
            </w: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297.23</w:t>
            </w:r>
          </w:p>
        </w:tc>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5"/>
                <w:sz w:val="18"/>
                <w:szCs w:val="18"/>
              </w:rPr>
              <w:t>行总金额预计的，在报告期内的实际履行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情况（如有）</w:t>
            </w:r>
          </w:p>
        </w:tc>
        <w:tc>
          <w:tcPr>
            <w:tcW w:w="10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10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40"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26"/>
          <w:footerReference w:type="default" r:id="rId27"/>
          <w:pgSz w:w="16840" w:h="11910" w:orient="landscape"/>
          <w:pgMar w:header="867" w:footer="979" w:top="1060" w:bottom="1160" w:left="1300" w:right="0"/>
          <w:pgNumType w:start="52"/>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67"/>
        <w:gridCol w:w="456"/>
        <w:gridCol w:w="457"/>
        <w:gridCol w:w="1284"/>
        <w:gridCol w:w="665"/>
        <w:gridCol w:w="1367"/>
        <w:gridCol w:w="1264"/>
        <w:gridCol w:w="971"/>
        <w:gridCol w:w="665"/>
        <w:gridCol w:w="802"/>
        <w:gridCol w:w="816"/>
        <w:gridCol w:w="4901"/>
      </w:tblGrid>
      <w:tr>
        <w:trPr>
          <w:trHeight w:val="1041" w:hRule="exact"/>
        </w:trPr>
        <w:tc>
          <w:tcPr>
            <w:tcW w:w="3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9"/>
              <w:jc w:val="both"/>
              <w:rPr>
                <w:rFonts w:ascii="宋体" w:hAnsi="宋体" w:cs="宋体" w:eastAsia="宋体" w:hint="default"/>
                <w:sz w:val="18"/>
                <w:szCs w:val="18"/>
              </w:rPr>
            </w:pPr>
            <w:r>
              <w:rPr>
                <w:rFonts w:ascii="宋体" w:hAnsi="宋体" w:cs="宋体" w:eastAsia="宋体" w:hint="default"/>
                <w:sz w:val="18"/>
                <w:szCs w:val="18"/>
              </w:rPr>
              <w:t>关 联 方</w:t>
            </w:r>
          </w:p>
        </w:tc>
        <w:tc>
          <w:tcPr>
            <w:tcW w:w="4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 w:right="4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4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1"/>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12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6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 w:right="5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13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39" w:right="47" w:hanging="90"/>
              <w:jc w:val="left"/>
              <w:rPr>
                <w:rFonts w:ascii="宋体" w:hAnsi="宋体" w:cs="宋体" w:eastAsia="宋体" w:hint="default"/>
                <w:sz w:val="18"/>
                <w:szCs w:val="18"/>
              </w:rPr>
            </w:pPr>
            <w:r>
              <w:rPr>
                <w:rFonts w:ascii="宋体" w:hAnsi="宋体" w:cs="宋体" w:eastAsia="宋体" w:hint="default"/>
                <w:sz w:val="18"/>
                <w:szCs w:val="18"/>
              </w:rPr>
              <w:t>转让资产的账面 价值（万元）</w:t>
            </w:r>
          </w:p>
        </w:tc>
        <w:tc>
          <w:tcPr>
            <w:tcW w:w="12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9" w:firstLine="63"/>
              <w:jc w:val="left"/>
              <w:rPr>
                <w:rFonts w:ascii="宋体" w:hAnsi="宋体" w:cs="宋体" w:eastAsia="宋体" w:hint="default"/>
                <w:sz w:val="18"/>
                <w:szCs w:val="18"/>
              </w:rPr>
            </w:pPr>
            <w:r>
              <w:rPr>
                <w:rFonts w:ascii="宋体" w:hAnsi="宋体" w:cs="宋体" w:eastAsia="宋体" w:hint="default"/>
                <w:sz w:val="18"/>
                <w:szCs w:val="18"/>
              </w:rPr>
              <w:t>转让资产的评 估价值（万元）</w:t>
            </w:r>
          </w:p>
        </w:tc>
        <w:tc>
          <w:tcPr>
            <w:tcW w:w="97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8"/>
              <w:ind w:left="12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57"/>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90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久 其 科 技</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公司 控股 股东</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61"/>
              <w:jc w:val="both"/>
              <w:rPr>
                <w:rFonts w:ascii="宋体" w:hAnsi="宋体" w:cs="宋体" w:eastAsia="宋体" w:hint="default"/>
                <w:sz w:val="18"/>
                <w:szCs w:val="18"/>
              </w:rPr>
            </w:pPr>
            <w:r>
              <w:rPr>
                <w:rFonts w:ascii="宋体" w:hAnsi="宋体" w:cs="宋体" w:eastAsia="宋体" w:hint="default"/>
                <w:sz w:val="18"/>
                <w:szCs w:val="18"/>
              </w:rPr>
              <w:t>共同 收购 股权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公司与久其科 技分别购买上 海移通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和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89"/>
              <w:jc w:val="left"/>
              <w:rPr>
                <w:rFonts w:ascii="宋体" w:hAnsi="宋体" w:cs="宋体" w:eastAsia="宋体" w:hint="default"/>
                <w:sz w:val="18"/>
                <w:szCs w:val="18"/>
              </w:rPr>
            </w:pPr>
            <w:r>
              <w:rPr>
                <w:rFonts w:ascii="宋体" w:hAnsi="宋体" w:cs="宋体" w:eastAsia="宋体" w:hint="default"/>
                <w:sz w:val="18"/>
                <w:szCs w:val="18"/>
              </w:rPr>
              <w:t>市场价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14" w:right="0"/>
              <w:jc w:val="left"/>
              <w:rPr>
                <w:rFonts w:ascii="Times New Roman" w:hAnsi="Times New Roman" w:cs="Times New Roman" w:eastAsia="Times New Roman" w:hint="default"/>
                <w:sz w:val="18"/>
                <w:szCs w:val="18"/>
              </w:rPr>
            </w:pPr>
            <w:r>
              <w:rPr>
                <w:rFonts w:ascii="Times New Roman"/>
                <w:sz w:val="18"/>
              </w:rPr>
              <w:t>12,509.45</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46" w:right="0"/>
              <w:jc w:val="left"/>
              <w:rPr>
                <w:rFonts w:ascii="Times New Roman" w:hAnsi="Times New Roman" w:cs="Times New Roman" w:eastAsia="Times New Roman" w:hint="default"/>
                <w:sz w:val="18"/>
                <w:szCs w:val="18"/>
              </w:rPr>
            </w:pPr>
            <w:r>
              <w:rPr>
                <w:rFonts w:ascii="Times New Roman"/>
                <w:sz w:val="18"/>
              </w:rPr>
              <w:t>148,589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3" w:right="0"/>
              <w:jc w:val="left"/>
              <w:rPr>
                <w:rFonts w:ascii="Times New Roman" w:hAnsi="Times New Roman" w:cs="Times New Roman" w:eastAsia="Times New Roman" w:hint="default"/>
                <w:sz w:val="18"/>
                <w:szCs w:val="18"/>
              </w:rPr>
            </w:pPr>
            <w:r>
              <w:rPr>
                <w:rFonts w:ascii="Times New Roman"/>
                <w:sz w:val="18"/>
              </w:rPr>
              <w:t>144,000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2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《关于现金收购上海移通网络有限公司、上海恒瑞网络信息有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限公司暨关联交易的公告》（公告编号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2017-006</w:t>
            </w:r>
            <w:r>
              <w:rPr>
                <w:rFonts w:ascii="宋体" w:hAnsi="宋体" w:cs="宋体" w:eastAsia="宋体" w:hint="default"/>
                <w:sz w:val="18"/>
                <w:szCs w:val="18"/>
              </w:rPr>
              <w:t>）详见巨潮资</w:t>
            </w:r>
            <w:r>
              <w:rPr>
                <w:rFonts w:ascii="宋体" w:hAnsi="宋体" w:cs="宋体" w:eastAsia="宋体" w:hint="default"/>
                <w:spacing w:val="-83"/>
                <w:sz w:val="18"/>
                <w:szCs w:val="18"/>
              </w:rPr>
              <w:t> </w:t>
            </w:r>
            <w:r>
              <w:rPr>
                <w:rFonts w:ascii="宋体" w:hAnsi="宋体" w:cs="宋体" w:eastAsia="宋体" w:hint="default"/>
                <w:sz w:val="18"/>
                <w:szCs w:val="18"/>
              </w:rPr>
              <w:t>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2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转让价格与账面价值或评估价 值差异较大的原因（如有）</w:t>
            </w:r>
          </w:p>
        </w:tc>
        <w:tc>
          <w:tcPr>
            <w:tcW w:w="114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对公司经营成果与财务状况的 影响情况</w:t>
            </w:r>
          </w:p>
        </w:tc>
        <w:tc>
          <w:tcPr>
            <w:tcW w:w="1145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上海移通有助于完善公司数字传播领域布局，符合公司的发展战略。同时，上海移通资产优质、盈利能力较强、现金流情况良好，有利于提升公 司整体资产规模和盈利能力，对公司未来财务状况和经营成果将产生积极影响。</w:t>
            </w:r>
          </w:p>
        </w:tc>
      </w:tr>
      <w:tr>
        <w:trPr>
          <w:trHeight w:val="1338" w:hRule="exact"/>
        </w:trPr>
        <w:tc>
          <w:tcPr>
            <w:tcW w:w="2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pacing w:val="-1"/>
                <w:sz w:val="18"/>
                <w:szCs w:val="18"/>
              </w:rPr>
              <w:t>如相关交易涉及业绩约定的，报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告期内的业绩实现情况</w:t>
            </w:r>
          </w:p>
        </w:tc>
        <w:tc>
          <w:tcPr>
            <w:tcW w:w="114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交易对手方承诺上海移通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万元（净利润以合并报表归属于母公司股</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pacing w:val="-3"/>
                <w:sz w:val="18"/>
                <w:szCs w:val="18"/>
              </w:rPr>
              <w:t>东的净利润与扣除非经常性损益后归属于母公司股东的净利润中孰低者为准）。上海移通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10,115.12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万元，未能完成</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84"/>
                <w:sz w:val="18"/>
                <w:szCs w:val="18"/>
              </w:rPr>
              <w:t> </w:t>
            </w:r>
            <w:r>
              <w:rPr>
                <w:rFonts w:ascii="宋体" w:hAnsi="宋体" w:cs="宋体" w:eastAsia="宋体" w:hint="default"/>
                <w:sz w:val="18"/>
                <w:szCs w:val="18"/>
              </w:rPr>
              <w:t>度的业绩承诺，但根据交易各方签订的收购协议，上海移通</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年度累计实现的扣非后净利润高于累计承诺金额，因此业绩承诺方无需向 受让方支付业绩补偿。</w:t>
            </w:r>
          </w:p>
        </w:tc>
      </w:tr>
    </w:tbl>
    <w:p>
      <w:pPr>
        <w:spacing w:after="0" w:line="300" w:lineRule="auto"/>
        <w:jc w:val="both"/>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53" w:right="98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8"/>
              <w:jc w:val="left"/>
              <w:rPr>
                <w:rFonts w:ascii="宋体" w:hAnsi="宋体" w:cs="宋体" w:eastAsia="宋体" w:hint="default"/>
                <w:sz w:val="18"/>
                <w:szCs w:val="18"/>
              </w:rPr>
            </w:pPr>
            <w:r>
              <w:rPr>
                <w:rFonts w:ascii="宋体" w:hAnsi="宋体" w:cs="宋体" w:eastAsia="宋体" w:hint="default"/>
                <w:sz w:val="18"/>
                <w:szCs w:val="18"/>
              </w:rPr>
              <w:t>公司实际控 制人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both"/>
              <w:rPr>
                <w:rFonts w:ascii="宋体" w:hAnsi="宋体" w:cs="宋体" w:eastAsia="宋体" w:hint="default"/>
                <w:sz w:val="18"/>
                <w:szCs w:val="18"/>
              </w:rPr>
            </w:pPr>
            <w:r>
              <w:rPr>
                <w:rFonts w:ascii="宋体" w:hAnsi="宋体" w:cs="宋体" w:eastAsia="宋体" w:hint="default"/>
                <w:sz w:val="18"/>
                <w:szCs w:val="18"/>
              </w:rPr>
              <w:t>北京久其政 务软件股份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8"/>
              <w:jc w:val="both"/>
              <w:rPr>
                <w:rFonts w:ascii="宋体" w:hAnsi="宋体" w:cs="宋体" w:eastAsia="宋体" w:hint="default"/>
                <w:sz w:val="18"/>
                <w:szCs w:val="18"/>
              </w:rPr>
            </w:pPr>
            <w:r>
              <w:rPr>
                <w:rFonts w:ascii="宋体" w:hAnsi="宋体" w:cs="宋体" w:eastAsia="宋体" w:hint="default"/>
                <w:sz w:val="18"/>
                <w:szCs w:val="18"/>
              </w:rPr>
              <w:t>电子政务领域 信息化系统开 发与服务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39,024.94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4" w:right="0"/>
              <w:jc w:val="left"/>
              <w:rPr>
                <w:rFonts w:ascii="Times New Roman" w:hAnsi="Times New Roman" w:cs="Times New Roman" w:eastAsia="Times New Roman" w:hint="default"/>
                <w:sz w:val="18"/>
                <w:szCs w:val="18"/>
              </w:rPr>
            </w:pPr>
            <w:r>
              <w:rPr>
                <w:rFonts w:ascii="Times New Roman"/>
                <w:sz w:val="18"/>
              </w:rPr>
              <w:t>37,760.64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4" w:right="0"/>
              <w:jc w:val="left"/>
              <w:rPr>
                <w:rFonts w:ascii="Times New Roman" w:hAnsi="Times New Roman" w:cs="Times New Roman" w:eastAsia="Times New Roman" w:hint="default"/>
                <w:sz w:val="18"/>
                <w:szCs w:val="18"/>
              </w:rPr>
            </w:pPr>
            <w:r>
              <w:rPr>
                <w:rFonts w:ascii="Times New Roman"/>
                <w:sz w:val="18"/>
              </w:rPr>
              <w:t>203.39</w:t>
            </w:r>
          </w:p>
        </w:tc>
      </w:tr>
      <w:tr>
        <w:trPr>
          <w:trHeight w:val="1027"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pacing w:val="-1"/>
                <w:sz w:val="18"/>
                <w:szCs w:val="18"/>
              </w:rPr>
              <w:t>由久其政务承建的募投项目久其政务研发中心建设项目正处于建设投入阶段，该项目报告期进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展情况详见本报告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第四节 经营情况讨论与分析 五、投资状况分析 </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、报告期内正在进行的 重大的非股权投资情况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40" w:lineRule="auto" w:before="42"/>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2"/>
        <w:rPr>
          <w:rFonts w:ascii="宋体" w:hAnsi="宋体" w:cs="宋体" w:eastAsia="宋体" w:hint="default"/>
          <w:sz w:val="20"/>
          <w:szCs w:val="20"/>
        </w:rPr>
      </w:pPr>
    </w:p>
    <w:p>
      <w:pPr>
        <w:pStyle w:val="Heading3"/>
        <w:spacing w:line="240" w:lineRule="auto"/>
        <w:ind w:left="153" w:right="98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98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、因亿起联科技经审计的</w:t>
      </w:r>
      <w:r>
        <w:rPr>
          <w:rFonts w:ascii="Times New Roman" w:hAnsi="Times New Roman" w:cs="Times New Roman" w:eastAsia="Times New Roman" w:hint="default"/>
          <w:spacing w:val="-2"/>
        </w:rPr>
        <w:t>2016</w:t>
      </w:r>
      <w:r>
        <w:rPr>
          <w:spacing w:val="-2"/>
        </w:rPr>
        <w:t>年度净利润为</w:t>
      </w:r>
      <w:r>
        <w:rPr>
          <w:rFonts w:ascii="Times New Roman" w:hAnsi="Times New Roman" w:cs="Times New Roman" w:eastAsia="Times New Roman" w:hint="default"/>
          <w:spacing w:val="-2"/>
        </w:rPr>
        <w:t>6,620.48</w:t>
      </w:r>
      <w:r>
        <w:rPr>
          <w:spacing w:val="-2"/>
        </w:rPr>
        <w:t>万元，未完成</w:t>
      </w:r>
      <w:r>
        <w:rPr>
          <w:rFonts w:ascii="Times New Roman" w:hAnsi="Times New Roman" w:cs="Times New Roman" w:eastAsia="Times New Roman" w:hint="default"/>
          <w:spacing w:val="-2"/>
        </w:rPr>
        <w:t>2016</w:t>
      </w:r>
      <w:r>
        <w:rPr>
          <w:spacing w:val="-2"/>
        </w:rPr>
        <w:t>年度的业绩承诺，根据《北京久其软件股份有限公司</w:t>
      </w:r>
      <w:r>
        <w:rPr>
          <w:spacing w:val="-49"/>
        </w:rPr>
        <w:t> </w:t>
      </w:r>
      <w:r>
        <w:rPr>
          <w:spacing w:val="-49"/>
        </w:rPr>
      </w:r>
      <w:r>
        <w:rPr>
          <w:spacing w:val="-3"/>
        </w:rPr>
        <w:t>与王新、李勇关于现金及发行股份购买资产之业绩承诺及补偿协议》，交易对手方王新、李勇分别应补偿股份数量为</w:t>
      </w:r>
      <w:r>
        <w:rPr>
          <w:rFonts w:ascii="Times New Roman" w:hAnsi="Times New Roman" w:cs="Times New Roman" w:eastAsia="Times New Roman" w:hint="default"/>
          <w:spacing w:val="-3"/>
        </w:rPr>
        <w:t>125,125</w:t>
      </w:r>
    </w:p>
    <w:p>
      <w:pPr>
        <w:pStyle w:val="BodyText"/>
        <w:spacing w:line="304" w:lineRule="auto"/>
        <w:ind w:left="154" w:right="1122"/>
        <w:jc w:val="left"/>
      </w:pPr>
      <w:r>
        <w:rPr/>
        <w:t>股和</w:t>
      </w:r>
      <w:r>
        <w:rPr>
          <w:rFonts w:ascii="Times New Roman" w:hAnsi="Times New Roman" w:cs="Times New Roman" w:eastAsia="Times New Roman" w:hint="default"/>
        </w:rPr>
        <w:t>94,393</w:t>
      </w:r>
      <w:r>
        <w:rPr/>
        <w:t>股，因王新为公司董事，该回购事项构成关联交易。经公司</w:t>
      </w:r>
      <w:r>
        <w:rPr>
          <w:rFonts w:ascii="Times New Roman" w:hAnsi="Times New Roman" w:cs="Times New Roman" w:eastAsia="Times New Roman" w:hint="default"/>
        </w:rPr>
        <w:t>2016</w:t>
      </w:r>
      <w:r>
        <w:rPr/>
        <w:t>年度股东大会审议通过，公司以</w:t>
      </w:r>
      <w:r>
        <w:rPr>
          <w:rFonts w:ascii="Times New Roman" w:hAnsi="Times New Roman" w:cs="Times New Roman" w:eastAsia="Times New Roman" w:hint="default"/>
        </w:rPr>
        <w:t>1</w:t>
      </w:r>
      <w:r>
        <w:rPr/>
        <w:t>元总价回购该 部分股份，共计</w:t>
      </w:r>
      <w:r>
        <w:rPr>
          <w:rFonts w:ascii="Times New Roman" w:hAnsi="Times New Roman" w:cs="Times New Roman" w:eastAsia="Times New Roman" w:hint="default"/>
        </w:rPr>
        <w:t>219,518</w:t>
      </w:r>
      <w:r>
        <w:rPr/>
        <w:t>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日在中国证券登记结算有限责任公司深圳分公司完成注销手续。 </w:t>
      </w:r>
      <w:r>
        <w:rPr>
          <w:rFonts w:ascii="Times New Roman" w:hAnsi="Times New Roman" w:cs="Times New Roman" w:eastAsia="Times New Roman" w:hint="default"/>
        </w:rPr>
        <w:t>2</w:t>
      </w:r>
      <w:r>
        <w:rPr/>
        <w:t>、经公司第六届董事会第九次（临时）会议审议通过，公司将位于北京市海淀区某小区的三套闲置住房资产进行出售，出 </w:t>
      </w:r>
      <w:r>
        <w:rPr>
          <w:spacing w:val="-2"/>
        </w:rPr>
        <w:t>售对象为公司监事、高级管理人员及董事关系密切的家庭成员，该事项构成关联交易事项，出售资产价格按照资产评估机构</w:t>
      </w:r>
      <w:r>
        <w:rPr>
          <w:spacing w:val="-66"/>
        </w:rPr>
        <w:t> </w:t>
      </w:r>
      <w:r>
        <w:rPr>
          <w:spacing w:val="-66"/>
        </w:rPr>
      </w:r>
      <w:r>
        <w:rPr/>
        <w:t>出具的评估价值作价。本交易已于报告期实施完毕。</w:t>
      </w:r>
    </w:p>
    <w:p>
      <w:pPr>
        <w:pStyle w:val="BodyText"/>
        <w:spacing w:line="240" w:lineRule="auto" w:before="68"/>
        <w:ind w:left="154" w:right="983"/>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70"/>
        <w:gridCol w:w="2140"/>
        <w:gridCol w:w="3459"/>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《关于定向回购王新、李勇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年度应补偿股份 暨关联交易的公告》</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《关于完成回购及注销业绩补偿股份的公告》</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《关于出售资产暨关联交易的公告》</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headerReference w:type="default" r:id="rId28"/>
          <w:footerReference w:type="default" r:id="rId29"/>
          <w:pgSz w:w="11910" w:h="16840"/>
          <w:pgMar w:header="877" w:footer="979" w:top="1100" w:bottom="1160" w:left="980" w:right="0"/>
          <w:pgNumType w:start="54"/>
        </w:sectPr>
      </w:pPr>
    </w:p>
    <w:p>
      <w:pPr>
        <w:spacing w:line="240" w:lineRule="auto" w:before="9"/>
        <w:rPr>
          <w:rFonts w:ascii="宋体" w:hAnsi="宋体" w:cs="宋体" w:eastAsia="宋体" w:hint="default"/>
          <w:sz w:val="19"/>
          <w:szCs w:val="19"/>
        </w:rPr>
      </w:pPr>
    </w:p>
    <w:p>
      <w:pPr>
        <w:pStyle w:val="Heading2"/>
        <w:spacing w:line="240" w:lineRule="auto" w:before="26"/>
        <w:ind w:right="98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98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53" w:right="98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left="153" w:right="98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983"/>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403"/>
        <w:gridCol w:w="956"/>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6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6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深圳市久金保商业保 理有限公司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10,000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1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1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37"/>
        <w:gridCol w:w="1409"/>
        <w:gridCol w:w="926"/>
        <w:gridCol w:w="1059"/>
        <w:gridCol w:w="1063"/>
        <w:gridCol w:w="775"/>
        <w:gridCol w:w="790"/>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3" w:right="21" w:hanging="232"/>
              <w:jc w:val="left"/>
              <w:rPr>
                <w:rFonts w:ascii="宋体" w:hAnsi="宋体" w:cs="宋体" w:eastAsia="宋体" w:hint="default"/>
                <w:sz w:val="18"/>
                <w:szCs w:val="18"/>
              </w:rPr>
            </w:pPr>
            <w:r>
              <w:rPr>
                <w:rFonts w:ascii="宋体" w:hAnsi="宋体" w:cs="宋体" w:eastAsia="宋体" w:hint="default"/>
                <w:spacing w:val="-10"/>
                <w:sz w:val="18"/>
                <w:szCs w:val="18"/>
              </w:rPr>
              <w:t>实际发生日期（协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议签署日）</w:t>
            </w: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3" w:right="92"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9"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09"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34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150"/>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34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49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6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9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6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61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983"/>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53" w:right="983"/>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983"/>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983"/>
        <w:jc w:val="left"/>
      </w:pPr>
      <w:r>
        <w:rPr/>
        <w:t>单项金额重大或安全性较低、流动性较差、不保本的高风险委托理财具体情况</w:t>
      </w:r>
    </w:p>
    <w:p>
      <w:pPr>
        <w:pStyle w:val="BodyText"/>
        <w:spacing w:line="340" w:lineRule="auto" w:before="116"/>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983"/>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153" w:right="983"/>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983"/>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506"/>
        <w:jc w:val="both"/>
      </w:pPr>
      <w:r>
        <w:rPr/>
        <w:t>作为上市公司，公司在追求经济效益的同时，始终重视企业社会价值的实现，积极承担企业社会责任。自上市以来， </w:t>
      </w:r>
      <w:r>
        <w:rPr>
          <w:spacing w:val="-2"/>
        </w:rPr>
        <w:t>公司牢固树立规范运作的理念，不断规范股东大会、董事会、监事会的运作，建立了较为完善的法人治理结构，形成了完整</w:t>
      </w:r>
      <w:r>
        <w:rPr>
          <w:spacing w:val="-66"/>
        </w:rPr>
        <w:t> </w:t>
      </w:r>
      <w:r>
        <w:rPr>
          <w:spacing w:val="-66"/>
        </w:rPr>
      </w:r>
      <w:r>
        <w:rPr>
          <w:spacing w:val="-4"/>
        </w:rPr>
        <w:t>的内控制度；公司认真履行信息披露义务，并建立了与投资者的良好互动，诚信对待和保护股东特别是中小股东的合法权益；</w:t>
      </w:r>
      <w:r>
        <w:rPr>
          <w:spacing w:val="-44"/>
        </w:rPr>
        <w:t> </w:t>
      </w:r>
      <w:r>
        <w:rPr>
          <w:spacing w:val="-44"/>
        </w:rPr>
      </w:r>
      <w:r>
        <w:rPr/>
        <w:t>公司重视对投资者的合理回报，在保证企业自身健康发展的前提下，坚持以相对稳定的利润分配政策积极回报公司股东。</w:t>
      </w:r>
    </w:p>
    <w:p>
      <w:pPr>
        <w:pStyle w:val="BodyText"/>
        <w:spacing w:line="300" w:lineRule="auto" w:before="19"/>
        <w:ind w:right="1130" w:firstLine="360"/>
        <w:jc w:val="both"/>
      </w:pPr>
      <w:r>
        <w:rPr>
          <w:spacing w:val="-1"/>
        </w:rPr>
        <w:t>公司围绕</w:t>
      </w:r>
      <w:r>
        <w:rPr>
          <w:rFonts w:ascii="Times New Roman" w:hAnsi="Times New Roman" w:cs="Times New Roman" w:eastAsia="Times New Roman" w:hint="default"/>
          <w:spacing w:val="-1"/>
        </w:rPr>
        <w:t>“</w:t>
      </w:r>
      <w:r>
        <w:rPr>
          <w:spacing w:val="-1"/>
        </w:rPr>
        <w:t>情</w:t>
      </w:r>
      <w:r>
        <w:rPr>
          <w:rFonts w:ascii="Times New Roman" w:hAnsi="Times New Roman" w:cs="Times New Roman" w:eastAsia="Times New Roman" w:hint="default"/>
          <w:spacing w:val="-1"/>
        </w:rPr>
        <w:t>”</w:t>
      </w:r>
      <w:r>
        <w:rPr>
          <w:spacing w:val="-1"/>
        </w:rPr>
        <w:t>字构筑企业文化，全面倡导</w:t>
      </w:r>
      <w:r>
        <w:rPr>
          <w:rFonts w:ascii="Times New Roman" w:hAnsi="Times New Roman" w:cs="Times New Roman" w:eastAsia="Times New Roman" w:hint="default"/>
          <w:spacing w:val="-1"/>
        </w:rPr>
        <w:t>“</w:t>
      </w:r>
      <w:r>
        <w:rPr>
          <w:spacing w:val="-1"/>
        </w:rPr>
        <w:t>尊重人才、重用人才、善待人才</w:t>
      </w:r>
      <w:r>
        <w:rPr>
          <w:rFonts w:ascii="Times New Roman" w:hAnsi="Times New Roman" w:cs="Times New Roman" w:eastAsia="Times New Roman" w:hint="default"/>
          <w:spacing w:val="-1"/>
        </w:rPr>
        <w:t>”</w:t>
      </w:r>
      <w:r>
        <w:rPr>
          <w:spacing w:val="-1"/>
        </w:rPr>
        <w:t>的人才观念、</w:t>
      </w:r>
      <w:r>
        <w:rPr>
          <w:rFonts w:ascii="Times New Roman" w:hAnsi="Times New Roman" w:cs="Times New Roman" w:eastAsia="Times New Roman" w:hint="default"/>
          <w:spacing w:val="-1"/>
        </w:rPr>
        <w:t>“</w:t>
      </w:r>
      <w:r>
        <w:rPr>
          <w:spacing w:val="-1"/>
        </w:rPr>
        <w:t>简单、规范、高效、创新</w:t>
      </w:r>
      <w:r>
        <w:rPr>
          <w:rFonts w:ascii="Times New Roman" w:hAnsi="Times New Roman" w:cs="Times New Roman" w:eastAsia="Times New Roman" w:hint="default"/>
          <w:spacing w:val="-1"/>
        </w:rPr>
        <w:t>”</w:t>
      </w:r>
      <w:r>
        <w:rPr>
          <w:spacing w:val="-1"/>
        </w:rPr>
        <w:t>的</w:t>
      </w:r>
      <w:r>
        <w:rPr/>
        <w:t> </w:t>
      </w:r>
      <w:r>
        <w:rPr>
          <w:spacing w:val="-2"/>
        </w:rPr>
        <w:t>价值观以及</w:t>
      </w:r>
      <w:r>
        <w:rPr>
          <w:rFonts w:ascii="Times New Roman" w:hAnsi="Times New Roman" w:cs="Times New Roman" w:eastAsia="Times New Roman" w:hint="default"/>
          <w:spacing w:val="-2"/>
        </w:rPr>
        <w:t>“</w:t>
      </w:r>
      <w:r>
        <w:rPr>
          <w:spacing w:val="-2"/>
        </w:rPr>
        <w:t>身体健康、心理健康、知识共享、富足自强</w:t>
      </w:r>
      <w:r>
        <w:rPr>
          <w:rFonts w:ascii="Times New Roman" w:hAnsi="Times New Roman" w:cs="Times New Roman" w:eastAsia="Times New Roman" w:hint="default"/>
          <w:spacing w:val="-2"/>
        </w:rPr>
        <w:t>”</w:t>
      </w:r>
      <w:r>
        <w:rPr>
          <w:spacing w:val="-2"/>
        </w:rPr>
        <w:t>的人生追求，建有较为完善的企业文化体系。通过设立久其人俱乐</w:t>
      </w:r>
      <w:r>
        <w:rPr>
          <w:spacing w:val="-46"/>
        </w:rPr>
        <w:t> </w:t>
      </w:r>
      <w:r>
        <w:rPr>
          <w:spacing w:val="-46"/>
        </w:rPr>
      </w:r>
      <w:r>
        <w:rPr/>
        <w:t>部、创新创业奖励基金等不断强化员工关怀与员工发展，同时积极参与社会公益，用实际行动履行企业社会责任。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left="153" w:right="983"/>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left="153" w:right="983"/>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不适用</w:t>
      </w:r>
    </w:p>
    <w:p>
      <w:pPr>
        <w:spacing w:line="240" w:lineRule="auto" w:before="4"/>
        <w:rPr>
          <w:rFonts w:ascii="宋体" w:hAnsi="宋体" w:cs="宋体" w:eastAsia="宋体" w:hint="default"/>
          <w:sz w:val="18"/>
          <w:szCs w:val="18"/>
        </w:rPr>
      </w:pPr>
    </w:p>
    <w:p>
      <w:pPr>
        <w:pStyle w:val="Heading2"/>
        <w:spacing w:line="240" w:lineRule="auto"/>
        <w:ind w:left="154" w:right="983"/>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、经公司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日召开的</w:t>
      </w:r>
      <w:r>
        <w:rPr>
          <w:rFonts w:ascii="Times New Roman" w:hAnsi="Times New Roman" w:cs="Times New Roman" w:eastAsia="Times New Roman" w:hint="default"/>
          <w:spacing w:val="-1"/>
        </w:rPr>
        <w:t>2017</w:t>
      </w:r>
      <w:r>
        <w:rPr>
          <w:spacing w:val="-1"/>
        </w:rPr>
        <w:t>年第四次临时股东大会审议通过，公司拟以配股公开发行股票的方式募集资金</w:t>
      </w:r>
      <w:r>
        <w:rPr>
          <w:rFonts w:ascii="Times New Roman" w:hAnsi="Times New Roman" w:cs="Times New Roman" w:eastAsia="Times New Roman" w:hint="default"/>
          <w:spacing w:val="-1"/>
        </w:rPr>
        <w:t>12.448</w:t>
      </w:r>
      <w:r>
        <w:rPr>
          <w:spacing w:val="-1"/>
        </w:rPr>
        <w:t>亿</w:t>
      </w:r>
      <w:r>
        <w:rPr>
          <w:spacing w:val="-63"/>
        </w:rPr>
        <w:t> </w:t>
      </w:r>
      <w:r>
        <w:rPr>
          <w:spacing w:val="-1"/>
        </w:rPr>
        <w:t>元用于收购久其科技持有的上海移通</w:t>
      </w:r>
      <w:r>
        <w:rPr>
          <w:rFonts w:ascii="Times New Roman" w:hAnsi="Times New Roman" w:cs="Times New Roman" w:eastAsia="Times New Roman" w:hint="default"/>
          <w:spacing w:val="-1"/>
        </w:rPr>
        <w:t>49%</w:t>
      </w:r>
      <w:r>
        <w:rPr>
          <w:spacing w:val="-1"/>
        </w:rPr>
        <w:t>股权，并支付收购上海移通</w:t>
      </w:r>
      <w:r>
        <w:rPr>
          <w:rFonts w:ascii="Times New Roman" w:hAnsi="Times New Roman" w:cs="Times New Roman" w:eastAsia="Times New Roman" w:hint="default"/>
          <w:spacing w:val="-1"/>
        </w:rPr>
        <w:t>51%</w:t>
      </w:r>
      <w:r>
        <w:rPr>
          <w:spacing w:val="-1"/>
        </w:rPr>
        <w:t>股权的第二期对价款。公司向中国证监会申报配股</w:t>
      </w:r>
    </w:p>
    <w:p>
      <w:pPr>
        <w:pStyle w:val="BodyText"/>
        <w:spacing w:line="302" w:lineRule="auto"/>
        <w:ind w:right="1123"/>
        <w:jc w:val="left"/>
        <w:rPr>
          <w:rFonts w:ascii="Times New Roman" w:hAnsi="Times New Roman" w:cs="Times New Roman" w:eastAsia="Times New Roman" w:hint="default"/>
        </w:rPr>
      </w:pPr>
      <w:r>
        <w:rPr/>
        <w:t>申请文件后，于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日收到《中国证监会行政许可申请受理通知书》（</w:t>
      </w:r>
      <w:r>
        <w:rPr>
          <w:rFonts w:ascii="Times New Roman" w:hAnsi="Times New Roman" w:cs="Times New Roman" w:eastAsia="Times New Roman" w:hint="default"/>
        </w:rPr>
        <w:t>172491</w:t>
      </w:r>
      <w:r>
        <w:rPr/>
        <w:t>号）。 由于资本市场环境发生变化，为了充分维护广大投资者特别是中小投资者的利益，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日分别召开的公司</w:t>
      </w:r>
      <w:r>
        <w:rPr>
          <w:rFonts w:ascii="Times New Roman" w:hAnsi="Times New Roman" w:cs="Times New Roman" w:eastAsia="Times New Roman" w:hint="default"/>
        </w:rPr>
        <w:t>2018</w:t>
      </w:r>
      <w:r>
        <w:rPr/>
        <w:t>年第 </w:t>
      </w:r>
      <w:r>
        <w:rPr>
          <w:spacing w:val="-2"/>
        </w:rPr>
        <w:t>二次临时股东大会审议通过了《关于终止公司配股方案并撤回配股申请文件的议案》，同意公司终止配股方案并向中国证监</w:t>
      </w:r>
      <w:r>
        <w:rPr>
          <w:spacing w:val="-66"/>
        </w:rPr>
        <w:t> </w:t>
      </w:r>
      <w:r>
        <w:rPr>
          <w:spacing w:val="-66"/>
        </w:rPr>
      </w:r>
      <w:r>
        <w:rPr>
          <w:spacing w:val="-1"/>
        </w:rPr>
        <w:t>会申请撤回配股申请文件。</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日，公司收到《中国证监会行政许可申请终止审查通知书》（</w:t>
      </w:r>
      <w:r>
        <w:rPr>
          <w:rFonts w:ascii="Times New Roman" w:hAnsi="Times New Roman" w:cs="Times New Roman" w:eastAsia="Times New Roman" w:hint="default"/>
          <w:spacing w:val="-1"/>
        </w:rPr>
        <w:t>[2018]63</w:t>
      </w:r>
      <w:r>
        <w:rPr>
          <w:spacing w:val="-1"/>
        </w:rPr>
        <w:t>号）。公司拟</w:t>
      </w:r>
      <w:r>
        <w:rPr>
          <w:spacing w:val="-56"/>
        </w:rPr>
        <w:t> </w:t>
      </w:r>
      <w:r>
        <w:rPr>
          <w:spacing w:val="-56"/>
        </w:rPr>
      </w:r>
      <w:r>
        <w:rPr/>
        <w:t>以自有及自筹资金的方式收购久其科技持有的上海移通</w:t>
      </w:r>
      <w:r>
        <w:rPr>
          <w:rFonts w:ascii="Times New Roman" w:hAnsi="Times New Roman" w:cs="Times New Roman" w:eastAsia="Times New Roman" w:hint="default"/>
        </w:rPr>
        <w:t>49%</w:t>
      </w:r>
      <w:r>
        <w:rPr/>
        <w:t>股权，该关联交易事项已经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2018</w:t>
      </w:r>
      <w:r>
        <w:rPr/>
        <w:t>年第三次临 时股东大会审议通过，上海移通</w:t>
      </w:r>
      <w:r>
        <w:rPr>
          <w:rFonts w:ascii="Times New Roman" w:hAnsi="Times New Roman" w:cs="Times New Roman" w:eastAsia="Times New Roman" w:hint="default"/>
        </w:rPr>
        <w:t>49%</w:t>
      </w:r>
      <w:r>
        <w:rPr/>
        <w:t>股权资产过户事宜已于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日办理完成。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日披露《关于董监高减持股份计划的预披露公告》，公司部分董事、监事及高级管理人员拟自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p>
    <w:p>
      <w:pPr>
        <w:spacing w:after="0" w:line="302"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300" w:lineRule="auto" w:before="44"/>
        <w:ind w:left="154" w:right="1130"/>
        <w:jc w:val="both"/>
      </w:pP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日期间减持其所持有的部分公司股票。在计划减持期间内，公司董事王新先生通过集中竞价交易方式</w:t>
      </w:r>
      <w:r>
        <w:rPr>
          <w:spacing w:val="-54"/>
        </w:rPr>
        <w:t> </w:t>
      </w:r>
      <w:r>
        <w:rPr>
          <w:spacing w:val="-54"/>
        </w:rPr>
      </w:r>
      <w:r>
        <w:rPr>
          <w:spacing w:val="-2"/>
        </w:rPr>
        <w:t>减持公司股份</w:t>
      </w:r>
      <w:r>
        <w:rPr>
          <w:rFonts w:ascii="Times New Roman" w:hAnsi="Times New Roman" w:cs="Times New Roman" w:eastAsia="Times New Roman" w:hint="default"/>
          <w:spacing w:val="-2"/>
        </w:rPr>
        <w:t>5,838,826</w:t>
      </w:r>
      <w:r>
        <w:rPr>
          <w:spacing w:val="-2"/>
        </w:rPr>
        <w:t>股，除此外，基于对公司未来发展的信心和对公司投资价值的认可，其他董事、监事及高级管理人员</w:t>
      </w:r>
      <w:r>
        <w:rPr>
          <w:spacing w:val="-59"/>
        </w:rPr>
        <w:t> </w:t>
      </w:r>
      <w:r>
        <w:rPr>
          <w:spacing w:val="-59"/>
        </w:rPr>
      </w:r>
      <w:r>
        <w:rPr>
          <w:spacing w:val="-2"/>
        </w:rPr>
        <w:t>在未实施减持计划的同时于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日自愿提前终止其减持股份计划。公司于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日披露了《关于董事减持股</w:t>
      </w:r>
      <w:r>
        <w:rPr>
          <w:spacing w:val="-48"/>
        </w:rPr>
        <w:t> </w:t>
      </w:r>
      <w:r>
        <w:rPr>
          <w:spacing w:val="-48"/>
        </w:rPr>
      </w:r>
      <w:r>
        <w:rPr/>
        <w:t>份计划实施完成的公告》。</w:t>
      </w:r>
    </w:p>
    <w:p>
      <w:pPr>
        <w:spacing w:line="240" w:lineRule="auto" w:before="10"/>
        <w:rPr>
          <w:rFonts w:ascii="宋体" w:hAnsi="宋体" w:cs="宋体" w:eastAsia="宋体" w:hint="default"/>
          <w:sz w:val="21"/>
          <w:szCs w:val="21"/>
        </w:rPr>
      </w:pPr>
    </w:p>
    <w:p>
      <w:pPr>
        <w:pStyle w:val="Heading2"/>
        <w:spacing w:line="240" w:lineRule="auto"/>
        <w:ind w:left="154" w:right="983"/>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、经公司第六届董事会第三次（临时）会议审议通过，公司使用自有资金向全资子公司久金保增资</w:t>
      </w:r>
      <w:r>
        <w:rPr>
          <w:rFonts w:ascii="Times New Roman" w:hAnsi="Times New Roman" w:cs="Times New Roman" w:eastAsia="Times New Roman" w:hint="default"/>
        </w:rPr>
        <w:t>15,000</w:t>
      </w:r>
      <w:r>
        <w:rPr/>
        <w:t>万元，本次增资</w:t>
      </w:r>
      <w:r>
        <w:rPr>
          <w:spacing w:val="-43"/>
        </w:rPr>
        <w:t> </w:t>
      </w:r>
      <w:r>
        <w:rPr>
          <w:spacing w:val="-43"/>
        </w:rPr>
      </w:r>
      <w:r>
        <w:rPr>
          <w:spacing w:val="21"/>
        </w:rPr>
        <w:t>完成后</w:t>
      </w:r>
      <w:r>
        <w:rPr>
          <w:spacing w:val="-60"/>
        </w:rPr>
        <w:t> </w:t>
      </w:r>
      <w:r>
        <w:rPr/>
        <w:t>，</w:t>
      </w:r>
      <w:r>
        <w:rPr>
          <w:spacing w:val="-59"/>
        </w:rPr>
        <w:t> </w:t>
      </w:r>
      <w:r>
        <w:rPr/>
        <w:t>久</w:t>
      </w:r>
      <w:r>
        <w:rPr>
          <w:spacing w:val="-61"/>
        </w:rPr>
        <w:t> </w:t>
      </w:r>
      <w:r>
        <w:rPr/>
        <w:t>金</w:t>
      </w:r>
      <w:r>
        <w:rPr>
          <w:spacing w:val="-59"/>
        </w:rPr>
        <w:t> </w:t>
      </w:r>
      <w:r>
        <w:rPr/>
        <w:t>保</w:t>
      </w:r>
      <w:r>
        <w:rPr>
          <w:spacing w:val="-59"/>
        </w:rPr>
        <w:t> </w:t>
      </w:r>
      <w:r>
        <w:rPr/>
        <w:t>的</w:t>
      </w:r>
      <w:r>
        <w:rPr>
          <w:spacing w:val="-61"/>
        </w:rPr>
        <w:t> </w:t>
      </w:r>
      <w:r>
        <w:rPr/>
        <w:t>注</w:t>
      </w:r>
      <w:r>
        <w:rPr>
          <w:spacing w:val="-59"/>
        </w:rPr>
        <w:t> </w:t>
      </w:r>
      <w:r>
        <w:rPr/>
        <w:t>册</w:t>
      </w:r>
      <w:r>
        <w:rPr>
          <w:spacing w:val="-61"/>
        </w:rPr>
        <w:t> </w:t>
      </w:r>
      <w:r>
        <w:rPr/>
        <w:t>资</w:t>
      </w:r>
      <w:r>
        <w:rPr>
          <w:spacing w:val="-59"/>
        </w:rPr>
        <w:t> </w:t>
      </w:r>
      <w:r>
        <w:rPr/>
        <w:t>本</w:t>
      </w:r>
      <w:r>
        <w:rPr>
          <w:spacing w:val="-59"/>
        </w:rPr>
        <w:t> </w:t>
      </w:r>
      <w:r>
        <w:rPr/>
        <w:t>变</w:t>
      </w:r>
      <w:r>
        <w:rPr>
          <w:spacing w:val="-61"/>
        </w:rPr>
        <w:t> </w:t>
      </w:r>
      <w:r>
        <w:rPr/>
        <w:t>更</w:t>
      </w:r>
      <w:r>
        <w:rPr>
          <w:spacing w:val="-59"/>
        </w:rPr>
        <w:t> </w:t>
      </w:r>
      <w:r>
        <w:rPr/>
        <w:t>为</w:t>
      </w:r>
      <w:r>
        <w:rPr>
          <w:spacing w:val="-57"/>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4"/>
        </w:rPr>
        <w:t> </w:t>
      </w:r>
      <w:r>
        <w:rPr>
          <w:spacing w:val="15"/>
        </w:rPr>
        <w:t>万元</w:t>
      </w:r>
      <w:r>
        <w:rPr>
          <w:spacing w:val="-59"/>
        </w:rPr>
        <w:t> </w:t>
      </w:r>
      <w:r>
        <w:rPr/>
        <w:t>，</w:t>
      </w:r>
      <w:r>
        <w:rPr>
          <w:spacing w:val="-60"/>
        </w:rPr>
        <w:t> </w:t>
      </w:r>
      <w:r>
        <w:rPr/>
        <w:t>具</w:t>
      </w:r>
      <w:r>
        <w:rPr>
          <w:spacing w:val="-59"/>
        </w:rPr>
        <w:t> </w:t>
      </w:r>
      <w:r>
        <w:rPr/>
        <w:t>体</w:t>
      </w:r>
      <w:r>
        <w:rPr>
          <w:spacing w:val="-59"/>
        </w:rPr>
        <w:t> </w:t>
      </w:r>
      <w:r>
        <w:rPr/>
        <w:t>情</w:t>
      </w:r>
      <w:r>
        <w:rPr>
          <w:spacing w:val="-61"/>
        </w:rPr>
        <w:t> </w:t>
      </w:r>
      <w:r>
        <w:rPr/>
        <w:t>况</w:t>
      </w:r>
      <w:r>
        <w:rPr>
          <w:spacing w:val="-59"/>
        </w:rPr>
        <w:t> </w:t>
      </w:r>
      <w:r>
        <w:rPr/>
        <w:t>详</w:t>
      </w:r>
      <w:r>
        <w:rPr>
          <w:spacing w:val="-61"/>
        </w:rPr>
        <w:t> </w:t>
      </w:r>
      <w:r>
        <w:rPr/>
        <w:t>见</w:t>
      </w:r>
      <w:r>
        <w:rPr>
          <w:spacing w:val="-59"/>
        </w:rPr>
        <w:t> </w:t>
      </w:r>
      <w:r>
        <w:rPr/>
        <w:t>公</w:t>
      </w:r>
      <w:r>
        <w:rPr>
          <w:spacing w:val="-59"/>
        </w:rPr>
        <w:t> </w:t>
      </w:r>
      <w:r>
        <w:rPr/>
        <w:t>司</w:t>
      </w:r>
      <w:r>
        <w:rPr>
          <w:spacing w:val="-61"/>
        </w:rPr>
        <w:t> </w:t>
      </w:r>
      <w:r>
        <w:rPr/>
        <w:t>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16"/>
        </w:rPr>
        <w:t>日和</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日</w:t>
      </w:r>
      <w:r>
        <w:rPr>
          <w:spacing w:val="-59"/>
        </w:rPr>
        <w:t> </w:t>
      </w:r>
      <w:r>
        <w:rPr/>
        <w:t>在</w:t>
      </w:r>
      <w:r>
        <w:rPr>
          <w:spacing w:val="-61"/>
        </w:rPr>
        <w:t> </w:t>
      </w:r>
      <w:r>
        <w:rPr/>
        <w:t>巨</w:t>
      </w:r>
      <w:r>
        <w:rPr>
          <w:spacing w:val="-61"/>
        </w:rPr>
        <w:t> </w:t>
      </w:r>
      <w:r>
        <w:rPr/>
        <w:t>潮</w:t>
      </w:r>
      <w:r>
        <w:rPr>
          <w:spacing w:val="-59"/>
        </w:rPr>
        <w:t> </w:t>
      </w:r>
      <w:r>
        <w:rPr/>
        <w:t>资</w:t>
      </w:r>
      <w:r>
        <w:rPr>
          <w:spacing w:val="-59"/>
        </w:rPr>
        <w:t> </w:t>
      </w:r>
      <w:r>
        <w:rPr/>
        <w:t>讯</w:t>
      </w:r>
      <w:r>
        <w:rPr>
          <w:spacing w:val="-59"/>
        </w:rPr>
        <w:t> </w:t>
      </w:r>
      <w:r>
        <w:rPr/>
        <w:t>网</w:t>
      </w:r>
    </w:p>
    <w:p>
      <w:pPr>
        <w:pStyle w:val="BodyText"/>
        <w:spacing w:line="302" w:lineRule="auto"/>
        <w:ind w:right="1118"/>
        <w:jc w:val="left"/>
      </w:pPr>
      <w:r>
        <w:rPr/>
        <w:t>（</w:t>
      </w:r>
      <w:hyperlink r:id="rId13">
        <w:r>
          <w:rPr>
            <w:rFonts w:ascii="Times New Roman" w:hAnsi="Times New Roman" w:cs="Times New Roman" w:eastAsia="Times New Roman" w:hint="default"/>
          </w:rPr>
          <w:t>www.cninfo.com.cn</w:t>
        </w:r>
      </w:hyperlink>
      <w:r>
        <w:rPr/>
        <w:t>）上披露的相关公告。</w:t>
      </w:r>
      <w:r>
        <w:rPr>
          <w:w w:val="99"/>
        </w:rPr>
        <w:t> </w:t>
      </w:r>
      <w:r>
        <w:rPr>
          <w:rFonts w:ascii="Times New Roman" w:hAnsi="Times New Roman" w:cs="Times New Roman" w:eastAsia="Times New Roman" w:hint="default"/>
        </w:rPr>
        <w:t>2</w:t>
      </w:r>
      <w:r>
        <w:rPr/>
        <w:t>、经公司</w:t>
      </w:r>
      <w:r>
        <w:rPr>
          <w:rFonts w:ascii="Times New Roman" w:hAnsi="Times New Roman" w:cs="Times New Roman" w:eastAsia="Times New Roman" w:hint="default"/>
        </w:rPr>
        <w:t>2017</w:t>
      </w:r>
      <w:r>
        <w:rPr/>
        <w:t>年第二次临时股东大会审议通过，因募投项目建设需要，公司与公司实际控制人董泰湘女士共同出资</w:t>
      </w:r>
      <w:r>
        <w:rPr>
          <w:rFonts w:ascii="Times New Roman" w:hAnsi="Times New Roman" w:cs="Times New Roman" w:eastAsia="Times New Roman" w:hint="default"/>
        </w:rPr>
        <w:t>28,000</w:t>
      </w:r>
      <w:r>
        <w:rPr>
          <w:rFonts w:ascii="Times New Roman" w:hAnsi="Times New Roman" w:cs="Times New Roman" w:eastAsia="Times New Roman" w:hint="default"/>
          <w:w w:val="99"/>
        </w:rPr>
        <w:t> </w:t>
      </w:r>
      <w:r>
        <w:rPr>
          <w:spacing w:val="-1"/>
        </w:rPr>
        <w:t>万元对公司控股子公司久其政务进行增资，公司出资</w:t>
      </w:r>
      <w:r>
        <w:rPr>
          <w:rFonts w:ascii="Times New Roman" w:hAnsi="Times New Roman" w:cs="Times New Roman" w:eastAsia="Times New Roman" w:hint="default"/>
          <w:spacing w:val="-1"/>
        </w:rPr>
        <w:t>27,860</w:t>
      </w:r>
      <w:r>
        <w:rPr>
          <w:spacing w:val="-1"/>
        </w:rPr>
        <w:t>万元（其中以公开发行可转换公司债券募集资金出资</w:t>
      </w:r>
      <w:r>
        <w:rPr>
          <w:rFonts w:ascii="Times New Roman" w:hAnsi="Times New Roman" w:cs="Times New Roman" w:eastAsia="Times New Roman" w:hint="default"/>
          <w:spacing w:val="-1"/>
        </w:rPr>
        <w:t>27,580.23</w:t>
      </w:r>
      <w:r>
        <w:rPr>
          <w:spacing w:val="-1"/>
        </w:rPr>
        <w:t>万</w:t>
      </w:r>
      <w:r>
        <w:rPr>
          <w:spacing w:val="-67"/>
        </w:rPr>
        <w:t> </w:t>
      </w:r>
      <w:r>
        <w:rPr>
          <w:spacing w:val="-2"/>
        </w:rPr>
        <w:t>元，以自筹资金出资</w:t>
      </w:r>
      <w:r>
        <w:rPr>
          <w:rFonts w:ascii="Times New Roman" w:hAnsi="Times New Roman" w:cs="Times New Roman" w:eastAsia="Times New Roman" w:hint="default"/>
          <w:spacing w:val="-2"/>
        </w:rPr>
        <w:t>279.77</w:t>
      </w:r>
      <w:r>
        <w:rPr>
          <w:spacing w:val="-2"/>
        </w:rPr>
        <w:t>万元），董泰湘女士出资</w:t>
      </w:r>
      <w:r>
        <w:rPr>
          <w:rFonts w:ascii="Times New Roman" w:hAnsi="Times New Roman" w:cs="Times New Roman" w:eastAsia="Times New Roman" w:hint="default"/>
          <w:spacing w:val="-2"/>
        </w:rPr>
        <w:t>140</w:t>
      </w:r>
      <w:r>
        <w:rPr>
          <w:spacing w:val="-2"/>
        </w:rPr>
        <w:t>万元。本次增资完成后，久其政务的注册资本变更为</w:t>
      </w:r>
      <w:r>
        <w:rPr>
          <w:rFonts w:ascii="Times New Roman" w:hAnsi="Times New Roman" w:cs="Times New Roman" w:eastAsia="Times New Roman" w:hint="default"/>
          <w:spacing w:val="-2"/>
        </w:rPr>
        <w:t>33,000</w:t>
      </w:r>
      <w:r>
        <w:rPr>
          <w:spacing w:val="-2"/>
        </w:rPr>
        <w:t>万元。具</w:t>
      </w:r>
      <w:r>
        <w:rPr>
          <w:spacing w:val="-55"/>
        </w:rPr>
        <w:t> </w:t>
      </w:r>
      <w:r>
        <w:rPr>
          <w:spacing w:val="-55"/>
        </w:rPr>
      </w:r>
      <w:r>
        <w:rPr/>
        <w:t>体情况详见公司于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日在巨潮资讯网（</w:t>
      </w:r>
      <w:hyperlink r:id="rId13">
        <w:r>
          <w:rPr>
            <w:rFonts w:ascii="Times New Roman" w:hAnsi="Times New Roman" w:cs="Times New Roman" w:eastAsia="Times New Roman" w:hint="default"/>
          </w:rPr>
          <w:t>www.cninfo.com.cn</w:t>
        </w:r>
      </w:hyperlink>
      <w:r>
        <w:rPr/>
        <w:t>）上披露的相关公告。</w:t>
      </w:r>
      <w:r>
        <w:rPr>
          <w:w w:val="99"/>
        </w:rPr>
        <w:t> </w:t>
      </w:r>
      <w:r>
        <w:rPr>
          <w:rFonts w:ascii="Times New Roman" w:hAnsi="Times New Roman" w:cs="Times New Roman" w:eastAsia="Times New Roman" w:hint="default"/>
        </w:rPr>
        <w:t>3</w:t>
      </w:r>
      <w:r>
        <w:rPr/>
        <w:t>、报告期，海南久其控股子公司小驿科技（海南）有限公司（以下简称</w:t>
      </w:r>
      <w:r>
        <w:rPr>
          <w:rFonts w:ascii="Times New Roman" w:hAnsi="Times New Roman" w:cs="Times New Roman" w:eastAsia="Times New Roman" w:hint="default"/>
        </w:rPr>
        <w:t>“</w:t>
      </w:r>
      <w:r>
        <w:rPr/>
        <w:t>小驿科技</w:t>
      </w:r>
      <w:r>
        <w:rPr>
          <w:rFonts w:ascii="Times New Roman" w:hAnsi="Times New Roman" w:cs="Times New Roman" w:eastAsia="Times New Roman" w:hint="default"/>
        </w:rPr>
        <w:t>”</w:t>
      </w:r>
      <w:r>
        <w:rPr/>
        <w:t>）的少数股东股权发生变更，自然人股 东曲天来、王宏斌分别将其所持有的</w:t>
      </w:r>
      <w:r>
        <w:rPr>
          <w:rFonts w:ascii="Times New Roman" w:hAnsi="Times New Roman" w:cs="Times New Roman" w:eastAsia="Times New Roman" w:hint="default"/>
        </w:rPr>
        <w:t>150</w:t>
      </w:r>
      <w:r>
        <w:rPr/>
        <w:t>万元出资额转让给自然人股东符子俊，本次转让完成后，符子俊出资占比</w:t>
      </w:r>
      <w:r>
        <w:rPr>
          <w:rFonts w:ascii="Times New Roman" w:hAnsi="Times New Roman" w:cs="Times New Roman" w:eastAsia="Times New Roman" w:hint="default"/>
        </w:rPr>
        <w:t>30%</w:t>
      </w:r>
      <w:r>
        <w:rPr/>
        <w:t>，海 </w:t>
      </w:r>
      <w:r>
        <w:rPr>
          <w:spacing w:val="-1"/>
        </w:rPr>
        <w:t>南久其仍出资占比</w:t>
      </w:r>
      <w:r>
        <w:rPr>
          <w:rFonts w:ascii="Times New Roman" w:hAnsi="Times New Roman" w:cs="Times New Roman" w:eastAsia="Times New Roman" w:hint="default"/>
          <w:spacing w:val="-1"/>
        </w:rPr>
        <w:t>70%</w:t>
      </w:r>
      <w:r>
        <w:rPr>
          <w:spacing w:val="-1"/>
        </w:rPr>
        <w:t>。符子俊现任小驿科技执行董事兼总经理。因经营计划调整，小驿科技全资子公司新疆小驿物流有限</w:t>
      </w:r>
      <w:r>
        <w:rPr>
          <w:spacing w:val="-88"/>
        </w:rPr>
        <w:t> </w:t>
      </w:r>
      <w:r>
        <w:rPr>
          <w:spacing w:val="-88"/>
        </w:rPr>
      </w:r>
      <w:r>
        <w:rPr/>
        <w:t>公司已于报告期完成注销。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月，为强化内部管理，公司控股子公司北京久其龙信数据科技有限公司调整了经营管理团队，变更了公司执行董</w:t>
      </w:r>
      <w:r>
        <w:rPr>
          <w:spacing w:val="-60"/>
        </w:rPr>
        <w:t> </w:t>
      </w:r>
      <w:r>
        <w:rPr>
          <w:spacing w:val="-60"/>
        </w:rPr>
      </w:r>
      <w:r>
        <w:rPr/>
        <w:t>事及总经理，有关工商变更登记手续已于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日办理完成。 </w:t>
      </w:r>
      <w:r>
        <w:rPr>
          <w:rFonts w:ascii="Times New Roman" w:hAnsi="Times New Roman" w:cs="Times New Roman" w:eastAsia="Times New Roman" w:hint="default"/>
        </w:rPr>
        <w:t>5</w:t>
      </w:r>
      <w:r>
        <w:rPr/>
        <w:t>、鉴于公司控股子公司久其智通</w:t>
      </w:r>
      <w:r>
        <w:rPr>
          <w:rFonts w:ascii="Times New Roman" w:hAnsi="Times New Roman" w:cs="Times New Roman" w:eastAsia="Times New Roman" w:hint="default"/>
        </w:rPr>
        <w:t>2017</w:t>
      </w:r>
      <w:r>
        <w:rPr/>
        <w:t>年度经营业绩未达业绩承诺且其未来发展战略的调整，公司对投资其形成的商誉余额 </w:t>
      </w:r>
      <w:r>
        <w:rPr>
          <w:spacing w:val="-1"/>
        </w:rPr>
        <w:t>予以全额计提减值准备，即计提商誉减值准备</w:t>
      </w:r>
      <w:r>
        <w:rPr>
          <w:rFonts w:ascii="Times New Roman" w:hAnsi="Times New Roman" w:cs="Times New Roman" w:eastAsia="Times New Roman" w:hint="default"/>
          <w:spacing w:val="-1"/>
        </w:rPr>
        <w:t>240.10</w:t>
      </w:r>
      <w:r>
        <w:rPr>
          <w:spacing w:val="-1"/>
        </w:rPr>
        <w:t>万元。根据《深圳证券交易所中小企业板上市公司规范运作指引》的有</w:t>
      </w:r>
      <w:r>
        <w:rPr>
          <w:spacing w:val="-74"/>
        </w:rPr>
        <w:t> </w:t>
      </w:r>
      <w:r>
        <w:rPr>
          <w:spacing w:val="-74"/>
        </w:rPr>
      </w:r>
      <w:r>
        <w:rPr/>
        <w:t>关规定，本次计提商誉减值准备事项无需提交董事会及股东大会审议。</w:t>
      </w:r>
    </w:p>
    <w:p>
      <w:pPr>
        <w:spacing w:after="0" w:line="302"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983"/>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3"/>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53"/>
        <w:gridCol w:w="1145"/>
        <w:gridCol w:w="852"/>
        <w:gridCol w:w="850"/>
        <w:gridCol w:w="709"/>
        <w:gridCol w:w="991"/>
        <w:gridCol w:w="992"/>
        <w:gridCol w:w="994"/>
        <w:gridCol w:w="980"/>
        <w:gridCol w:w="794"/>
      </w:tblGrid>
      <w:tr>
        <w:trPr>
          <w:trHeight w:val="20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3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7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997" w:type="dxa"/>
            <w:gridSpan w:val="2"/>
            <w:vMerge/>
            <w:tcBorders>
              <w:left w:val="single" w:sz="4" w:space="0" w:color="000000"/>
              <w:bottom w:val="single" w:sz="4" w:space="0" w:color="000000"/>
              <w:right w:val="single" w:sz="4" w:space="0" w:color="000000"/>
            </w:tcBorders>
            <w:shd w:val="clear" w:color="auto" w:fill="D2D2D2"/>
          </w:tcPr>
          <w:p>
            <w:pPr/>
          </w:p>
        </w:tc>
        <w:tc>
          <w:tcPr>
            <w:tcW w:w="4537" w:type="dxa"/>
            <w:gridSpan w:val="5"/>
            <w:vMerge/>
            <w:tcBorders>
              <w:left w:val="single" w:sz="4" w:space="0" w:color="000000"/>
              <w:bottom w:val="single" w:sz="4" w:space="0" w:color="000000"/>
              <w:right w:val="single" w:sz="4" w:space="0" w:color="000000"/>
            </w:tcBorders>
            <w:shd w:val="clear" w:color="auto" w:fill="D2D2D2"/>
          </w:tcPr>
          <w:p>
            <w:pPr/>
          </w:p>
        </w:tc>
        <w:tc>
          <w:tcPr>
            <w:tcW w:w="1775"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6"/>
                <w:sz w:val="18"/>
                <w:szCs w:val="18"/>
              </w:rPr>
              <w:t>一、有限售条件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344,211,247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7,070,800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102,845,657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-17,413,196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92,503,261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436,714,508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61.45%</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 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344,211,247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7,070,800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102,845,657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-17,413,196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92,503,261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436,714,508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61.45%</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6"/>
                <w:sz w:val="18"/>
                <w:szCs w:val="18"/>
              </w:rPr>
              <w:t>其中：境内法人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131,649,110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24.31%</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39,494,733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39,494,733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171,143,843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24.08%</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9" w:firstLine="540"/>
              <w:jc w:val="left"/>
              <w:rPr>
                <w:rFonts w:ascii="宋体" w:hAnsi="宋体" w:cs="宋体" w:eastAsia="宋体" w:hint="default"/>
                <w:sz w:val="18"/>
                <w:szCs w:val="18"/>
              </w:rPr>
            </w:pPr>
            <w:r>
              <w:rPr>
                <w:rFonts w:ascii="宋体" w:hAnsi="宋体" w:cs="宋体" w:eastAsia="宋体" w:hint="default"/>
                <w:sz w:val="18"/>
                <w:szCs w:val="18"/>
              </w:rPr>
              <w:t>境内自 然人持股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212,562,137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7,070,800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63,350,924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-17,413,196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53,008,528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265,570,665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37.37%</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6"/>
                <w:sz w:val="18"/>
                <w:szCs w:val="18"/>
              </w:rPr>
              <w:t>二、无限售条件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197,280,703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2,456</w:t>
            </w: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59,536,072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17,193,678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76,732,206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274,012,909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38.55%</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 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197,280,703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2,456</w:t>
            </w: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59,536,072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17,193,678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76,732,206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274,012,909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38.55%</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541,491,950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7,073,256</w:t>
            </w: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162,381,729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169,235,467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710,727,417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983"/>
        <w:jc w:val="left"/>
      </w:pPr>
      <w:r>
        <w:rPr/>
        <w:t>股份变动的原因</w:t>
      </w:r>
    </w:p>
    <w:p>
      <w:pPr>
        <w:pStyle w:val="BodyText"/>
        <w:spacing w:line="314" w:lineRule="auto" w:before="117"/>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、由于交易对手方承诺的亿起联科技</w:t>
      </w:r>
      <w:r>
        <w:rPr>
          <w:rFonts w:ascii="Times New Roman" w:hAnsi="Times New Roman" w:cs="Times New Roman" w:eastAsia="Times New Roman" w:hint="default"/>
          <w:spacing w:val="-2"/>
        </w:rPr>
        <w:t>2016</w:t>
      </w:r>
      <w:r>
        <w:rPr>
          <w:spacing w:val="-2"/>
        </w:rPr>
        <w:t>年度业绩未达成，公司定向回购并注销了交易对手方所持的部分有限售条件股份，</w:t>
      </w:r>
      <w:r>
        <w:rPr>
          <w:spacing w:val="-58"/>
        </w:rPr>
        <w:t> </w:t>
      </w:r>
      <w:r>
        <w:rPr>
          <w:spacing w:val="-58"/>
        </w:rPr>
      </w:r>
      <w:r>
        <w:rPr>
          <w:spacing w:val="-4"/>
        </w:rPr>
        <w:t>导致公司总股本减少。交易对手方履行了股份补偿义务后，公司在报告期为其所持的第三期有限售条件股份办理了解除限售。</w:t>
      </w:r>
      <w:r>
        <w:rPr>
          <w:spacing w:val="-44"/>
        </w:rPr>
        <w:t> </w:t>
      </w:r>
      <w:r>
        <w:rPr>
          <w:spacing w:val="-44"/>
        </w:rPr>
      </w:r>
      <w:r>
        <w:rPr>
          <w:rFonts w:ascii="Times New Roman" w:hAnsi="Times New Roman" w:cs="Times New Roman" w:eastAsia="Times New Roman" w:hint="default"/>
        </w:rPr>
        <w:t>2</w:t>
      </w:r>
      <w:r>
        <w:rPr/>
        <w:t>、董事栗军在</w:t>
      </w:r>
      <w:r>
        <w:rPr>
          <w:rFonts w:ascii="Times New Roman" w:hAnsi="Times New Roman" w:cs="Times New Roman" w:eastAsia="Times New Roman" w:hint="default"/>
        </w:rPr>
        <w:t>2016</w:t>
      </w:r>
      <w:r>
        <w:rPr/>
        <w:t>年解除限售的部分股份因当时处于质押状态故解锁成为高管锁定股。报告期，该部分股份解除质押后变 更为无限售条件流通股。</w:t>
      </w:r>
    </w:p>
    <w:p>
      <w:pPr>
        <w:pStyle w:val="BodyText"/>
        <w:spacing w:line="307" w:lineRule="auto" w:before="20"/>
        <w:ind w:right="1123"/>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日实施了</w:t>
      </w:r>
      <w:r>
        <w:rPr>
          <w:rFonts w:ascii="Times New Roman" w:hAnsi="Times New Roman" w:cs="Times New Roman" w:eastAsia="Times New Roman" w:hint="default"/>
        </w:rPr>
        <w:t>2016</w:t>
      </w:r>
      <w:r>
        <w:rPr/>
        <w:t>年度利润分配及资本公积金转增股本方案，以资本公积金向全体股东每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 从而导致公司总股本增加。 </w:t>
      </w:r>
      <w:r>
        <w:rPr>
          <w:rFonts w:ascii="Times New Roman" w:hAnsi="Times New Roman" w:cs="Times New Roman" w:eastAsia="Times New Roman" w:hint="default"/>
        </w:rPr>
        <w:t>4</w:t>
      </w:r>
      <w:r>
        <w:rPr/>
        <w:t>、由于交易对手方承诺的华夏电通</w:t>
      </w:r>
      <w:r>
        <w:rPr>
          <w:rFonts w:ascii="Times New Roman" w:hAnsi="Times New Roman" w:cs="Times New Roman" w:eastAsia="Times New Roman" w:hint="default"/>
        </w:rPr>
        <w:t>2016</w:t>
      </w:r>
      <w:r>
        <w:rPr/>
        <w:t>年度业绩达成，公司在报告期为交易对手方所持的第二期有限售条件股份办理了解 除限售。</w:t>
      </w:r>
    </w:p>
    <w:p>
      <w:pPr>
        <w:pStyle w:val="BodyText"/>
        <w:spacing w:line="240" w:lineRule="auto" w:before="26"/>
        <w:ind w:right="983"/>
        <w:jc w:val="left"/>
      </w:pPr>
      <w:r>
        <w:rPr>
          <w:rFonts w:ascii="Times New Roman" w:hAnsi="Times New Roman" w:cs="Times New Roman" w:eastAsia="Times New Roman" w:hint="default"/>
        </w:rPr>
        <w:t>5</w:t>
      </w:r>
      <w:r>
        <w:rPr/>
        <w:t>、公司于报告期完成限制性股票激励计划的首次授予登记，新增</w:t>
      </w:r>
      <w:r>
        <w:rPr>
          <w:rFonts w:ascii="Times New Roman" w:hAnsi="Times New Roman" w:cs="Times New Roman" w:eastAsia="Times New Roman" w:hint="default"/>
        </w:rPr>
        <w:t>707.08</w:t>
      </w:r>
      <w:r>
        <w:rPr/>
        <w:t>万股限售股，从而导致公司总股本增加。</w:t>
      </w:r>
    </w:p>
    <w:p>
      <w:pPr>
        <w:pStyle w:val="BodyText"/>
        <w:spacing w:line="307" w:lineRule="auto" w:before="63"/>
        <w:ind w:right="1078"/>
        <w:jc w:val="left"/>
      </w:pPr>
      <w:r>
        <w:rPr>
          <w:rFonts w:ascii="Times New Roman" w:hAnsi="Times New Roman" w:cs="Times New Roman" w:eastAsia="Times New Roman" w:hint="default"/>
        </w:rPr>
        <w:t>6</w:t>
      </w:r>
      <w:r>
        <w:rPr/>
        <w:t>、董事长赵福君及部分董事、高级管理人员基于对公司发展的信心于报告期内通过二级市场合计增持</w:t>
      </w:r>
      <w:r>
        <w:rPr>
          <w:rFonts w:ascii="Times New Roman" w:hAnsi="Times New Roman" w:cs="Times New Roman" w:eastAsia="Times New Roman" w:hint="default"/>
        </w:rPr>
        <w:t>645,450</w:t>
      </w:r>
      <w:r>
        <w:rPr/>
        <w:t>股公司股份， 导致公司高管锁定股数量增加。 </w:t>
      </w:r>
      <w:r>
        <w:rPr>
          <w:rFonts w:ascii="Times New Roman" w:hAnsi="Times New Roman" w:cs="Times New Roman" w:eastAsia="Times New Roman" w:hint="default"/>
        </w:rPr>
        <w:t>7</w:t>
      </w:r>
      <w:r>
        <w:rPr/>
        <w:t>、公司公开发行的可转换公司债券自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日起进入转股期，部分债券持有人在报告期实施转股导致公司总股本增 加。</w:t>
      </w:r>
    </w:p>
    <w:p>
      <w:pPr>
        <w:pStyle w:val="BodyText"/>
        <w:spacing w:line="240" w:lineRule="auto" w:before="67"/>
        <w:ind w:left="154" w:right="983"/>
        <w:jc w:val="left"/>
      </w:pPr>
      <w:r>
        <w:rPr/>
        <w:t>股份变动的批准情况</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19" w:lineRule="auto" w:before="44"/>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w:t>
      </w:r>
      <w:r>
        <w:rPr>
          <w:rFonts w:ascii="Times New Roman" w:hAnsi="Times New Roman" w:cs="Times New Roman" w:eastAsia="Times New Roman" w:hint="default"/>
          <w:spacing w:val="-2"/>
        </w:rPr>
        <w:t>2016</w:t>
      </w:r>
      <w:r>
        <w:rPr>
          <w:spacing w:val="-2"/>
        </w:rPr>
        <w:t>年度股东大会，审议通过了《</w:t>
      </w:r>
      <w:r>
        <w:rPr>
          <w:rFonts w:ascii="Times New Roman" w:hAnsi="Times New Roman" w:cs="Times New Roman" w:eastAsia="Times New Roman" w:hint="default"/>
          <w:spacing w:val="-2"/>
        </w:rPr>
        <w:t>2016</w:t>
      </w:r>
      <w:r>
        <w:rPr>
          <w:spacing w:val="-2"/>
        </w:rPr>
        <w:t>年度利润分配及资本公积金转增股本方案》和《关于定</w:t>
      </w:r>
      <w:r>
        <w:rPr>
          <w:spacing w:val="-50"/>
        </w:rPr>
        <w:t> </w:t>
      </w:r>
      <w:r>
        <w:rPr>
          <w:spacing w:val="-50"/>
        </w:rPr>
      </w:r>
      <w:r>
        <w:rPr/>
        <w:t>向回购王新、李勇</w:t>
      </w:r>
      <w:r>
        <w:rPr>
          <w:rFonts w:ascii="Times New Roman" w:hAnsi="Times New Roman" w:cs="Times New Roman" w:eastAsia="Times New Roman" w:hint="default"/>
        </w:rPr>
        <w:t>2016</w:t>
      </w:r>
      <w:r>
        <w:rPr/>
        <w:t>年度应补偿股份暨关联交易的议案》。</w:t>
      </w:r>
    </w:p>
    <w:p>
      <w:pPr>
        <w:pStyle w:val="BodyText"/>
        <w:spacing w:line="319" w:lineRule="auto"/>
        <w:ind w:right="1132"/>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日召开</w:t>
      </w:r>
      <w:r>
        <w:rPr>
          <w:rFonts w:ascii="Times New Roman" w:hAnsi="Times New Roman" w:cs="Times New Roman" w:eastAsia="Times New Roman" w:hint="default"/>
          <w:spacing w:val="-2"/>
        </w:rPr>
        <w:t>2017</w:t>
      </w:r>
      <w:r>
        <w:rPr>
          <w:spacing w:val="-2"/>
        </w:rPr>
        <w:t>年第三次临时股东大会，审议通过了公司《</w:t>
      </w:r>
      <w:r>
        <w:rPr>
          <w:rFonts w:ascii="Times New Roman" w:hAnsi="Times New Roman" w:cs="Times New Roman" w:eastAsia="Times New Roman" w:hint="default"/>
          <w:spacing w:val="-2"/>
        </w:rPr>
        <w:t>2017</w:t>
      </w:r>
      <w:r>
        <w:rPr>
          <w:spacing w:val="-2"/>
        </w:rPr>
        <w:t>年度限制性股票激励计划》及其摘要。并</w:t>
      </w:r>
      <w:r>
        <w:rPr>
          <w:spacing w:val="-50"/>
        </w:rPr>
        <w:t> </w:t>
      </w:r>
      <w:r>
        <w:rPr>
          <w:spacing w:val="-50"/>
        </w:rPr>
      </w:r>
      <w:r>
        <w:rPr/>
        <w:t>于同日召开第六届董事会第十四次会议和第六届监事会第七次会议，确定本次限制性股票的首次授予日为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 股份变动的过户情况</w:t>
      </w:r>
    </w:p>
    <w:p>
      <w:pPr>
        <w:pStyle w:val="BodyText"/>
        <w:spacing w:line="314" w:lineRule="auto" w:before="58"/>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日，公司在中国证券登记结算有限责任公司深圳分公司办理完成对王新、李勇所持公司部分股份的回购及注</w:t>
      </w:r>
      <w:r>
        <w:rPr>
          <w:spacing w:val="-58"/>
        </w:rPr>
        <w:t> </w:t>
      </w:r>
      <w:r>
        <w:rPr>
          <w:spacing w:val="-58"/>
        </w:rPr>
      </w:r>
      <w:r>
        <w:rPr/>
        <w:t>销手续。 </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2016</w:t>
      </w:r>
      <w:r>
        <w:rPr>
          <w:spacing w:val="-2"/>
        </w:rPr>
        <w:t>年度利润分配及资本公积金转增股本方案于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日在中国证券登记结算有限责任公司深圳分公司办理完</w:t>
      </w:r>
      <w:r>
        <w:rPr>
          <w:spacing w:val="-52"/>
        </w:rPr>
        <w:t> </w:t>
      </w:r>
      <w:r>
        <w:rPr/>
        <w:t>毕。</w:t>
      </w:r>
    </w:p>
    <w:p>
      <w:pPr>
        <w:pStyle w:val="BodyText"/>
        <w:spacing w:line="300" w:lineRule="auto" w:before="20"/>
        <w:ind w:right="1213"/>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年度限制性股票激励计划首次授予登记于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日在中国证券登记结算有限责任公司深圳分公司办理完 毕。</w:t>
      </w:r>
    </w:p>
    <w:p>
      <w:pPr>
        <w:pStyle w:val="BodyText"/>
        <w:spacing w:line="240" w:lineRule="auto" w:before="72"/>
        <w:ind w:left="154" w:right="983"/>
        <w:jc w:val="left"/>
      </w:pPr>
      <w:r>
        <w:rPr/>
        <w:t>股份变动对最近一年和最近一期基本每股收益和稀释每股收益、归属于公司普通股股东的每股净资产等财务指标的影响</w:t>
      </w:r>
    </w:p>
    <w:p>
      <w:pPr>
        <w:pStyle w:val="BodyText"/>
        <w:spacing w:line="319" w:lineRule="auto" w:before="117"/>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本报告期股份变动后，按照截至报告期末公司总股本</w:t>
      </w:r>
      <w:r>
        <w:rPr>
          <w:rFonts w:ascii="Times New Roman" w:hAnsi="Times New Roman" w:cs="Times New Roman" w:eastAsia="Times New Roman" w:hint="default"/>
          <w:spacing w:val="-2"/>
        </w:rPr>
        <w:t>710,727,417</w:t>
      </w:r>
      <w:r>
        <w:rPr>
          <w:spacing w:val="-2"/>
        </w:rPr>
        <w:t>股计算。</w:t>
      </w:r>
      <w:r>
        <w:rPr>
          <w:rFonts w:ascii="Times New Roman" w:hAnsi="Times New Roman" w:cs="Times New Roman" w:eastAsia="Times New Roman" w:hint="default"/>
          <w:spacing w:val="-2"/>
        </w:rPr>
        <w:t>2016</w:t>
      </w:r>
      <w:r>
        <w:rPr>
          <w:spacing w:val="-2"/>
        </w:rPr>
        <w:t>年度基本每股收益为</w:t>
      </w:r>
      <w:r>
        <w:rPr>
          <w:rFonts w:ascii="Times New Roman" w:hAnsi="Times New Roman" w:cs="Times New Roman" w:eastAsia="Times New Roman" w:hint="default"/>
          <w:spacing w:val="-2"/>
        </w:rPr>
        <w:t>0.3076</w:t>
      </w:r>
      <w:r>
        <w:rPr>
          <w:spacing w:val="-2"/>
        </w:rPr>
        <w:t>元</w:t>
      </w:r>
      <w:r>
        <w:rPr>
          <w:rFonts w:ascii="Times New Roman" w:hAnsi="Times New Roman" w:cs="Times New Roman" w:eastAsia="Times New Roman" w:hint="default"/>
          <w:spacing w:val="-2"/>
        </w:rPr>
        <w:t>/</w:t>
      </w:r>
      <w:r>
        <w:rPr>
          <w:spacing w:val="-2"/>
        </w:rPr>
        <w:t>股，稀释每股收</w:t>
      </w:r>
      <w:r>
        <w:rPr>
          <w:spacing w:val="-51"/>
        </w:rPr>
        <w:t> </w:t>
      </w:r>
      <w:r>
        <w:rPr>
          <w:spacing w:val="-51"/>
        </w:rPr>
      </w:r>
      <w:r>
        <w:rPr/>
        <w:t>益为</w:t>
      </w:r>
      <w:r>
        <w:rPr>
          <w:rFonts w:ascii="Times New Roman" w:hAnsi="Times New Roman" w:cs="Times New Roman" w:eastAsia="Times New Roman" w:hint="default"/>
        </w:rPr>
        <w:t>0.3076</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3.0445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w:t>
      </w:r>
      <w:r>
        <w:rPr/>
        <w:t>年前三季度基本每股收益为</w:t>
      </w:r>
      <w:r>
        <w:rPr>
          <w:rFonts w:ascii="Times New Roman" w:hAnsi="Times New Roman" w:cs="Times New Roman" w:eastAsia="Times New Roman" w:hint="default"/>
        </w:rPr>
        <w:t>0.2045</w:t>
      </w:r>
      <w:r>
        <w:rPr/>
        <w:t>元</w:t>
      </w:r>
      <w:r>
        <w:rPr>
          <w:rFonts w:ascii="Times New Roman" w:hAnsi="Times New Roman" w:cs="Times New Roman" w:eastAsia="Times New Roman" w:hint="default"/>
        </w:rPr>
        <w:t>/</w:t>
      </w:r>
      <w:r>
        <w:rPr/>
        <w:t>股，稀释</w:t>
      </w:r>
    </w:p>
    <w:p>
      <w:pPr>
        <w:pStyle w:val="BodyText"/>
        <w:spacing w:line="340" w:lineRule="auto"/>
        <w:ind w:left="154" w:right="4622"/>
        <w:jc w:val="left"/>
      </w:pPr>
      <w:r>
        <w:rPr/>
        <w:t>每股收益为</w:t>
      </w:r>
      <w:r>
        <w:rPr>
          <w:rFonts w:ascii="Times New Roman" w:hAnsi="Times New Roman" w:cs="Times New Roman" w:eastAsia="Times New Roman" w:hint="default"/>
        </w:rPr>
        <w:t>0.2045</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3.5015</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40" w:lineRule="auto" w:before="41"/>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130,871,747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39,261,524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170,133,271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）认购重组项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目非公开发行股 </w:t>
            </w:r>
            <w:r>
              <w:rPr>
                <w:rFonts w:ascii="宋体" w:hAnsi="宋体" w:cs="宋体" w:eastAsia="宋体" w:hint="default"/>
                <w:spacing w:val="-6"/>
                <w:sz w:val="18"/>
                <w:szCs w:val="18"/>
              </w:rPr>
              <w:t>份限售（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股份限售（</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本公积金转增股</w:t>
            </w:r>
            <w:r>
              <w:rPr>
                <w:rFonts w:ascii="宋体" w:hAnsi="宋体" w:cs="宋体" w:eastAsia="宋体" w:hint="default"/>
                <w:sz w:val="18"/>
                <w:szCs w:val="18"/>
              </w:rPr>
              <w:t> 本而增加限售股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 已解除限售 </w:t>
            </w:r>
            <w:r>
              <w:rPr>
                <w:rFonts w:ascii="Times New Roman" w:hAnsi="Times New Roman" w:cs="Times New Roman" w:eastAsia="Times New Roman" w:hint="default"/>
                <w:sz w:val="18"/>
                <w:szCs w:val="18"/>
              </w:rPr>
              <w:t>166,090,983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4,042,288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82,776,995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24,833,098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107,610,093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）承诺股份限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金转增股本而增 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 已全部解除限售</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59,042,807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17,892,452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76,935,259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）承诺股份限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金转增股本及增 持而增加限售股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 已全部解除限 售，解限后仍需 遵循高管股例行 限售规定</w:t>
            </w:r>
          </w:p>
        </w:tc>
      </w:tr>
    </w:tbl>
    <w:p>
      <w:pPr>
        <w:spacing w:after="0" w:line="31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10,259,597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3,077,878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13,337,475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）高管股例行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积金转增股本而 增加限售股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1,957,460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）高管股例行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积金转增股本及 增持而增加限售 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）高管股例行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积金转增股本及 增持而增加限售 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312,000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）高管股例行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积金转增股本而 增加限售股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）高管股例行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积金转增股本及 增持而增加限售 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46,575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201,825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）高管股例行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积金转增股本而 增加限售股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152,625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45,787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198,412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）高管股例行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积金转增股本而 增加限售股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8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17,199,167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13,151,561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21,882,428</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00" w:lineRule="auto"/>
              <w:ind w:left="22" w:right="-28"/>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）重组项目承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诺股份限售（</w:t>
            </w:r>
            <w:r>
              <w:rPr>
                <w:rFonts w:ascii="Times New Roman" w:hAnsi="Times New Roman" w:cs="Times New Roman" w:eastAsia="Times New Roman" w:hint="default"/>
                <w:sz w:val="18"/>
                <w:szCs w:val="18"/>
              </w:rPr>
              <w:t>2</w:t>
            </w:r>
            <w:r>
              <w:rPr>
                <w:rFonts w:ascii="宋体" w:hAnsi="宋体" w:cs="宋体" w:eastAsia="宋体" w:hint="default"/>
                <w:sz w:val="18"/>
                <w:szCs w:val="18"/>
              </w:rPr>
              <w:t>） 高管股例行限售</w:t>
            </w:r>
          </w:p>
          <w:p>
            <w:pPr>
              <w:pStyle w:val="TableParagraph"/>
              <w:spacing w:line="309" w:lineRule="auto" w:before="32"/>
              <w:ind w:left="22" w:right="1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）资本公积金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转增股本而增加 限售股</w:t>
            </w:r>
          </w:p>
        </w:tc>
        <w:tc>
          <w:tcPr>
            <w:tcW w:w="136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根据交易协议约 定的各项解锁条 件均成就后，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8,468,300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9,250,731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79"/>
        <w:gridCol w:w="1355"/>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1" w:right="0"/>
              <w:jc w:val="both"/>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7"/>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1,526,526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股。解</w:t>
            </w:r>
          </w:p>
          <w:p>
            <w:pPr>
              <w:pStyle w:val="TableParagraph"/>
              <w:spacing w:line="319" w:lineRule="auto" w:before="63"/>
              <w:ind w:left="11" w:right="72"/>
              <w:jc w:val="both"/>
              <w:rPr>
                <w:rFonts w:ascii="宋体" w:hAnsi="宋体" w:cs="宋体" w:eastAsia="宋体" w:hint="default"/>
                <w:sz w:val="18"/>
                <w:szCs w:val="18"/>
              </w:rPr>
            </w:pPr>
            <w:r>
              <w:rPr>
                <w:rFonts w:ascii="宋体" w:hAnsi="宋体" w:cs="宋体" w:eastAsia="宋体" w:hint="default"/>
                <w:sz w:val="18"/>
                <w:szCs w:val="18"/>
              </w:rPr>
              <w:t>限后仍需遵循高 管股例行限售规 定</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11,262,530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6,388,367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3,256,048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8,130,211</w:t>
            </w:r>
          </w:p>
        </w:tc>
        <w:tc>
          <w:tcPr>
            <w:tcW w:w="137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8"/>
              <w:ind w:left="22" w:right="-16"/>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）重组项目承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诺股份限售（</w:t>
            </w:r>
            <w:r>
              <w:rPr>
                <w:rFonts w:ascii="Times New Roman" w:hAnsi="Times New Roman" w:cs="Times New Roman" w:eastAsia="Times New Roman" w:hint="default"/>
                <w:sz w:val="18"/>
                <w:szCs w:val="18"/>
              </w:rPr>
              <w:t>2</w:t>
            </w:r>
            <w:r>
              <w:rPr>
                <w:rFonts w:ascii="宋体" w:hAnsi="宋体" w:cs="宋体" w:eastAsia="宋体" w:hint="default"/>
                <w:sz w:val="18"/>
                <w:szCs w:val="18"/>
              </w:rPr>
              <w:t>） 资本公积金转增 股本而增加限售 股</w:t>
            </w:r>
          </w:p>
        </w:tc>
        <w:tc>
          <w:tcPr>
            <w:tcW w:w="135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根据交易协议约 定的各项解锁条 件均成就后，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6,388,367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6,978,623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1,151,588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7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17,582,535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6,924,303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6,484,778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17,143,010</w:t>
            </w:r>
          </w:p>
        </w:tc>
        <w:tc>
          <w:tcPr>
            <w:tcW w:w="137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0" w:lineRule="auto"/>
              <w:ind w:left="22" w:right="-16"/>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）重组项目承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诺股份限售（</w:t>
            </w:r>
            <w:r>
              <w:rPr>
                <w:rFonts w:ascii="Times New Roman" w:hAnsi="Times New Roman" w:cs="Times New Roman" w:eastAsia="Times New Roman" w:hint="default"/>
                <w:sz w:val="18"/>
                <w:szCs w:val="18"/>
              </w:rPr>
              <w:t>2</w:t>
            </w:r>
            <w:r>
              <w:rPr>
                <w:rFonts w:ascii="宋体" w:hAnsi="宋体" w:cs="宋体" w:eastAsia="宋体" w:hint="default"/>
                <w:sz w:val="18"/>
                <w:szCs w:val="18"/>
              </w:rPr>
              <w:t>） 高管股例行限售</w:t>
            </w:r>
          </w:p>
          <w:p>
            <w:pPr>
              <w:pStyle w:val="TableParagraph"/>
              <w:spacing w:line="309" w:lineRule="auto" w:before="3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）资本公积金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转增股本而增加 限售股</w:t>
            </w:r>
          </w:p>
        </w:tc>
        <w:tc>
          <w:tcPr>
            <w:tcW w:w="135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根据交易协议约 定的各项解锁条 件均成就后，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6,924,303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9,737,303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1,218,899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股。解</w:t>
            </w:r>
          </w:p>
          <w:p>
            <w:pPr>
              <w:pStyle w:val="TableParagraph"/>
              <w:spacing w:line="319" w:lineRule="auto" w:before="63"/>
              <w:ind w:right="72"/>
              <w:jc w:val="both"/>
              <w:rPr>
                <w:rFonts w:ascii="宋体" w:hAnsi="宋体" w:cs="宋体" w:eastAsia="宋体" w:hint="default"/>
                <w:sz w:val="18"/>
                <w:szCs w:val="18"/>
              </w:rPr>
            </w:pPr>
            <w:r>
              <w:rPr>
                <w:rFonts w:ascii="宋体" w:hAnsi="宋体" w:cs="宋体" w:eastAsia="宋体" w:hint="default"/>
                <w:sz w:val="18"/>
                <w:szCs w:val="18"/>
              </w:rPr>
              <w:t>限后仍需遵循高 管股例行限售规 定</w:t>
            </w:r>
          </w:p>
        </w:tc>
      </w:tr>
      <w:tr>
        <w:trPr>
          <w:trHeight w:val="254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22" w:right="23"/>
              <w:jc w:val="left"/>
              <w:rPr>
                <w:rFonts w:ascii="宋体" w:hAnsi="宋体" w:cs="宋体" w:eastAsia="宋体" w:hint="default"/>
                <w:sz w:val="18"/>
                <w:szCs w:val="18"/>
              </w:rPr>
            </w:pPr>
            <w:r>
              <w:rPr>
                <w:rFonts w:ascii="宋体" w:hAnsi="宋体" w:cs="宋体" w:eastAsia="宋体" w:hint="default"/>
                <w:sz w:val="18"/>
                <w:szCs w:val="18"/>
              </w:rPr>
              <w:t>李俊峰等</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名交 易对方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8,294,793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5,391,613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2,488,439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5,391,619</w:t>
            </w:r>
          </w:p>
        </w:tc>
        <w:tc>
          <w:tcPr>
            <w:tcW w:w="137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9" w:lineRule="auto"/>
              <w:ind w:left="22" w:right="-16"/>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）重组项目承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诺股份限售（</w:t>
            </w:r>
            <w:r>
              <w:rPr>
                <w:rFonts w:ascii="Times New Roman" w:hAnsi="Times New Roman" w:cs="Times New Roman" w:eastAsia="Times New Roman" w:hint="default"/>
                <w:sz w:val="18"/>
                <w:szCs w:val="18"/>
              </w:rPr>
              <w:t>2</w:t>
            </w:r>
            <w:r>
              <w:rPr>
                <w:rFonts w:ascii="宋体" w:hAnsi="宋体" w:cs="宋体" w:eastAsia="宋体" w:hint="default"/>
                <w:sz w:val="18"/>
                <w:szCs w:val="18"/>
              </w:rPr>
              <w:t>） 资本公积金转增 股本而增加限售 股</w:t>
            </w:r>
          </w:p>
        </w:tc>
        <w:tc>
          <w:tcPr>
            <w:tcW w:w="135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根据交易协议约 定的各项解锁条 件均成就后，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5,391,613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日可解除限售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5,391,619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74"/>
              <w:jc w:val="left"/>
              <w:rPr>
                <w:rFonts w:ascii="宋体" w:hAnsi="宋体" w:cs="宋体" w:eastAsia="宋体" w:hint="default"/>
                <w:sz w:val="18"/>
                <w:szCs w:val="18"/>
              </w:rPr>
            </w:pPr>
            <w:r>
              <w:rPr>
                <w:rFonts w:ascii="宋体" w:hAnsi="宋体" w:cs="宋体" w:eastAsia="宋体" w:hint="default"/>
                <w:sz w:val="18"/>
                <w:szCs w:val="18"/>
              </w:rPr>
              <w:t>鼎新成长等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名 配套融资认购方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3,886,803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1,166,041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5,052,844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）认购重组项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目非公开发行股 </w:t>
            </w:r>
            <w:r>
              <w:rPr>
                <w:rFonts w:ascii="宋体" w:hAnsi="宋体" w:cs="宋体" w:eastAsia="宋体" w:hint="default"/>
                <w:spacing w:val="-6"/>
                <w:sz w:val="18"/>
                <w:szCs w:val="18"/>
              </w:rPr>
              <w:t>份限售（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公积金转增股本 而增加限售股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9" w:lineRule="auto" w:before="61"/>
              <w:ind w:left="22" w:right="72"/>
              <w:jc w:val="left"/>
              <w:rPr>
                <w:rFonts w:ascii="宋体" w:hAnsi="宋体" w:cs="宋体" w:eastAsia="宋体" w:hint="default"/>
                <w:sz w:val="18"/>
                <w:szCs w:val="18"/>
              </w:rPr>
            </w:pPr>
            <w:r>
              <w:rPr>
                <w:rFonts w:ascii="宋体" w:hAnsi="宋体" w:cs="宋体" w:eastAsia="宋体" w:hint="default"/>
                <w:sz w:val="18"/>
                <w:szCs w:val="18"/>
              </w:rPr>
              <w:t>日可全部解除限 售</w:t>
            </w:r>
          </w:p>
        </w:tc>
      </w:tr>
      <w:tr>
        <w:trPr>
          <w:trHeight w:val="414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限制性股票股权 激励首次授予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72"/>
              <w:jc w:val="left"/>
              <w:rPr>
                <w:rFonts w:ascii="宋体" w:hAnsi="宋体" w:cs="宋体" w:eastAsia="宋体" w:hint="default"/>
                <w:sz w:val="18"/>
                <w:szCs w:val="18"/>
              </w:rPr>
            </w:pPr>
            <w:r>
              <w:rPr>
                <w:rFonts w:ascii="宋体" w:hAnsi="宋体" w:cs="宋体" w:eastAsia="宋体" w:hint="default"/>
                <w:sz w:val="18"/>
                <w:szCs w:val="18"/>
              </w:rPr>
              <w:t>限制性股票股权 激励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根据公司《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年度限制性股票 激励计划》约定 的各项解锁条件 均成就后，</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日可解</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除限售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2,828,320</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2,121,240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日可解除限售</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2,121,240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344,211,247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27,172,583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119,675,844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436,714,508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983"/>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565"/>
        <w:gridCol w:w="993"/>
        <w:gridCol w:w="992"/>
        <w:gridCol w:w="1630"/>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发行数量</w:t>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限制性股票股权 激励</w:t>
            </w:r>
            <w:r>
              <w:rPr>
                <w:rFonts w:ascii="Times New Roman" w:hAnsi="Times New Roman" w:cs="Times New Roman" w:eastAsia="Times New Roman" w:hint="default"/>
                <w:sz w:val="18"/>
                <w:szCs w:val="18"/>
              </w:rPr>
              <w:t>(</w:t>
            </w:r>
            <w:r>
              <w:rPr>
                <w:rFonts w:ascii="宋体" w:hAnsi="宋体" w:cs="宋体" w:eastAsia="宋体" w:hint="default"/>
                <w:sz w:val="18"/>
                <w:szCs w:val="18"/>
              </w:rPr>
              <w:t>首次授予</w:t>
            </w:r>
            <w:r>
              <w:rPr>
                <w:rFonts w:ascii="Times New Roman" w:hAnsi="Times New Roman" w:cs="Times New Roman" w:eastAsia="Times New Roman" w:hint="default"/>
                <w:sz w:val="18"/>
                <w:szCs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7,070,800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7,070,800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久其转债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983"/>
        <w:jc w:val="left"/>
      </w:pPr>
      <w:r>
        <w:rPr/>
        <w:t>报告期内证券发行（不含优先股）情况的说明</w:t>
      </w:r>
    </w:p>
    <w:p>
      <w:pPr>
        <w:pStyle w:val="BodyText"/>
        <w:spacing w:line="300" w:lineRule="auto" w:before="115"/>
        <w:ind w:right="1123"/>
        <w:jc w:val="left"/>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日召开的</w:t>
      </w:r>
      <w:r>
        <w:rPr>
          <w:rFonts w:ascii="Times New Roman" w:hAnsi="Times New Roman" w:cs="Times New Roman" w:eastAsia="Times New Roman" w:hint="default"/>
          <w:spacing w:val="-2"/>
        </w:rPr>
        <w:t>2017</w:t>
      </w:r>
      <w:r>
        <w:rPr>
          <w:spacing w:val="-2"/>
        </w:rPr>
        <w:t>年第三次临时股东大会审议通过了公司《</w:t>
      </w:r>
      <w:r>
        <w:rPr>
          <w:rFonts w:ascii="Times New Roman" w:hAnsi="Times New Roman" w:cs="Times New Roman" w:eastAsia="Times New Roman" w:hint="default"/>
          <w:spacing w:val="-2"/>
        </w:rPr>
        <w:t>2017</w:t>
      </w:r>
      <w:r>
        <w:rPr>
          <w:spacing w:val="-2"/>
        </w:rPr>
        <w:t>年度限制性股票激励计划》及其摘要，同</w:t>
      </w:r>
      <w:r>
        <w:rPr>
          <w:spacing w:val="-50"/>
        </w:rPr>
        <w:t> </w:t>
      </w:r>
      <w:r>
        <w:rPr>
          <w:spacing w:val="-50"/>
        </w:rPr>
      </w:r>
      <w:r>
        <w:rPr>
          <w:spacing w:val="-2"/>
        </w:rPr>
        <w:t>意公司以定向发行公司股权的方式向激励对象授予合计</w:t>
      </w:r>
      <w:r>
        <w:rPr>
          <w:rFonts w:ascii="Times New Roman" w:hAnsi="Times New Roman" w:cs="Times New Roman" w:eastAsia="Times New Roman" w:hint="default"/>
          <w:spacing w:val="-2"/>
        </w:rPr>
        <w:t>800</w:t>
      </w:r>
      <w:r>
        <w:rPr>
          <w:spacing w:val="-2"/>
        </w:rPr>
        <w:t>万股限制性股票。其中，首次授予限制性股票数量为</w:t>
      </w:r>
      <w:r>
        <w:rPr>
          <w:rFonts w:ascii="Times New Roman" w:hAnsi="Times New Roman" w:cs="Times New Roman" w:eastAsia="Times New Roman" w:hint="default"/>
          <w:spacing w:val="-2"/>
        </w:rPr>
        <w:t>720</w:t>
      </w:r>
      <w:r>
        <w:rPr>
          <w:spacing w:val="-2"/>
        </w:rPr>
        <w:t>万股，激</w:t>
      </w:r>
      <w:r>
        <w:rPr>
          <w:spacing w:val="-60"/>
        </w:rPr>
        <w:t> </w:t>
      </w:r>
      <w:r>
        <w:rPr>
          <w:spacing w:val="-60"/>
        </w:rPr>
      </w:r>
      <w:r>
        <w:rPr/>
        <w:t>励对象系公司中层管理人员、核心技术</w:t>
      </w:r>
      <w:r>
        <w:rPr>
          <w:rFonts w:ascii="Times New Roman" w:hAnsi="Times New Roman" w:cs="Times New Roman" w:eastAsia="Times New Roman" w:hint="default"/>
        </w:rPr>
        <w:t>/</w:t>
      </w:r>
      <w:r>
        <w:rPr/>
        <w:t>业务骨干共</w:t>
      </w:r>
      <w:r>
        <w:rPr>
          <w:rFonts w:ascii="Times New Roman" w:hAnsi="Times New Roman" w:cs="Times New Roman" w:eastAsia="Times New Roman" w:hint="default"/>
        </w:rPr>
        <w:t>347</w:t>
      </w:r>
      <w:r>
        <w:rPr/>
        <w:t>名，发行价格为</w:t>
      </w:r>
      <w:r>
        <w:rPr>
          <w:rFonts w:ascii="Times New Roman" w:hAnsi="Times New Roman" w:cs="Times New Roman" w:eastAsia="Times New Roman" w:hint="default"/>
        </w:rPr>
        <w:t>6.1</w:t>
      </w:r>
      <w:r>
        <w:rPr/>
        <w:t>元</w:t>
      </w:r>
      <w:r>
        <w:rPr>
          <w:rFonts w:ascii="Times New Roman" w:hAnsi="Times New Roman" w:cs="Times New Roman" w:eastAsia="Times New Roman" w:hint="default"/>
        </w:rPr>
        <w:t>/</w:t>
      </w:r>
      <w:r>
        <w:rPr/>
        <w:t>股。 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日召开的第六届董事会第十四次会议和第六届监事会第七次会议审议通过，确定本次限制性股票的首 </w:t>
      </w:r>
      <w:r>
        <w:rPr>
          <w:spacing w:val="-2"/>
        </w:rPr>
        <w:t>次授予日为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日。在办理资金缴纳、股份登记过程中，有</w:t>
      </w:r>
      <w:r>
        <w:rPr>
          <w:rFonts w:ascii="Times New Roman" w:hAnsi="Times New Roman" w:cs="Times New Roman" w:eastAsia="Times New Roman" w:hint="default"/>
          <w:spacing w:val="-2"/>
        </w:rPr>
        <w:t>21</w:t>
      </w:r>
      <w:r>
        <w:rPr>
          <w:spacing w:val="-2"/>
        </w:rPr>
        <w:t>名激励对象因个人原因放弃认购，即本次实际授予</w:t>
      </w:r>
      <w:r>
        <w:rPr>
          <w:rFonts w:ascii="Times New Roman" w:hAnsi="Times New Roman" w:cs="Times New Roman" w:eastAsia="Times New Roman" w:hint="default"/>
          <w:spacing w:val="-2"/>
        </w:rPr>
        <w:t>326</w:t>
      </w:r>
    </w:p>
    <w:p>
      <w:pPr>
        <w:spacing w:after="0" w:line="30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302" w:lineRule="auto" w:before="44"/>
        <w:ind w:right="983"/>
        <w:jc w:val="left"/>
      </w:pPr>
      <w:r>
        <w:rPr/>
        <w:t>名激励对象共计</w:t>
      </w:r>
      <w:r>
        <w:rPr>
          <w:rFonts w:ascii="Times New Roman" w:hAnsi="Times New Roman" w:cs="Times New Roman" w:eastAsia="Times New Roman" w:hint="default"/>
        </w:rPr>
        <w:t>707.08</w:t>
      </w:r>
      <w:r>
        <w:rPr/>
        <w:t>万股限制性股票。本次激励计划首次授予的限制性股票已完成授予登记，并于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日上市。 具体情况详见公司于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日和</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日披露在巨潮资讯网（</w:t>
      </w:r>
      <w:hyperlink r:id="rId13">
        <w:r>
          <w:rPr>
            <w:rFonts w:ascii="Times New Roman" w:hAnsi="Times New Roman" w:cs="Times New Roman" w:eastAsia="Times New Roman" w:hint="default"/>
          </w:rPr>
          <w:t>www.cninfo.com.cn</w:t>
        </w:r>
      </w:hyperlink>
      <w:r>
        <w:rPr/>
        <w:t>）上的相关公告。</w:t>
      </w:r>
      <w:r>
        <w:rPr>
          <w:w w:val="99"/>
        </w:rPr>
        <w:t> </w:t>
      </w:r>
      <w:r>
        <w:rPr>
          <w:rFonts w:ascii="Times New Roman" w:hAnsi="Times New Roman" w:cs="Times New Roman" w:eastAsia="Times New Roman" w:hint="default"/>
          <w:spacing w:val="-4"/>
          <w:w w:val="99"/>
        </w:rPr>
        <w:t>2</w:t>
      </w:r>
      <w:r>
        <w:rPr>
          <w:spacing w:val="-4"/>
          <w:w w:val="99"/>
        </w:rPr>
        <w:t>、经中国证券监督管理委员会《关于核准北京久其软件股份有限公司公开发行可转换公司债券的批复》（证监许可</w:t>
      </w:r>
      <w:r>
        <w:rPr>
          <w:rFonts w:ascii="Times New Roman" w:hAnsi="Times New Roman" w:cs="Times New Roman" w:eastAsia="Times New Roman" w:hint="default"/>
          <w:spacing w:val="-4"/>
          <w:w w:val="99"/>
        </w:rPr>
        <w:t>[2017]392</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spacing w:val="-9"/>
          <w:w w:val="99"/>
        </w:rPr>
      </w:r>
      <w:r>
        <w:rPr/>
        <w:t>号）核准，公司于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日向社会公开发行</w:t>
      </w:r>
      <w:r>
        <w:rPr>
          <w:rFonts w:ascii="Times New Roman" w:hAnsi="Times New Roman" w:cs="Times New Roman" w:eastAsia="Times New Roman" w:hint="default"/>
        </w:rPr>
        <w:t>780</w:t>
      </w:r>
      <w:r>
        <w:rPr/>
        <w:t>万张可转换公司债券，发行价格为每张</w:t>
      </w:r>
      <w:r>
        <w:rPr>
          <w:rFonts w:ascii="Times New Roman" w:hAnsi="Times New Roman" w:cs="Times New Roman" w:eastAsia="Times New Roman" w:hint="default"/>
        </w:rPr>
        <w:t>100</w:t>
      </w:r>
      <w:r>
        <w:rPr/>
        <w:t>元，发行期限为</w:t>
      </w:r>
      <w:r>
        <w:rPr>
          <w:rFonts w:ascii="Times New Roman" w:hAnsi="Times New Roman" w:cs="Times New Roman" w:eastAsia="Times New Roman" w:hint="default"/>
        </w:rPr>
        <w:t>6</w:t>
      </w:r>
      <w:r>
        <w:rPr/>
        <w:t>年，各年利</w:t>
      </w:r>
      <w:r>
        <w:rPr>
          <w:w w:val="99"/>
        </w:rPr>
        <w:t> </w:t>
      </w:r>
      <w:r>
        <w:rPr>
          <w:spacing w:val="-2"/>
        </w:rPr>
        <w:t>率分别为</w:t>
      </w:r>
      <w:r>
        <w:rPr>
          <w:rFonts w:ascii="Times New Roman" w:hAnsi="Times New Roman" w:cs="Times New Roman" w:eastAsia="Times New Roman" w:hint="default"/>
          <w:spacing w:val="-2"/>
        </w:rPr>
        <w:t>0.3%</w:t>
      </w:r>
      <w:r>
        <w:rPr>
          <w:spacing w:val="-2"/>
        </w:rPr>
        <w:t>、</w:t>
      </w:r>
      <w:r>
        <w:rPr>
          <w:rFonts w:ascii="Times New Roman" w:hAnsi="Times New Roman" w:cs="Times New Roman" w:eastAsia="Times New Roman" w:hint="default"/>
          <w:spacing w:val="-2"/>
        </w:rPr>
        <w:t>0.5%</w:t>
      </w: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1.5%</w:t>
      </w:r>
      <w:r>
        <w:rPr>
          <w:spacing w:val="-2"/>
        </w:rPr>
        <w:t>和</w:t>
      </w:r>
      <w:r>
        <w:rPr>
          <w:rFonts w:ascii="Times New Roman" w:hAnsi="Times New Roman" w:cs="Times New Roman" w:eastAsia="Times New Roman" w:hint="default"/>
          <w:spacing w:val="-2"/>
        </w:rPr>
        <w:t>1.8%</w:t>
      </w:r>
      <w:r>
        <w:rPr>
          <w:spacing w:val="-2"/>
        </w:rPr>
        <w:t>，初始转股价格为</w:t>
      </w:r>
      <w:r>
        <w:rPr>
          <w:rFonts w:ascii="Times New Roman" w:hAnsi="Times New Roman" w:cs="Times New Roman" w:eastAsia="Times New Roman" w:hint="default"/>
          <w:spacing w:val="-2"/>
        </w:rPr>
        <w:t>12.97</w:t>
      </w:r>
      <w:r>
        <w:rPr>
          <w:spacing w:val="-2"/>
        </w:rPr>
        <w:t>元</w:t>
      </w:r>
      <w:r>
        <w:rPr>
          <w:rFonts w:ascii="Times New Roman" w:hAnsi="Times New Roman" w:cs="Times New Roman" w:eastAsia="Times New Roman" w:hint="default"/>
          <w:spacing w:val="-2"/>
        </w:rPr>
        <w:t>/</w:t>
      </w:r>
      <w:r>
        <w:rPr>
          <w:spacing w:val="-2"/>
        </w:rPr>
        <w:t>股。募集资金总额为</w:t>
      </w:r>
      <w:r>
        <w:rPr>
          <w:rFonts w:ascii="Times New Roman" w:hAnsi="Times New Roman" w:cs="Times New Roman" w:eastAsia="Times New Roman" w:hint="default"/>
          <w:spacing w:val="-2"/>
        </w:rPr>
        <w:t>78,000</w:t>
      </w:r>
      <w:r>
        <w:rPr>
          <w:spacing w:val="-2"/>
        </w:rPr>
        <w:t>万元，将投资于久其政</w:t>
      </w:r>
      <w:r>
        <w:rPr>
          <w:spacing w:val="-46"/>
        </w:rPr>
        <w:t> </w:t>
      </w:r>
      <w:r>
        <w:rPr>
          <w:spacing w:val="-46"/>
        </w:rPr>
      </w:r>
      <w:r>
        <w:rPr/>
        <w:t>务研发中心建设项目等五个募投项目。经深交所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[2017]412</w:t>
      </w:r>
      <w:r>
        <w:rPr/>
        <w:t>号</w:t>
      </w:r>
      <w:r>
        <w:rPr>
          <w:rFonts w:ascii="Times New Roman" w:hAnsi="Times New Roman" w:cs="Times New Roman" w:eastAsia="Times New Roman" w:hint="default"/>
        </w:rPr>
        <w:t>”</w:t>
      </w:r>
      <w:r>
        <w:rPr/>
        <w:t>文同意，公司发行的可转换公司债券于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 起在深交所挂牌交易，债券简称</w:t>
      </w:r>
      <w:r>
        <w:rPr>
          <w:rFonts w:ascii="Times New Roman" w:hAnsi="Times New Roman" w:cs="Times New Roman" w:eastAsia="Times New Roman" w:hint="default"/>
        </w:rPr>
        <w:t>“</w:t>
      </w:r>
      <w:r>
        <w:rPr/>
        <w:t>久其转债</w:t>
      </w:r>
      <w:r>
        <w:rPr>
          <w:rFonts w:ascii="Times New Roman" w:hAnsi="Times New Roman" w:cs="Times New Roman" w:eastAsia="Times New Roman" w:hint="default"/>
        </w:rPr>
        <w:t>”</w:t>
      </w:r>
      <w:r>
        <w:rPr/>
        <w:t>，债券代码</w:t>
      </w:r>
      <w:r>
        <w:rPr>
          <w:rFonts w:ascii="Times New Roman" w:hAnsi="Times New Roman" w:cs="Times New Roman" w:eastAsia="Times New Roman" w:hint="default"/>
        </w:rPr>
        <w:t>“128015”</w:t>
      </w:r>
      <w:r>
        <w:rPr/>
        <w:t>。具体情况详见公司于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日和</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日披露在巨潮</w:t>
      </w:r>
      <w:r>
        <w:rPr>
          <w:w w:val="100"/>
        </w:rPr>
        <w:t> </w:t>
      </w:r>
      <w:r>
        <w:rPr/>
        <w:t>资讯网（</w:t>
      </w:r>
      <w:hyperlink r:id="rId13">
        <w:r>
          <w:rPr>
            <w:rFonts w:ascii="Times New Roman" w:hAnsi="Times New Roman" w:cs="Times New Roman" w:eastAsia="Times New Roman" w:hint="default"/>
          </w:rPr>
          <w:t>www.cninfo.com.cn</w:t>
        </w:r>
      </w:hyperlink>
      <w:r>
        <w:rPr/>
        <w:t>）上的相关公告。</w:t>
      </w:r>
      <w:r>
        <w:rPr>
          <w:w w:val="99"/>
        </w:rPr>
        <w:t> </w:t>
      </w:r>
      <w:r>
        <w:rPr>
          <w:spacing w:val="-4"/>
          <w:w w:val="99"/>
        </w:rPr>
        <w:t>由于实施限制性股票股权激励导致公司总股本增加，根据《北京久其软件股份有限公司公开发行可转换公司债券募集说明书》</w:t>
      </w:r>
      <w:r>
        <w:rPr>
          <w:spacing w:val="-44"/>
          <w:w w:val="99"/>
        </w:rPr>
        <w:t> </w:t>
      </w:r>
      <w:r>
        <w:rPr>
          <w:spacing w:val="-44"/>
          <w:w w:val="99"/>
        </w:rPr>
      </w:r>
      <w:r>
        <w:rPr/>
        <w:t>发行条款以及中国证监会关于可转换公司债券发行的有关规定，久其转债的转股价格由原</w:t>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股，调</w:t>
      </w:r>
      <w:r>
        <w:rPr>
          <w:w w:val="99"/>
        </w:rPr>
        <w:t> </w:t>
      </w:r>
      <w:r>
        <w:rPr/>
        <w:t>整后的转股价格自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日起生效。自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日起久其转债进入转股期。</w:t>
      </w:r>
    </w:p>
    <w:p>
      <w:pPr>
        <w:spacing w:line="240" w:lineRule="auto" w:before="12"/>
        <w:rPr>
          <w:rFonts w:ascii="宋体" w:hAnsi="宋体" w:cs="宋体" w:eastAsia="宋体" w:hint="default"/>
          <w:sz w:val="21"/>
          <w:szCs w:val="21"/>
        </w:rPr>
      </w:pPr>
    </w:p>
    <w:p>
      <w:pPr>
        <w:pStyle w:val="Heading3"/>
        <w:spacing w:line="240" w:lineRule="auto"/>
        <w:ind w:left="153" w:right="983"/>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报告期内，受公司回购应补偿股份、实施</w:t>
      </w:r>
      <w:r>
        <w:rPr>
          <w:rFonts w:ascii="Times New Roman" w:hAnsi="Times New Roman" w:cs="Times New Roman" w:eastAsia="Times New Roman" w:hint="default"/>
          <w:spacing w:val="-2"/>
        </w:rPr>
        <w:t>2016</w:t>
      </w:r>
      <w:r>
        <w:rPr>
          <w:spacing w:val="-2"/>
        </w:rPr>
        <w:t>年度资本公积金转增股本方案及</w:t>
      </w:r>
      <w:r>
        <w:rPr>
          <w:rFonts w:ascii="Times New Roman" w:hAnsi="Times New Roman" w:cs="Times New Roman" w:eastAsia="Times New Roman" w:hint="default"/>
          <w:spacing w:val="-2"/>
        </w:rPr>
        <w:t>2017</w:t>
      </w:r>
      <w:r>
        <w:rPr>
          <w:spacing w:val="-2"/>
        </w:rPr>
        <w:t>年度限制性股票股权激励计划，以及可转</w:t>
      </w:r>
      <w:r>
        <w:rPr>
          <w:spacing w:val="-58"/>
        </w:rPr>
        <w:t> </w:t>
      </w:r>
      <w:r>
        <w:rPr>
          <w:spacing w:val="-58"/>
        </w:rPr>
      </w:r>
      <w:r>
        <w:rPr>
          <w:spacing w:val="-2"/>
        </w:rPr>
        <w:t>债转股的影响，本报告期末较期初的股份总数及股东结构发生一定变化，具体详见本节</w:t>
      </w:r>
      <w:r>
        <w:rPr>
          <w:rFonts w:ascii="Times New Roman" w:hAnsi="Times New Roman" w:cs="Times New Roman" w:eastAsia="Times New Roman" w:hint="default"/>
          <w:spacing w:val="-2"/>
        </w:rPr>
        <w:t>“</w:t>
      </w:r>
      <w:r>
        <w:rPr>
          <w:spacing w:val="-2"/>
        </w:rPr>
        <w:t>一、股本变动情况</w:t>
      </w:r>
      <w:r>
        <w:rPr>
          <w:rFonts w:ascii="Times New Roman" w:hAnsi="Times New Roman" w:cs="Times New Roman" w:eastAsia="Times New Roman" w:hint="default"/>
          <w:spacing w:val="-2"/>
        </w:rPr>
        <w:t>”</w:t>
      </w:r>
      <w:r>
        <w:rPr>
          <w:spacing w:val="-2"/>
        </w:rPr>
        <w:t>。报告期公司股</w:t>
      </w:r>
    </w:p>
    <w:p>
      <w:pPr>
        <w:pStyle w:val="BodyText"/>
        <w:spacing w:line="316" w:lineRule="auto"/>
        <w:ind w:left="154" w:right="983"/>
        <w:jc w:val="left"/>
      </w:pPr>
      <w:r>
        <w:rPr>
          <w:spacing w:val="-2"/>
        </w:rPr>
        <w:t>份变动情况不涉及公司控股股东和实际控制人发生变化，同时对公司资产和负债结构的变动未造成较大影响。公司报告期资</w:t>
      </w:r>
      <w:r>
        <w:rPr>
          <w:spacing w:val="-64"/>
        </w:rPr>
        <w:t> </w:t>
      </w:r>
      <w:r>
        <w:rPr>
          <w:spacing w:val="-64"/>
        </w:rPr>
      </w:r>
      <w:r>
        <w:rPr/>
        <w:t>产和负债的变动情况请参照本报告</w:t>
      </w:r>
      <w:r>
        <w:rPr>
          <w:rFonts w:ascii="Times New Roman" w:hAnsi="Times New Roman" w:cs="Times New Roman" w:eastAsia="Times New Roman" w:hint="default"/>
        </w:rPr>
        <w:t>“</w:t>
      </w:r>
      <w:r>
        <w:rPr/>
        <w:t>第四节 管理层分析与讨论</w:t>
      </w:r>
      <w:r>
        <w:rPr>
          <w:spacing w:val="-38"/>
        </w:rPr>
        <w:t> </w:t>
      </w:r>
      <w:r>
        <w:rPr/>
        <w:t>四、资产及负债状况分析</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left="153" w:right="983"/>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284"/>
        <w:gridCol w:w="708"/>
        <w:gridCol w:w="135"/>
        <w:gridCol w:w="716"/>
        <w:gridCol w:w="839"/>
        <w:gridCol w:w="154"/>
        <w:gridCol w:w="683"/>
        <w:gridCol w:w="309"/>
        <w:gridCol w:w="992"/>
        <w:gridCol w:w="413"/>
        <w:gridCol w:w="436"/>
        <w:gridCol w:w="242"/>
        <w:gridCol w:w="1033"/>
        <w:gridCol w:w="700"/>
        <w:gridCol w:w="648"/>
      </w:tblGrid>
      <w:tr>
        <w:trPr>
          <w:trHeight w:val="161"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
        </w:tc>
        <w:tc>
          <w:tcPr>
            <w:tcW w:w="843"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44,368</w:t>
            </w:r>
          </w:p>
        </w:tc>
        <w:tc>
          <w:tcPr>
            <w:tcW w:w="15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3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42,656</w:t>
            </w:r>
          </w:p>
        </w:tc>
        <w:tc>
          <w:tcPr>
            <w:tcW w:w="171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9"/>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48"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843" w:type="dxa"/>
            <w:gridSpan w:val="2"/>
            <w:vMerge/>
            <w:tcBorders>
              <w:left w:val="single" w:sz="9" w:space="0" w:color="D2D2D2"/>
              <w:right w:val="single" w:sz="9" w:space="0" w:color="D2D2D2"/>
            </w:tcBorders>
          </w:tcPr>
          <w:p>
            <w:pPr/>
          </w:p>
        </w:tc>
        <w:tc>
          <w:tcPr>
            <w:tcW w:w="155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93"/>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837" w:type="dxa"/>
            <w:gridSpan w:val="2"/>
            <w:vMerge/>
            <w:tcBorders>
              <w:left w:val="single" w:sz="9" w:space="0" w:color="D2D2D2"/>
              <w:right w:val="single" w:sz="9" w:space="0" w:color="D2D2D2"/>
            </w:tcBorders>
          </w:tcPr>
          <w:p>
            <w:pPr/>
          </w:p>
        </w:tc>
        <w:tc>
          <w:tcPr>
            <w:tcW w:w="171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78" w:type="dxa"/>
            <w:gridSpan w:val="2"/>
            <w:vMerge/>
            <w:tcBorders>
              <w:left w:val="single" w:sz="9" w:space="0" w:color="D2D2D2"/>
              <w:right w:val="single" w:sz="13" w:space="0" w:color="D2D2D2"/>
            </w:tcBorders>
          </w:tcPr>
          <w:p>
            <w:pPr/>
          </w:p>
        </w:tc>
        <w:tc>
          <w:tcPr>
            <w:tcW w:w="1732" w:type="dxa"/>
            <w:gridSpan w:val="2"/>
            <w:vMerge/>
            <w:tcBorders>
              <w:left w:val="single" w:sz="4" w:space="0" w:color="000000"/>
              <w:right w:val="single" w:sz="4" w:space="0" w:color="000000"/>
            </w:tcBorders>
            <w:shd w:val="clear" w:color="auto" w:fill="D2D2D2"/>
          </w:tcPr>
          <w:p>
            <w:pPr/>
          </w:p>
        </w:tc>
        <w:tc>
          <w:tcPr>
            <w:tcW w:w="648" w:type="dxa"/>
            <w:vMerge/>
            <w:tcBorders>
              <w:left w:val="single" w:sz="13" w:space="0" w:color="D2D2D2"/>
              <w:right w:val="single" w:sz="4" w:space="0" w:color="000000"/>
            </w:tcBorders>
          </w:tcPr>
          <w:p>
            <w:pPr/>
          </w:p>
        </w:tc>
      </w:tr>
      <w:tr>
        <w:trPr>
          <w:trHeight w:val="704" w:hRule="exact"/>
        </w:trPr>
        <w:tc>
          <w:tcPr>
            <w:tcW w:w="156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843" w:type="dxa"/>
            <w:gridSpan w:val="2"/>
            <w:vMerge/>
            <w:tcBorders>
              <w:left w:val="single" w:sz="9" w:space="0" w:color="D2D2D2"/>
              <w:right w:val="single" w:sz="9" w:space="0" w:color="D2D2D2"/>
            </w:tcBorders>
          </w:tcPr>
          <w:p>
            <w:pPr/>
          </w:p>
        </w:tc>
        <w:tc>
          <w:tcPr>
            <w:tcW w:w="1555" w:type="dxa"/>
            <w:gridSpan w:val="2"/>
            <w:vMerge/>
            <w:tcBorders>
              <w:left w:val="single" w:sz="4" w:space="0" w:color="000000"/>
              <w:right w:val="single" w:sz="4" w:space="0" w:color="000000"/>
            </w:tcBorders>
            <w:shd w:val="clear" w:color="auto" w:fill="D2D2D2"/>
          </w:tcPr>
          <w:p>
            <w:pPr/>
          </w:p>
        </w:tc>
        <w:tc>
          <w:tcPr>
            <w:tcW w:w="837" w:type="dxa"/>
            <w:gridSpan w:val="2"/>
            <w:vMerge/>
            <w:tcBorders>
              <w:left w:val="single" w:sz="9" w:space="0" w:color="D2D2D2"/>
              <w:right w:val="single" w:sz="9" w:space="0" w:color="D2D2D2"/>
            </w:tcBorders>
          </w:tcPr>
          <w:p>
            <w:pPr/>
          </w:p>
        </w:tc>
        <w:tc>
          <w:tcPr>
            <w:tcW w:w="1715" w:type="dxa"/>
            <w:gridSpan w:val="3"/>
            <w:vMerge/>
            <w:tcBorders>
              <w:left w:val="single" w:sz="4" w:space="0" w:color="000000"/>
              <w:right w:val="single" w:sz="4" w:space="0" w:color="000000"/>
            </w:tcBorders>
            <w:shd w:val="clear" w:color="auto" w:fill="D2D2D2"/>
          </w:tcPr>
          <w:p>
            <w:pPr/>
          </w:p>
        </w:tc>
        <w:tc>
          <w:tcPr>
            <w:tcW w:w="678" w:type="dxa"/>
            <w:gridSpan w:val="2"/>
            <w:vMerge/>
            <w:tcBorders>
              <w:left w:val="single" w:sz="9" w:space="0" w:color="D2D2D2"/>
              <w:right w:val="single" w:sz="13" w:space="0" w:color="D2D2D2"/>
            </w:tcBorders>
          </w:tcPr>
          <w:p>
            <w:pPr/>
          </w:p>
        </w:tc>
        <w:tc>
          <w:tcPr>
            <w:tcW w:w="1732" w:type="dxa"/>
            <w:gridSpan w:val="2"/>
            <w:vMerge/>
            <w:tcBorders>
              <w:left w:val="single" w:sz="4" w:space="0" w:color="000000"/>
              <w:right w:val="single" w:sz="4" w:space="0" w:color="000000"/>
            </w:tcBorders>
            <w:shd w:val="clear" w:color="auto" w:fill="D2D2D2"/>
          </w:tcPr>
          <w:p>
            <w:pPr/>
          </w:p>
        </w:tc>
        <w:tc>
          <w:tcPr>
            <w:tcW w:w="648" w:type="dxa"/>
            <w:vMerge/>
            <w:tcBorders>
              <w:left w:val="single" w:sz="13" w:space="0" w:color="D2D2D2"/>
              <w:right w:val="single" w:sz="4" w:space="0" w:color="000000"/>
            </w:tcBorders>
          </w:tcPr>
          <w:p>
            <w:pPr/>
          </w:p>
        </w:tc>
      </w:tr>
      <w:tr>
        <w:trPr>
          <w:trHeight w:val="156"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
        </w:tc>
        <w:tc>
          <w:tcPr>
            <w:tcW w:w="843" w:type="dxa"/>
            <w:gridSpan w:val="2"/>
            <w:vMerge/>
            <w:tcBorders>
              <w:left w:val="single" w:sz="9" w:space="0" w:color="D2D2D2"/>
              <w:right w:val="single" w:sz="9" w:space="0" w:color="D2D2D2"/>
            </w:tcBorders>
          </w:tcPr>
          <w:p>
            <w:pPr/>
          </w:p>
        </w:tc>
        <w:tc>
          <w:tcPr>
            <w:tcW w:w="1555" w:type="dxa"/>
            <w:gridSpan w:val="2"/>
            <w:vMerge/>
            <w:tcBorders>
              <w:left w:val="single" w:sz="4" w:space="0" w:color="000000"/>
              <w:bottom w:val="nil" w:sz="6" w:space="0" w:color="auto"/>
              <w:right w:val="single" w:sz="4" w:space="0" w:color="000000"/>
            </w:tcBorders>
            <w:shd w:val="clear" w:color="auto" w:fill="D2D2D2"/>
          </w:tcPr>
          <w:p>
            <w:pPr/>
          </w:p>
        </w:tc>
        <w:tc>
          <w:tcPr>
            <w:tcW w:w="837" w:type="dxa"/>
            <w:gridSpan w:val="2"/>
            <w:vMerge/>
            <w:tcBorders>
              <w:left w:val="single" w:sz="9" w:space="0" w:color="D2D2D2"/>
              <w:right w:val="single" w:sz="9" w:space="0" w:color="D2D2D2"/>
            </w:tcBorders>
          </w:tcPr>
          <w:p>
            <w:pPr/>
          </w:p>
        </w:tc>
        <w:tc>
          <w:tcPr>
            <w:tcW w:w="1715" w:type="dxa"/>
            <w:gridSpan w:val="3"/>
            <w:vMerge/>
            <w:tcBorders>
              <w:left w:val="single" w:sz="4" w:space="0" w:color="000000"/>
              <w:bottom w:val="nil" w:sz="6" w:space="0" w:color="auto"/>
              <w:right w:val="single" w:sz="4" w:space="0" w:color="000000"/>
            </w:tcBorders>
            <w:shd w:val="clear" w:color="auto" w:fill="D2D2D2"/>
          </w:tcPr>
          <w:p>
            <w:pPr/>
          </w:p>
        </w:tc>
        <w:tc>
          <w:tcPr>
            <w:tcW w:w="678" w:type="dxa"/>
            <w:gridSpan w:val="2"/>
            <w:vMerge/>
            <w:tcBorders>
              <w:left w:val="single" w:sz="9" w:space="0" w:color="D2D2D2"/>
              <w:right w:val="single" w:sz="13" w:space="0" w:color="D2D2D2"/>
            </w:tcBorders>
          </w:tcPr>
          <w:p>
            <w:pPr/>
          </w:p>
        </w:tc>
        <w:tc>
          <w:tcPr>
            <w:tcW w:w="1732" w:type="dxa"/>
            <w:gridSpan w:val="2"/>
            <w:vMerge/>
            <w:tcBorders>
              <w:left w:val="single" w:sz="4" w:space="0" w:color="000000"/>
              <w:right w:val="single" w:sz="4" w:space="0" w:color="000000"/>
            </w:tcBorders>
            <w:shd w:val="clear" w:color="auto" w:fill="D2D2D2"/>
          </w:tcPr>
          <w:p>
            <w:pPr/>
          </w:p>
        </w:tc>
        <w:tc>
          <w:tcPr>
            <w:tcW w:w="648" w:type="dxa"/>
            <w:vMerge/>
            <w:tcBorders>
              <w:left w:val="single" w:sz="13" w:space="0" w:color="D2D2D2"/>
              <w:right w:val="single" w:sz="4" w:space="0" w:color="000000"/>
            </w:tcBorders>
          </w:tcPr>
          <w:p>
            <w:pPr/>
          </w:p>
        </w:tc>
      </w:tr>
      <w:tr>
        <w:trPr>
          <w:trHeight w:val="166"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843" w:type="dxa"/>
            <w:gridSpan w:val="2"/>
            <w:vMerge/>
            <w:tcBorders>
              <w:left w:val="single" w:sz="9" w:space="0" w:color="D2D2D2"/>
              <w:bottom w:val="single" w:sz="4" w:space="0" w:color="000000"/>
              <w:right w:val="single" w:sz="9" w:space="0" w:color="D2D2D2"/>
            </w:tcBorders>
          </w:tcPr>
          <w:p>
            <w:pPr/>
          </w:p>
        </w:tc>
        <w:tc>
          <w:tcPr>
            <w:tcW w:w="15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37" w:type="dxa"/>
            <w:gridSpan w:val="2"/>
            <w:vMerge/>
            <w:tcBorders>
              <w:left w:val="single" w:sz="9" w:space="0" w:color="D2D2D2"/>
              <w:bottom w:val="single" w:sz="4" w:space="0" w:color="000000"/>
              <w:right w:val="single" w:sz="9" w:space="0" w:color="D2D2D2"/>
            </w:tcBorders>
          </w:tcPr>
          <w:p>
            <w:pPr/>
          </w:p>
        </w:tc>
        <w:tc>
          <w:tcPr>
            <w:tcW w:w="171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gridSpan w:val="2"/>
            <w:vMerge/>
            <w:tcBorders>
              <w:left w:val="single" w:sz="9" w:space="0" w:color="D2D2D2"/>
              <w:bottom w:val="single" w:sz="4" w:space="0" w:color="000000"/>
              <w:right w:val="single" w:sz="13" w:space="0" w:color="D2D2D2"/>
            </w:tcBorders>
          </w:tcPr>
          <w:p>
            <w:pPr/>
          </w:p>
        </w:tc>
        <w:tc>
          <w:tcPr>
            <w:tcW w:w="1732" w:type="dxa"/>
            <w:gridSpan w:val="2"/>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
        </w:tc>
        <w:tc>
          <w:tcPr>
            <w:tcW w:w="9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2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7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2622" w:type="dxa"/>
            <w:gridSpan w:val="4"/>
            <w:vMerge/>
            <w:tcBorders>
              <w:left w:val="single" w:sz="4" w:space="0" w:color="000000"/>
              <w:right w:val="single" w:sz="4" w:space="0" w:color="000000"/>
            </w:tcBorders>
            <w:shd w:val="clear" w:color="auto" w:fill="D2D2D2"/>
          </w:tcPr>
          <w:p>
            <w:pPr/>
          </w:p>
        </w:tc>
      </w:tr>
      <w:tr>
        <w:trPr>
          <w:trHeight w:val="141" w:hRule="exact"/>
        </w:trPr>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2622"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2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
        </w:tc>
        <w:tc>
          <w:tcPr>
            <w:tcW w:w="851" w:type="dxa"/>
            <w:gridSpan w:val="2"/>
            <w:vMerge w:val="restart"/>
            <w:tcBorders>
              <w:top w:val="nil" w:sz="6" w:space="0" w:color="auto"/>
              <w:left w:val="single" w:sz="4" w:space="0" w:color="000000"/>
              <w:right w:val="single" w:sz="4" w:space="0" w:color="000000"/>
            </w:tcBorders>
            <w:shd w:val="clear" w:color="auto" w:fill="D2D2D2"/>
          </w:tcPr>
          <w:p>
            <w:pPr/>
          </w:p>
        </w:tc>
        <w:tc>
          <w:tcPr>
            <w:tcW w:w="993"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275"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1275"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23.94%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170,133,271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39,261,524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170,133,271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157,742,300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15.14%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107,610,093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24,833,098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107,610,093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84,710,000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11.01%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78,265,507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18,472,700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76,935,259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1,330,248</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53,020,000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3.08%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21,882,428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-727,921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21,882,428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3,850,000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0.4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992"/>
                    <w:gridCol w:w="851"/>
                    <w:gridCol w:w="993"/>
                    <w:gridCol w:w="992"/>
                    <w:gridCol w:w="992"/>
                    <w:gridCol w:w="850"/>
                    <w:gridCol w:w="1275"/>
                    <w:gridCol w:w="134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18,657,347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1,074,772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17,143,010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1,514,337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7,544,200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17,783,301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4,103,839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13,337,475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4,445,826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15,104,477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216,194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8,130,211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6,974,266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姚立生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6,375,047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3,798,623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1,162,524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5,212,523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4,024,317</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5,731,251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5,303,051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5,731,251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－景顺长城量 化精选股票型 证券投资基金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4,560,918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4,560,918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4,560,918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名股东的情 况（如有）</w:t>
                        </w:r>
                      </w:p>
                    </w:tc>
                    <w:tc>
                      <w:tcPr>
                        <w:tcW w:w="7300"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300" w:type="dxa"/>
                        <w:gridSpan w:val="7"/>
                        <w:vMerge w:val="restart"/>
                        <w:tcBorders>
                          <w:top w:val="single" w:sz="4" w:space="0" w:color="000000"/>
                          <w:left w:val="single" w:sz="9" w:space="0" w:color="D2D2D2"/>
                          <w:right w:val="single" w:sz="4" w:space="0" w:color="000000"/>
                        </w:tcBorders>
                      </w:tcPr>
                      <w:p>
                        <w:pPr>
                          <w:pStyle w:val="TableParagraph"/>
                          <w:spacing w:line="312" w:lineRule="auto" w:before="51"/>
                          <w:ind w:left="16" w:right="65"/>
                          <w:jc w:val="both"/>
                          <w:rPr>
                            <w:rFonts w:ascii="宋体" w:hAnsi="宋体" w:cs="宋体" w:eastAsia="宋体" w:hint="default"/>
                            <w:sz w:val="18"/>
                            <w:szCs w:val="18"/>
                          </w:rPr>
                        </w:pPr>
                        <w:r>
                          <w:rPr>
                            <w:rFonts w:ascii="宋体" w:hAnsi="宋体" w:cs="宋体" w:eastAsia="宋体" w:hint="default"/>
                            <w:sz w:val="18"/>
                            <w:szCs w:val="18"/>
                          </w:rPr>
                          <w:t>董泰湘与赵福君系夫妻关系，且二人与股东施瑞丰、欧阳曜均为北京久其科技投资有限公司 股东，四人分别直接持有北京久其科技投资有限公司</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5.25%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2.625%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1.575%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1.05%</w:t>
                        </w:r>
                        <w:r>
                          <w:rPr>
                            <w:rFonts w:ascii="宋体" w:hAnsi="宋体" w:cs="宋体" w:eastAsia="宋体" w:hint="default"/>
                            <w:spacing w:val="-5"/>
                            <w:sz w:val="18"/>
                            <w:szCs w:val="18"/>
                          </w:rPr>
                          <w:t>的股权</w:t>
                        </w:r>
                        <w:r>
                          <w:rPr>
                            <w:rFonts w:ascii="宋体" w:hAnsi="宋体" w:cs="宋体" w:eastAsia="宋体" w:hint="default"/>
                            <w:sz w:val="18"/>
                            <w:szCs w:val="18"/>
                          </w:rPr>
                          <w:t> 此外，董泰湘和赵福君通过天津君泰融汇投资中心（有限合伙）间接持有北京久其科技投资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89.5%</w:t>
                        </w:r>
                        <w:r>
                          <w:rPr>
                            <w:rFonts w:ascii="宋体" w:hAnsi="宋体" w:cs="宋体" w:eastAsia="宋体" w:hint="default"/>
                            <w:sz w:val="18"/>
                            <w:szCs w:val="18"/>
                          </w:rPr>
                          <w:t>股权。</w:t>
                        </w:r>
                      </w:p>
                    </w:tc>
                  </w:tr>
                  <w:tr>
                    <w:trPr>
                      <w:trHeight w:val="704" w:hRule="exact"/>
                    </w:trPr>
                    <w:tc>
                      <w:tcPr>
                        <w:tcW w:w="22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00" w:type="dxa"/>
                        <w:gridSpan w:val="7"/>
                        <w:vMerge/>
                        <w:tcBorders>
                          <w:left w:val="single" w:sz="9" w:space="0" w:color="D2D2D2"/>
                          <w:right w:val="single" w:sz="4" w:space="0" w:color="000000"/>
                        </w:tcBorders>
                      </w:tcPr>
                      <w:p>
                        <w:pPr/>
                      </w:p>
                    </w:tc>
                  </w:tr>
                  <w:tr>
                    <w:trPr>
                      <w:trHeight w:val="317" w:hRule="exact"/>
                    </w:trPr>
                    <w:tc>
                      <w:tcPr>
                        <w:tcW w:w="2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300"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67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7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22"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4678" w:type="dxa"/>
                        <w:gridSpan w:val="5"/>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67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6,974,266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6,974,266</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5,731,251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5,731,251</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姚立生</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5,212,523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5,212,523</w:t>
                        </w:r>
                      </w:p>
                    </w:tc>
                  </w:tr>
                  <w:tr>
                    <w:trPr>
                      <w:trHeight w:val="1026"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9" w:lineRule="auto" w:before="76"/>
                          <w:ind w:left="22" w:right="75"/>
                          <w:jc w:val="left"/>
                          <w:rPr>
                            <w:rFonts w:ascii="宋体" w:hAnsi="宋体" w:cs="宋体" w:eastAsia="宋体" w:hint="default"/>
                            <w:sz w:val="18"/>
                            <w:szCs w:val="18"/>
                          </w:rPr>
                        </w:pPr>
                        <w:r>
                          <w:rPr>
                            <w:rFonts w:ascii="宋体" w:hAnsi="宋体" w:cs="宋体" w:eastAsia="宋体" w:hint="default"/>
                            <w:sz w:val="18"/>
                            <w:szCs w:val="18"/>
                          </w:rPr>
                          <w:t>－景顺长城量化精选股票型 证券投资基金</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4,560,918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4,560,918</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4,445,826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4,445,826</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北京辰光致远创业投资中心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2,047,929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2,047,929</w:t>
                        </w:r>
                      </w:p>
                    </w:tc>
                  </w:tr>
                  <w:tr>
                    <w:trPr>
                      <w:trHeight w:val="1026"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中国银行股份有限公司－华 泰柏瑞量化先行混合型证券 投资基金</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2,000,793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2,000,793</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李云辉</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1,892,347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1,892,347</w:t>
                        </w:r>
                      </w:p>
                    </w:tc>
                  </w:tr>
                  <w:tr>
                    <w:trPr>
                      <w:trHeight w:val="714"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深圳尚道众盈二号投资合伙 企业（有限合伙）</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1,590,091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1,590,091</w:t>
                        </w:r>
                      </w:p>
                    </w:tc>
                  </w:tr>
                  <w:tr>
                    <w:trPr>
                      <w:trHeight w:val="674"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名无限售流通股股东之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8"/>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tc>
                    <w:tc>
                      <w:tcPr>
                        <w:tcW w:w="73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名股东中，董泰湘与赵福君系夫妻关系，二人与股东施瑞丰、欧阳曜均为北京久其 科技投资有限公司股东，四人分别直接持有北京久其科技投资有限公司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5.25%</w:t>
                        </w:r>
                        <w:r>
                          <w:rPr>
                            <w:rFonts w:ascii="宋体" w:hAnsi="宋体" w:cs="宋体" w:eastAsia="宋体" w:hint="default"/>
                            <w:sz w:val="18"/>
                            <w:szCs w:val="18"/>
                          </w:rPr>
                          <w:t>、</w:t>
                        </w:r>
                        <w:r>
                          <w:rPr>
                            <w:rFonts w:ascii="Times New Roman" w:hAnsi="Times New Roman" w:cs="Times New Roman" w:eastAsia="Times New Roman" w:hint="default"/>
                            <w:sz w:val="18"/>
                            <w:szCs w:val="18"/>
                          </w:rPr>
                          <w:t>2.625%</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left="0" w:right="1139"/>
        <w:jc w:val="right"/>
      </w:pP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1298"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名股东之间关 联关系或一致行动的说明</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1.575%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1.05%</w:t>
            </w:r>
            <w:r>
              <w:rPr>
                <w:rFonts w:ascii="宋体" w:hAnsi="宋体" w:cs="宋体" w:eastAsia="宋体" w:hint="default"/>
                <w:spacing w:val="-2"/>
                <w:sz w:val="18"/>
                <w:szCs w:val="18"/>
              </w:rPr>
              <w:t>的股权；此外，董泰湘和赵福君通过天津君泰融汇投资中心（有限合伙）间接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持有北京久其科技投资有限公司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89.5%</w:t>
            </w:r>
            <w:r>
              <w:rPr>
                <w:rFonts w:ascii="宋体" w:hAnsi="宋体" w:cs="宋体" w:eastAsia="宋体" w:hint="default"/>
                <w:sz w:val="18"/>
                <w:szCs w:val="18"/>
              </w:rPr>
              <w:t>股权。未知公司其他前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名股东之间，是否存在关联关系，也未知他们是否属 于《上市公司收购管理办法》中规定的一致行动人。</w:t>
            </w:r>
          </w:p>
        </w:tc>
      </w:tr>
    </w:tbl>
    <w:p>
      <w:pPr>
        <w:pStyle w:val="BodyText"/>
        <w:spacing w:line="240" w:lineRule="auto" w:before="51"/>
        <w:ind w:left="154" w:right="98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98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973"/>
        <w:gridCol w:w="1750"/>
        <w:gridCol w:w="1935"/>
        <w:gridCol w:w="1914"/>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北京久其科技投资有限 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9111010863361327XD</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围绕高科技领域开展投 资及投资管理相关工作</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983"/>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53" w:right="983"/>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138"/>
        <w:jc w:val="right"/>
      </w:pPr>
      <w:r>
        <w:rPr/>
        <w:pict>
          <v:shape style="position:absolute;margin-left:56.459999pt;margin-top:-205.748276pt;width:479.2pt;height:254.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7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、董泰湘女士，</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月毕业于哈尔滨船舶工程学院计 </w:t>
                        </w:r>
                        <w:r>
                          <w:rPr>
                            <w:rFonts w:ascii="宋体" w:hAnsi="宋体" w:cs="宋体" w:eastAsia="宋体" w:hint="default"/>
                            <w:spacing w:val="-1"/>
                            <w:sz w:val="18"/>
                            <w:szCs w:val="18"/>
                          </w:rPr>
                          <w:t>算机系，获硕士学位。历任北京船舶工业管理干部学院讲师、太平洋软件（中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国）有限公司技术部经理、久其软件董事长。现任久其科技、北京久其移动商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务科技有限公司、北京紫金山居文化有限公司执行董事，久其智通董事长，久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其政务、深圳市前海方成微电子有限公司董事，天津君泰融汇投资中心（有限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合伙）执行事务合伙人。</w:t>
                        </w:r>
                      </w:p>
                      <w:p>
                        <w:pPr>
                          <w:pStyle w:val="TableParagraph"/>
                          <w:spacing w:line="314" w:lineRule="auto" w:before="60"/>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、赵福君先生，</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月出生，研究生学历。历任北京船舶工业管理干部 </w:t>
                        </w:r>
                        <w:r>
                          <w:rPr>
                            <w:rFonts w:ascii="宋体" w:hAnsi="宋体" w:cs="宋体" w:eastAsia="宋体" w:hint="default"/>
                            <w:spacing w:val="-1"/>
                            <w:sz w:val="18"/>
                            <w:szCs w:val="18"/>
                          </w:rPr>
                          <w:t>学院计算机系主任、副教授、久其科技经理。现任公司董事长，并兼任久金所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董事长，久其政务董事，成都久其、上海久其、重庆久其、西安久其、新疆久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其、海南久其、海南互联网研究院执行董事，北京紫金山居文化有限公司监事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财政部会计信息化委员会咨询专家，中关村大数据联盟副理事长，中国信息产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业商会互联网众创分会副理事长。</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8"/>
        <w:gridCol w:w="6151"/>
      </w:tblGrid>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除久其软件外，董泰湘女士及赵福君先生过去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年未曾控股其他的境内外上 市公司。</w:t>
            </w:r>
          </w:p>
        </w:tc>
      </w:tr>
    </w:tbl>
    <w:p>
      <w:pPr>
        <w:pStyle w:val="BodyText"/>
        <w:spacing w:line="240" w:lineRule="auto" w:before="51"/>
        <w:ind w:left="154" w:right="983"/>
        <w:jc w:val="left"/>
      </w:pPr>
      <w:r>
        <w:rPr/>
        <w:t>实际控制人报告期内变更</w:t>
      </w:r>
    </w:p>
    <w:p>
      <w:pPr>
        <w:pStyle w:val="BodyText"/>
        <w:spacing w:line="350"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20"/>
          <w:szCs w:val="20"/>
        </w:rPr>
      </w:pPr>
    </w:p>
    <w:p>
      <w:pPr>
        <w:spacing w:line="3577" w:lineRule="exact"/>
        <w:ind w:left="2562"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076641" cy="227190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0" cstate="print"/>
                    <a:stretch>
                      <a:fillRect/>
                    </a:stretch>
                  </pic:blipFill>
                  <pic:spPr>
                    <a:xfrm>
                      <a:off x="0" y="0"/>
                      <a:ext cx="3076641" cy="2271903"/>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0"/>
        <w:rPr>
          <w:rFonts w:ascii="宋体" w:hAnsi="宋体" w:cs="宋体" w:eastAsia="宋体" w:hint="default"/>
          <w:sz w:val="22"/>
          <w:szCs w:val="22"/>
        </w:rPr>
      </w:pPr>
    </w:p>
    <w:p>
      <w:pPr>
        <w:pStyle w:val="BodyText"/>
        <w:spacing w:line="240" w:lineRule="auto"/>
        <w:ind w:right="983"/>
        <w:jc w:val="left"/>
      </w:pPr>
      <w:r>
        <w:rPr/>
        <w:t>实际控制人通过信托或其他资产管理方式控制公司</w:t>
      </w:r>
    </w:p>
    <w:p>
      <w:pPr>
        <w:pStyle w:val="BodyText"/>
        <w:spacing w:line="240" w:lineRule="auto" w:before="116"/>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983"/>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983"/>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83"/>
        <w:jc w:val="left"/>
      </w:pPr>
      <w:r>
        <w:rPr/>
        <w:t>关于控股股东、实际控制人及其他承诺方股份限制减持情况，详见本报告</w:t>
      </w:r>
      <w:r>
        <w:rPr>
          <w:rFonts w:ascii="Times New Roman" w:hAnsi="Times New Roman" w:cs="Times New Roman" w:eastAsia="Times New Roman" w:hint="default"/>
        </w:rPr>
        <w:t>“</w:t>
      </w:r>
      <w:r>
        <w:rPr/>
        <w:t>第五节 重要事项</w:t>
      </w:r>
      <w:r>
        <w:rPr>
          <w:spacing w:val="-19"/>
        </w:rPr>
        <w:t> </w:t>
      </w:r>
      <w:r>
        <w:rPr/>
        <w:t>三、承诺事项履行情况</w:t>
      </w:r>
      <w:r>
        <w:rPr>
          <w:rFonts w:ascii="Times New Roman" w:hAnsi="Times New Roman" w:cs="Times New Roman" w:eastAsia="Times New Roman" w:hint="default"/>
        </w:rPr>
        <w:t>"</w:t>
      </w:r>
      <w:r>
        <w:rPr/>
        <w:t>。</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983"/>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983"/>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983"/>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710"/>
        <w:gridCol w:w="1134"/>
        <w:gridCol w:w="425"/>
        <w:gridCol w:w="426"/>
        <w:gridCol w:w="425"/>
        <w:gridCol w:w="993"/>
        <w:gridCol w:w="992"/>
        <w:gridCol w:w="992"/>
        <w:gridCol w:w="708"/>
        <w:gridCol w:w="851"/>
        <w:gridCol w:w="992"/>
        <w:gridCol w:w="925"/>
      </w:tblGrid>
      <w:tr>
        <w:trPr>
          <w:trHeight w:val="133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400" w:right="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7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59,792,807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534,858</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17,937,842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78,265,507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17,582,575</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5,274,772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18,657,347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2,609,948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782,984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3,442,932</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13,679,462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4,103,839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17,783,301</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董事、副总 裁、财务总监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425,751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127,725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603,476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22,610,349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6,272,087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21,882,428</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61,050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264,550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10,592</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83,850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373,942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10"/>
        <w:gridCol w:w="1134"/>
        <w:gridCol w:w="425"/>
        <w:gridCol w:w="426"/>
        <w:gridCol w:w="425"/>
        <w:gridCol w:w="993"/>
        <w:gridCol w:w="992"/>
        <w:gridCol w:w="993"/>
        <w:gridCol w:w="708"/>
        <w:gridCol w:w="851"/>
        <w:gridCol w:w="992"/>
        <w:gridCol w:w="925"/>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117,710,892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645,450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34,802,249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141,958,58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3"/>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公司现任董事、监事、高级管理人员专业背景、主要工作经历以及目前在公司的主要职责</w:t>
      </w:r>
    </w:p>
    <w:p>
      <w:pPr>
        <w:pStyle w:val="BodyText"/>
        <w:spacing w:line="312" w:lineRule="auto" w:before="116"/>
        <w:ind w:right="1033"/>
        <w:jc w:val="left"/>
      </w:pPr>
      <w:r>
        <w:rPr/>
        <w:t>（一）公司董事会成员 </w:t>
      </w:r>
      <w:r>
        <w:rPr>
          <w:rFonts w:ascii="Times New Roman" w:hAnsi="Times New Roman" w:cs="Times New Roman" w:eastAsia="Times New Roman" w:hint="default"/>
          <w:spacing w:val="-2"/>
        </w:rPr>
        <w:t>1</w:t>
      </w:r>
      <w:r>
        <w:rPr>
          <w:spacing w:val="-2"/>
        </w:rPr>
        <w:t>、赵福君先生，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8</w:t>
      </w:r>
      <w:r>
        <w:rPr>
          <w:spacing w:val="-2"/>
        </w:rPr>
        <w:t>月出生，研究生学历。历任北京船舶工业管理干部学院计算机系主任、副教授、久其科技经理。现</w:t>
      </w:r>
      <w:r>
        <w:rPr>
          <w:spacing w:val="-64"/>
        </w:rPr>
        <w:t> </w:t>
      </w:r>
      <w:r>
        <w:rPr>
          <w:spacing w:val="-64"/>
        </w:rPr>
      </w:r>
      <w:r>
        <w:rPr/>
        <w:t>任公司董事长，并兼任久金所董事长，久其政务董事，成都久其、上海久其、重庆久其、西安久其、新疆久其、海南久其、 </w:t>
      </w:r>
      <w:r>
        <w:rPr>
          <w:spacing w:val="-2"/>
        </w:rPr>
        <w:t>海南互联网研究院执行董事，北京紫金山居文化有限公司监事，财政部会计信息化委员会咨询专家，中关村大数据联盟副理</w:t>
      </w:r>
      <w:r>
        <w:rPr>
          <w:spacing w:val="-66"/>
        </w:rPr>
        <w:t> </w:t>
      </w:r>
      <w:r>
        <w:rPr>
          <w:spacing w:val="-66"/>
        </w:rPr>
      </w:r>
      <w:r>
        <w:rPr/>
        <w:t>事长，中国信息产业商会互联网众创分会副理事长。 </w:t>
      </w:r>
      <w:r>
        <w:rPr>
          <w:rFonts w:ascii="Times New Roman" w:hAnsi="Times New Roman" w:cs="Times New Roman" w:eastAsia="Times New Roman" w:hint="default"/>
          <w:spacing w:val="-2"/>
        </w:rPr>
        <w:t>2</w:t>
      </w:r>
      <w:r>
        <w:rPr>
          <w:spacing w:val="-2"/>
        </w:rPr>
        <w:t>、栗军先生，</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4</w:t>
      </w:r>
      <w:r>
        <w:rPr>
          <w:spacing w:val="-2"/>
        </w:rPr>
        <w:t>月出生，硕士学历。现任公司副董事长，并兼任华夏电通董事长，北京华夏电通信息技术有限公司执</w:t>
      </w:r>
      <w:r>
        <w:rPr>
          <w:spacing w:val="-62"/>
        </w:rPr>
        <w:t> </w:t>
      </w:r>
      <w:r>
        <w:rPr>
          <w:spacing w:val="-62"/>
        </w:rPr>
      </w:r>
      <w:r>
        <w:rPr/>
        <w:t>行董事，久其数字传播、瑞意恒动、上海移通、中交信通网络科技有限公司董事。 </w:t>
      </w:r>
      <w:r>
        <w:rPr>
          <w:rFonts w:ascii="Times New Roman" w:hAnsi="Times New Roman" w:cs="Times New Roman" w:eastAsia="Times New Roman" w:hint="default"/>
          <w:spacing w:val="-2"/>
        </w:rPr>
        <w:t>3</w:t>
      </w:r>
      <w:r>
        <w:rPr>
          <w:spacing w:val="-2"/>
        </w:rPr>
        <w:t>、施瑞丰先生，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9</w:t>
      </w:r>
      <w:r>
        <w:rPr>
          <w:spacing w:val="-2"/>
        </w:rPr>
        <w:t>月出生，本科学历。曾就职于中船建筑设计研究院科技处、北京昊寰公司财务处、北京华孚商科技</w:t>
      </w:r>
      <w:r>
        <w:rPr>
          <w:spacing w:val="-61"/>
        </w:rPr>
        <w:t> </w:t>
      </w:r>
      <w:r>
        <w:rPr>
          <w:spacing w:val="-61"/>
        </w:rPr>
      </w:r>
      <w:r>
        <w:rPr>
          <w:spacing w:val="-2"/>
        </w:rPr>
        <w:t>发展公司、北京阳刚经贸有限公司，</w:t>
      </w:r>
      <w:r>
        <w:rPr>
          <w:rFonts w:ascii="Times New Roman" w:hAnsi="Times New Roman" w:cs="Times New Roman" w:eastAsia="Times New Roman" w:hint="default"/>
          <w:spacing w:val="-2"/>
        </w:rPr>
        <w:t>1999</w:t>
      </w:r>
      <w:r>
        <w:rPr>
          <w:spacing w:val="-2"/>
        </w:rPr>
        <w:t>年加入公司，现任公司董事、总裁，久其政务董事、北京中民颐养科技服务有限公</w:t>
      </w:r>
      <w:r>
        <w:rPr>
          <w:spacing w:val="-63"/>
        </w:rPr>
        <w:t> </w:t>
      </w:r>
      <w:r>
        <w:rPr>
          <w:spacing w:val="-63"/>
        </w:rPr>
      </w:r>
      <w:r>
        <w:rPr/>
        <w:t>司执行董事，久其金建董事长。 </w:t>
      </w:r>
      <w:r>
        <w:rPr>
          <w:rFonts w:ascii="Times New Roman" w:hAnsi="Times New Roman" w:cs="Times New Roman" w:eastAsia="Times New Roman" w:hint="default"/>
          <w:spacing w:val="-2"/>
        </w:rPr>
        <w:t>4</w:t>
      </w:r>
      <w:r>
        <w:rPr>
          <w:spacing w:val="-2"/>
        </w:rPr>
        <w:t>、欧阳曜先生，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3</w:t>
      </w:r>
      <w:r>
        <w:rPr>
          <w:spacing w:val="-2"/>
        </w:rPr>
        <w:t>月出生，硕士学位。曾就职于久其科技，</w:t>
      </w:r>
      <w:r>
        <w:rPr>
          <w:rFonts w:ascii="Times New Roman" w:hAnsi="Times New Roman" w:cs="Times New Roman" w:eastAsia="Times New Roman" w:hint="default"/>
          <w:spacing w:val="-2"/>
        </w:rPr>
        <w:t>1999</w:t>
      </w:r>
      <w:r>
        <w:rPr>
          <w:spacing w:val="-2"/>
        </w:rPr>
        <w:t>年加入公司，现任公司董事、副总裁，并兼任蜂语网</w:t>
      </w:r>
      <w:r>
        <w:rPr>
          <w:spacing w:val="-57"/>
        </w:rPr>
        <w:t> </w:t>
      </w:r>
      <w:r>
        <w:rPr>
          <w:spacing w:val="-57"/>
        </w:rPr>
      </w:r>
      <w:r>
        <w:rPr/>
        <w:t>络、北京久易商科技有限公司执行董事，久其政务董事。 </w:t>
      </w:r>
      <w:r>
        <w:rPr>
          <w:rFonts w:ascii="Times New Roman" w:hAnsi="Times New Roman" w:cs="Times New Roman" w:eastAsia="Times New Roman" w:hint="default"/>
        </w:rPr>
        <w:t>5</w:t>
      </w:r>
      <w:r>
        <w:rPr/>
        <w:t>、邱安超先生，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9</w:t>
      </w:r>
      <w:r>
        <w:rPr/>
        <w:t>月出生，本科学历，高级经济师，中国注册会计师非执业会员。</w:t>
      </w:r>
      <w:r>
        <w:rPr>
          <w:rFonts w:ascii="Times New Roman" w:hAnsi="Times New Roman" w:cs="Times New Roman" w:eastAsia="Times New Roman" w:hint="default"/>
        </w:rPr>
        <w:t>2000</w:t>
      </w:r>
      <w:r>
        <w:rPr/>
        <w:t>年加入公司，现任公司董事、 副总裁、财务总监，并兼任久其政务董事长、久金保执行董事，以及亿起联科技董事。 </w:t>
      </w:r>
      <w:r>
        <w:rPr>
          <w:rFonts w:ascii="Times New Roman" w:hAnsi="Times New Roman" w:cs="Times New Roman" w:eastAsia="Times New Roman" w:hint="default"/>
          <w:spacing w:val="-2"/>
        </w:rPr>
        <w:t>6</w:t>
      </w:r>
      <w:r>
        <w:rPr>
          <w:spacing w:val="-2"/>
        </w:rPr>
        <w:t>、王新先生，</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7</w:t>
      </w:r>
      <w:r>
        <w:rPr>
          <w:spacing w:val="-2"/>
        </w:rPr>
        <w:t>月出生，本科学历。现任公司董事，并兼任久其数字传播、亿起联科技、上海轻点网络科技有限公司</w:t>
      </w:r>
      <w:r>
        <w:rPr>
          <w:spacing w:val="-65"/>
        </w:rPr>
        <w:t> </w:t>
      </w:r>
      <w:r>
        <w:rPr>
          <w:spacing w:val="-65"/>
        </w:rPr>
      </w:r>
      <w:r>
        <w:rPr>
          <w:spacing w:val="-2"/>
        </w:rPr>
        <w:t>董事长，上海亿起联科技有限公司、点入传媒科技（天津）有限公司执行董事，北京井天科技有限公司、北京点游信息技术</w:t>
      </w:r>
      <w:r>
        <w:rPr>
          <w:spacing w:val="-68"/>
        </w:rPr>
        <w:t> </w:t>
      </w:r>
      <w:r>
        <w:rPr>
          <w:spacing w:val="-68"/>
        </w:rPr>
      </w:r>
      <w:r>
        <w:rPr/>
        <w:t>有限公司监事。 </w:t>
      </w:r>
      <w:r>
        <w:rPr>
          <w:rFonts w:ascii="Times New Roman" w:hAnsi="Times New Roman" w:cs="Times New Roman" w:eastAsia="Times New Roman" w:hint="default"/>
          <w:spacing w:val="-2"/>
        </w:rPr>
        <w:t>7</w:t>
      </w:r>
      <w:r>
        <w:rPr>
          <w:spacing w:val="-2"/>
        </w:rPr>
        <w:t>、韩凤岐先生，</w:t>
      </w:r>
      <w:r>
        <w:rPr>
          <w:rFonts w:ascii="Times New Roman" w:hAnsi="Times New Roman" w:cs="Times New Roman" w:eastAsia="Times New Roman" w:hint="default"/>
          <w:spacing w:val="-2"/>
        </w:rPr>
        <w:t>1949</w:t>
      </w:r>
      <w:r>
        <w:rPr>
          <w:spacing w:val="-2"/>
        </w:rPr>
        <w:t>年</w:t>
      </w:r>
      <w:r>
        <w:rPr>
          <w:rFonts w:ascii="Times New Roman" w:hAnsi="Times New Roman" w:cs="Times New Roman" w:eastAsia="Times New Roman" w:hint="default"/>
          <w:spacing w:val="-2"/>
        </w:rPr>
        <w:t>5</w:t>
      </w:r>
      <w:r>
        <w:rPr>
          <w:spacing w:val="-2"/>
        </w:rPr>
        <w:t>月出生，本科学历，高级会计师。曾任北京玻璃集团总会计师、北京旅游集团公司财务总监、总会</w:t>
      </w:r>
      <w:r>
        <w:rPr>
          <w:spacing w:val="-65"/>
        </w:rPr>
        <w:t> </w:t>
      </w:r>
      <w:r>
        <w:rPr>
          <w:spacing w:val="-65"/>
        </w:rPr>
      </w:r>
      <w:r>
        <w:rPr/>
        <w:t>计师，北京首都旅游股份有限公司董事、中国全聚德（集团）股份有限公司董事。现任公司独立董事。 </w:t>
      </w:r>
      <w:r>
        <w:rPr>
          <w:rFonts w:ascii="Times New Roman" w:hAnsi="Times New Roman" w:cs="Times New Roman" w:eastAsia="Times New Roman" w:hint="default"/>
          <w:spacing w:val="-2"/>
        </w:rPr>
        <w:t>8</w:t>
      </w:r>
      <w:r>
        <w:rPr>
          <w:spacing w:val="-2"/>
        </w:rPr>
        <w:t>、王元京先生，</w:t>
      </w:r>
      <w:r>
        <w:rPr>
          <w:rFonts w:ascii="Times New Roman" w:hAnsi="Times New Roman" w:cs="Times New Roman" w:eastAsia="Times New Roman" w:hint="default"/>
          <w:spacing w:val="-2"/>
        </w:rPr>
        <w:t>1950</w:t>
      </w:r>
      <w:r>
        <w:rPr>
          <w:spacing w:val="-2"/>
        </w:rPr>
        <w:t>年</w:t>
      </w:r>
      <w:r>
        <w:rPr>
          <w:rFonts w:ascii="Times New Roman" w:hAnsi="Times New Roman" w:cs="Times New Roman" w:eastAsia="Times New Roman" w:hint="default"/>
          <w:spacing w:val="-2"/>
        </w:rPr>
        <w:t>1</w:t>
      </w:r>
      <w:r>
        <w:rPr>
          <w:spacing w:val="-2"/>
        </w:rPr>
        <w:t>月出生，本科学历，高级工程师。曾任北京市政府办公厅办公自动化室主任，北京市政府信息中心</w:t>
      </w:r>
      <w:r>
        <w:rPr>
          <w:spacing w:val="-61"/>
        </w:rPr>
        <w:t> </w:t>
      </w:r>
      <w:r>
        <w:rPr>
          <w:spacing w:val="-61"/>
        </w:rPr>
      </w:r>
      <w:r>
        <w:rPr>
          <w:spacing w:val="-2"/>
        </w:rPr>
        <w:t>主任，北京市信息技术与办公决策发展研究所所长，北京市无线电管理局副局长，北京无线电协会会长，华夏电通股份独立</w:t>
      </w:r>
      <w:r>
        <w:rPr>
          <w:spacing w:val="-66"/>
        </w:rPr>
        <w:t> </w:t>
      </w:r>
      <w:r>
        <w:rPr>
          <w:spacing w:val="-66"/>
        </w:rPr>
      </w:r>
      <w:r>
        <w:rPr/>
        <w:t>董事。现任公司独立董事。 </w:t>
      </w:r>
      <w:r>
        <w:rPr>
          <w:rFonts w:ascii="Times New Roman" w:hAnsi="Times New Roman" w:cs="Times New Roman" w:eastAsia="Times New Roman" w:hint="default"/>
          <w:spacing w:val="-2"/>
        </w:rPr>
        <w:t>9</w:t>
      </w:r>
      <w:r>
        <w:rPr>
          <w:spacing w:val="-2"/>
        </w:rPr>
        <w:t>、戴金平女士，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w:t>
      </w:r>
      <w:r>
        <w:rPr>
          <w:spacing w:val="-2"/>
        </w:rPr>
        <w:t>月出生，研究生学历，博士生导师、教授。曾任南开大学深圳金融工程学院副院长，亿城集团股份</w:t>
      </w:r>
      <w:r>
        <w:rPr>
          <w:spacing w:val="-65"/>
        </w:rPr>
        <w:t> </w:t>
      </w:r>
      <w:r>
        <w:rPr>
          <w:spacing w:val="-65"/>
        </w:rPr>
      </w:r>
      <w:r>
        <w:rPr>
          <w:spacing w:val="-2"/>
        </w:rPr>
        <w:t>有限公司、百利电气股份有限公司、天津九安医疗电子股份有限公司、冀中能源股份有限公司、瑞普生物股份有限公司、和</w:t>
      </w:r>
      <w:r>
        <w:rPr>
          <w:spacing w:val="-66"/>
        </w:rPr>
        <w:t> </w:t>
      </w:r>
      <w:r>
        <w:rPr>
          <w:spacing w:val="-66"/>
        </w:rPr>
      </w:r>
      <w:r>
        <w:rPr/>
        <w:t>融期货有限责任公司、金谷期货有限公司独立董事。现任南开大学国家经济战略研究院副院长、跨国公司研究中心副主任、 </w:t>
      </w:r>
      <w:r>
        <w:rPr>
          <w:spacing w:val="-2"/>
        </w:rPr>
        <w:t>国际经济研究所教授，平安证券股份有限公司独立董事、天津国有资本投资运营有限公司独立董事、北方国际信托股份有限</w:t>
      </w:r>
      <w:r>
        <w:rPr>
          <w:spacing w:val="-66"/>
        </w:rPr>
        <w:t> </w:t>
      </w:r>
      <w:r>
        <w:rPr>
          <w:spacing w:val="-66"/>
        </w:rPr>
      </w:r>
      <w:r>
        <w:rPr/>
        <w:t>公司独立董事。现任公司独立董事。</w:t>
      </w:r>
    </w:p>
    <w:p>
      <w:pPr>
        <w:spacing w:line="240" w:lineRule="auto" w:before="7"/>
        <w:rPr>
          <w:rFonts w:ascii="宋体" w:hAnsi="宋体" w:cs="宋体" w:eastAsia="宋体" w:hint="default"/>
          <w:sz w:val="25"/>
          <w:szCs w:val="25"/>
        </w:rPr>
      </w:pPr>
    </w:p>
    <w:p>
      <w:pPr>
        <w:pStyle w:val="BodyText"/>
        <w:spacing w:line="240" w:lineRule="auto"/>
        <w:ind w:left="154" w:right="983"/>
        <w:jc w:val="left"/>
      </w:pPr>
      <w:r>
        <w:rPr/>
        <w:t>（二）公司监事会成员</w:t>
      </w:r>
    </w:p>
    <w:p>
      <w:pPr>
        <w:pStyle w:val="BodyText"/>
        <w:spacing w:line="240" w:lineRule="auto" w:before="76"/>
        <w:ind w:left="154" w:right="983"/>
        <w:jc w:val="left"/>
      </w:pPr>
      <w:r>
        <w:rPr>
          <w:rFonts w:ascii="Times New Roman" w:hAnsi="Times New Roman" w:cs="Times New Roman" w:eastAsia="Times New Roman" w:hint="default"/>
        </w:rPr>
        <w:t>1</w:t>
      </w:r>
      <w:r>
        <w:rPr/>
        <w:t>、王劲岩女士，</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月出生，本科学历。</w:t>
      </w:r>
      <w:r>
        <w:rPr>
          <w:rFonts w:ascii="Times New Roman" w:hAnsi="Times New Roman" w:cs="Times New Roman" w:eastAsia="Times New Roman" w:hint="default"/>
        </w:rPr>
        <w:t>1999</w:t>
      </w:r>
      <w:r>
        <w:rPr/>
        <w:t>年加入公司，现任公司监事会主席、工会主席。</w:t>
      </w:r>
    </w:p>
    <w:p>
      <w:pPr>
        <w:pStyle w:val="BodyText"/>
        <w:spacing w:line="240" w:lineRule="auto" w:before="63"/>
        <w:ind w:right="983"/>
        <w:jc w:val="left"/>
      </w:pPr>
      <w:r>
        <w:rPr>
          <w:rFonts w:ascii="Times New Roman" w:hAnsi="Times New Roman" w:cs="Times New Roman" w:eastAsia="Times New Roman" w:hint="default"/>
        </w:rPr>
        <w:t>2</w:t>
      </w:r>
      <w:r>
        <w:rPr/>
        <w:t>、曾超先生，</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w:t>
      </w:r>
      <w:r>
        <w:rPr/>
        <w:t>月出生，本科学历。</w:t>
      </w:r>
      <w:r>
        <w:rPr>
          <w:rFonts w:ascii="Times New Roman" w:hAnsi="Times New Roman" w:cs="Times New Roman" w:eastAsia="Times New Roman" w:hint="default"/>
        </w:rPr>
        <w:t>1999</w:t>
      </w:r>
      <w:r>
        <w:rPr/>
        <w:t>年加入公司，现任公司监事、企业事业本部董事总经理。</w:t>
      </w:r>
    </w:p>
    <w:p>
      <w:pPr>
        <w:pStyle w:val="BodyText"/>
        <w:spacing w:line="240" w:lineRule="auto" w:before="63"/>
        <w:ind w:right="983"/>
        <w:jc w:val="left"/>
      </w:pPr>
      <w:r>
        <w:rPr>
          <w:rFonts w:ascii="Times New Roman" w:hAnsi="Times New Roman" w:cs="Times New Roman" w:eastAsia="Times New Roman" w:hint="default"/>
        </w:rPr>
        <w:t>3</w:t>
      </w:r>
      <w:r>
        <w:rPr/>
        <w:t>、蒋硕先生，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月出生，大专学历。</w:t>
      </w:r>
      <w:r>
        <w:rPr>
          <w:rFonts w:ascii="Times New Roman" w:hAnsi="Times New Roman" w:cs="Times New Roman" w:eastAsia="Times New Roman" w:hint="default"/>
        </w:rPr>
        <w:t>1999</w:t>
      </w:r>
      <w:r>
        <w:rPr/>
        <w:t>年加入公司，现任公司监事，就职于通信高科技事业部。</w:t>
      </w:r>
    </w:p>
    <w:p>
      <w:pPr>
        <w:spacing w:line="240" w:lineRule="auto" w:before="0"/>
        <w:rPr>
          <w:rFonts w:ascii="宋体" w:hAnsi="宋体" w:cs="宋体" w:eastAsia="宋体" w:hint="default"/>
          <w:sz w:val="18"/>
          <w:szCs w:val="18"/>
        </w:rPr>
      </w:pPr>
    </w:p>
    <w:p>
      <w:pPr>
        <w:pStyle w:val="BodyText"/>
        <w:spacing w:line="240" w:lineRule="auto" w:before="139"/>
        <w:ind w:right="983"/>
        <w:jc w:val="left"/>
      </w:pPr>
      <w:r>
        <w:rPr/>
        <w:t>（三）公司高级管理人员</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983"/>
        <w:jc w:val="left"/>
      </w:pPr>
      <w:r>
        <w:rPr>
          <w:rFonts w:ascii="Times New Roman" w:hAnsi="Times New Roman" w:cs="Times New Roman" w:eastAsia="Times New Roman" w:hint="default"/>
        </w:rPr>
        <w:t>1</w:t>
      </w:r>
      <w:r>
        <w:rPr/>
        <w:t>、施瑞丰先生简历见董事简历。</w:t>
      </w:r>
    </w:p>
    <w:p>
      <w:pPr>
        <w:pStyle w:val="BodyText"/>
        <w:spacing w:line="240" w:lineRule="auto" w:before="63"/>
        <w:ind w:right="983"/>
        <w:jc w:val="left"/>
      </w:pPr>
      <w:r>
        <w:rPr>
          <w:rFonts w:ascii="Times New Roman" w:hAnsi="Times New Roman" w:cs="Times New Roman" w:eastAsia="Times New Roman" w:hint="default"/>
        </w:rPr>
        <w:t>2</w:t>
      </w:r>
      <w:r>
        <w:rPr/>
        <w:t>、欧阳曜先生简历见董事简历。</w:t>
      </w:r>
    </w:p>
    <w:p>
      <w:pPr>
        <w:pStyle w:val="BodyText"/>
        <w:spacing w:line="240" w:lineRule="auto" w:before="63"/>
        <w:ind w:right="983"/>
        <w:jc w:val="left"/>
      </w:pPr>
      <w:r>
        <w:rPr>
          <w:rFonts w:ascii="Times New Roman" w:hAnsi="Times New Roman" w:cs="Times New Roman" w:eastAsia="Times New Roman" w:hint="default"/>
        </w:rPr>
        <w:t>3</w:t>
      </w:r>
      <w:r>
        <w:rPr/>
        <w:t>、邱安超先生简历见董事简历。</w:t>
      </w:r>
    </w:p>
    <w:p>
      <w:pPr>
        <w:pStyle w:val="BodyText"/>
        <w:spacing w:line="309" w:lineRule="auto" w:before="63"/>
        <w:ind w:right="983"/>
        <w:jc w:val="left"/>
      </w:pPr>
      <w:r>
        <w:rPr>
          <w:rFonts w:ascii="Times New Roman" w:hAnsi="Times New Roman" w:cs="Times New Roman" w:eastAsia="Times New Roman" w:hint="default"/>
          <w:spacing w:val="-2"/>
        </w:rPr>
        <w:t>4</w:t>
      </w:r>
      <w:r>
        <w:rPr>
          <w:spacing w:val="-2"/>
        </w:rPr>
        <w:t>、刘文圣先生，</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4</w:t>
      </w:r>
      <w:r>
        <w:rPr>
          <w:spacing w:val="-2"/>
        </w:rPr>
        <w:t>月出生，研究生学历。</w:t>
      </w:r>
      <w:r>
        <w:rPr>
          <w:rFonts w:ascii="Times New Roman" w:hAnsi="Times New Roman" w:cs="Times New Roman" w:eastAsia="Times New Roman" w:hint="default"/>
          <w:spacing w:val="-2"/>
        </w:rPr>
        <w:t>2002</w:t>
      </w:r>
      <w:r>
        <w:rPr>
          <w:spacing w:val="-2"/>
        </w:rPr>
        <w:t>年加入公司，现任久其软件副总裁、大数据研究院院长，并兼任久其智</w:t>
      </w:r>
      <w:r>
        <w:rPr>
          <w:spacing w:val="-60"/>
        </w:rPr>
        <w:t> </w:t>
      </w:r>
      <w:r>
        <w:rPr>
          <w:spacing w:val="-60"/>
        </w:rPr>
      </w:r>
      <w:r>
        <w:rPr/>
        <w:t>通、瑞意恒动董事。 </w:t>
      </w:r>
      <w:r>
        <w:rPr>
          <w:rFonts w:ascii="Times New Roman" w:hAnsi="Times New Roman" w:cs="Times New Roman" w:eastAsia="Times New Roman" w:hint="default"/>
        </w:rPr>
        <w:t>5</w:t>
      </w:r>
      <w:r>
        <w:rPr/>
        <w:t>、朱晓钧先生，</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月出生，本科学历。</w:t>
      </w:r>
      <w:r>
        <w:rPr>
          <w:rFonts w:ascii="Times New Roman" w:hAnsi="Times New Roman" w:cs="Times New Roman" w:eastAsia="Times New Roman" w:hint="default"/>
        </w:rPr>
        <w:t>1999</w:t>
      </w:r>
      <w:r>
        <w:rPr/>
        <w:t>年加入公司，现任久其软件副总裁、通信高科技事业部总经理。</w:t>
      </w:r>
    </w:p>
    <w:p>
      <w:pPr>
        <w:pStyle w:val="BodyText"/>
        <w:spacing w:line="300" w:lineRule="auto" w:before="5"/>
        <w:ind w:left="154" w:right="983"/>
        <w:jc w:val="left"/>
      </w:pPr>
      <w:r>
        <w:rPr>
          <w:rFonts w:ascii="Times New Roman" w:hAnsi="Times New Roman" w:cs="Times New Roman" w:eastAsia="Times New Roman" w:hint="default"/>
          <w:spacing w:val="-2"/>
        </w:rPr>
        <w:t>6</w:t>
      </w:r>
      <w:r>
        <w:rPr>
          <w:spacing w:val="-2"/>
        </w:rPr>
        <w:t>、王海霞女士，</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4</w:t>
      </w:r>
      <w:r>
        <w:rPr>
          <w:spacing w:val="-2"/>
        </w:rPr>
        <w:t>月出生，本科学历。</w:t>
      </w:r>
      <w:r>
        <w:rPr>
          <w:rFonts w:ascii="Times New Roman" w:hAnsi="Times New Roman" w:cs="Times New Roman" w:eastAsia="Times New Roman" w:hint="default"/>
          <w:spacing w:val="-2"/>
        </w:rPr>
        <w:t>2001</w:t>
      </w:r>
      <w:r>
        <w:rPr>
          <w:spacing w:val="-2"/>
        </w:rPr>
        <w:t>年加入公司，现任久其软件副总裁、董事会秘书，并兼任久其数字传播董</w:t>
      </w:r>
      <w:r>
        <w:rPr>
          <w:spacing w:val="-60"/>
        </w:rPr>
        <w:t> </w:t>
      </w:r>
      <w:r>
        <w:rPr>
          <w:spacing w:val="-60"/>
        </w:rPr>
      </w:r>
      <w:r>
        <w:rPr/>
        <w:t>事，新疆久其、海南久其、久金保监事。</w:t>
      </w:r>
    </w:p>
    <w:p>
      <w:pPr>
        <w:pStyle w:val="BodyText"/>
        <w:spacing w:line="240" w:lineRule="auto" w:before="72"/>
        <w:ind w:left="154" w:right="983"/>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2595"/>
        <w:gridCol w:w="1134"/>
        <w:gridCol w:w="1702"/>
        <w:gridCol w:w="1528"/>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天津国有资本投资运营有限公司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北方国际信托股份有限公司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北京点游信息技术有限公司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北京井天科技有限公司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同望科技股份有限公司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983"/>
        <w:jc w:val="left"/>
      </w:pPr>
      <w:r>
        <w:rPr/>
        <w:t>公司现任及报告期内离任董事、监事和高级管理人员近三年证券监管机构处罚的情况</w:t>
      </w:r>
    </w:p>
    <w:p>
      <w:pPr>
        <w:pStyle w:val="BodyText"/>
        <w:spacing w:line="240" w:lineRule="auto" w:before="117"/>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3"/>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董事、监事、高级管理人员报酬的决策程序、确定依据、实际支付情况</w:t>
      </w:r>
    </w:p>
    <w:p>
      <w:pPr>
        <w:pStyle w:val="BodyText"/>
        <w:spacing w:line="309" w:lineRule="auto" w:before="115"/>
        <w:ind w:right="1123"/>
        <w:jc w:val="left"/>
      </w:pPr>
      <w:r>
        <w:rPr>
          <w:rFonts w:ascii="Times New Roman" w:hAnsi="Times New Roman" w:cs="Times New Roman" w:eastAsia="Times New Roman" w:hint="default"/>
        </w:rPr>
        <w:t>1</w:t>
      </w:r>
      <w:r>
        <w:rPr/>
        <w:t>、公司董事会薪酬与考核委员会负责研究董事、高级管理人员考核的标准，根据董事、高级管理人员岗位职责制定薪酬方 案，审查公司董事、高级管理人员的履职情况并对其进行年度绩效考评。 </w:t>
      </w:r>
      <w:r>
        <w:rPr>
          <w:rFonts w:ascii="Times New Roman" w:hAnsi="Times New Roman" w:cs="Times New Roman" w:eastAsia="Times New Roman" w:hint="default"/>
        </w:rPr>
        <w:t>2</w:t>
      </w:r>
      <w:r>
        <w:rPr/>
        <w:t>、公司独立董事津贴标准按照由股东大会审议通过的《独立董事津贴办法》执行。</w:t>
      </w:r>
    </w:p>
    <w:p>
      <w:pPr>
        <w:pStyle w:val="BodyText"/>
        <w:spacing w:line="309" w:lineRule="auto" w:before="5"/>
        <w:ind w:left="154" w:right="983"/>
        <w:jc w:val="left"/>
      </w:pPr>
      <w:r>
        <w:rPr>
          <w:rFonts w:ascii="Times New Roman" w:hAnsi="Times New Roman" w:cs="Times New Roman" w:eastAsia="Times New Roman" w:hint="default"/>
          <w:spacing w:val="-2"/>
        </w:rPr>
        <w:t>3</w:t>
      </w:r>
      <w:r>
        <w:rPr>
          <w:spacing w:val="-2"/>
        </w:rPr>
        <w:t>、公司董事、监事按照其在公司的任职情况，根据公司现行薪酬管理制度、绩效管理制度的规定领取薪酬；公司外部董事、</w:t>
      </w:r>
      <w:r>
        <w:rPr>
          <w:spacing w:val="-64"/>
        </w:rPr>
        <w:t> </w:t>
      </w:r>
      <w:r>
        <w:rPr>
          <w:spacing w:val="-64"/>
        </w:rPr>
      </w:r>
      <w:r>
        <w:rPr/>
        <w:t>监事经股东大会批准后可以领取津贴。 </w:t>
      </w:r>
      <w:r>
        <w:rPr>
          <w:rFonts w:ascii="Times New Roman" w:hAnsi="Times New Roman" w:cs="Times New Roman" w:eastAsia="Times New Roman" w:hint="default"/>
        </w:rPr>
        <w:t>4</w:t>
      </w:r>
      <w:r>
        <w:rPr/>
        <w:t>、根据公司《董事、监事和高级管理人员薪酬管理制度》的规定，公司董事长及高级管理人员的年度薪酬总额由基本年薪 </w:t>
      </w:r>
      <w:r>
        <w:rPr>
          <w:spacing w:val="-2"/>
        </w:rPr>
        <w:t>和浮动奖金两部分构成，根据个人工作职务及岗位级别确定其基本年薪；根据公司经营业绩及个人年度绩效考核结果确定其</w:t>
      </w:r>
      <w:r>
        <w:rPr>
          <w:spacing w:val="-64"/>
        </w:rPr>
        <w:t> </w:t>
      </w:r>
      <w:r>
        <w:rPr>
          <w:spacing w:val="-64"/>
        </w:rPr>
      </w:r>
      <w:r>
        <w:rPr/>
        <w:t>浮动奖金。</w:t>
      </w:r>
    </w:p>
    <w:p>
      <w:pPr>
        <w:pStyle w:val="BodyText"/>
        <w:spacing w:line="240" w:lineRule="auto" w:before="65"/>
        <w:ind w:right="983"/>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2174"/>
        <w:gridCol w:w="1134"/>
        <w:gridCol w:w="792"/>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2174"/>
        <w:gridCol w:w="1134"/>
        <w:gridCol w:w="792"/>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677.57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3"/>
        <w:jc w:val="left"/>
      </w:pPr>
      <w:r>
        <w:rPr/>
        <w:t>公司董事、高级管理人员报告期内被授予的股权激励情况</w:t>
      </w:r>
    </w:p>
    <w:p>
      <w:pPr>
        <w:pStyle w:val="BodyText"/>
        <w:spacing w:line="240" w:lineRule="auto" w:before="117"/>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83"/>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r>
    </w:tbl>
    <w:p>
      <w:pPr>
        <w:spacing w:line="240" w:lineRule="auto" w:before="2"/>
        <w:rPr>
          <w:rFonts w:ascii="宋体" w:hAnsi="宋体" w:cs="宋体" w:eastAsia="宋体" w:hint="default"/>
          <w:b/>
          <w:bCs/>
          <w:sz w:val="19"/>
          <w:szCs w:val="19"/>
        </w:rPr>
      </w:pPr>
    </w:p>
    <w:p>
      <w:pPr>
        <w:pStyle w:val="Heading3"/>
        <w:spacing w:line="240" w:lineRule="auto" w:before="35"/>
        <w:ind w:right="983"/>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032"/>
        <w:jc w:val="left"/>
      </w:pPr>
      <w:r>
        <w:rPr/>
        <w:t>公司的薪酬政策与绩效考核挂钩，以业绩导向为原则，强调公司、责任中心业绩目标与员工个人绩效目标的一致性。同时， </w:t>
      </w:r>
      <w:r>
        <w:rPr>
          <w:spacing w:val="-2"/>
        </w:rPr>
        <w:t>注重</w:t>
      </w:r>
      <w:r>
        <w:rPr>
          <w:rFonts w:ascii="Times New Roman" w:hAnsi="Times New Roman" w:cs="Times New Roman" w:eastAsia="Times New Roman" w:hint="default"/>
          <w:spacing w:val="-2"/>
        </w:rPr>
        <w:t>“</w:t>
      </w:r>
      <w:r>
        <w:rPr>
          <w:spacing w:val="-2"/>
        </w:rPr>
        <w:t>外部均衡性、内部均衡性和个体均衡性</w:t>
      </w:r>
      <w:r>
        <w:rPr>
          <w:rFonts w:ascii="Times New Roman" w:hAnsi="Times New Roman" w:cs="Times New Roman" w:eastAsia="Times New Roman" w:hint="default"/>
          <w:spacing w:val="-2"/>
        </w:rPr>
        <w:t>”</w:t>
      </w:r>
      <w:r>
        <w:rPr>
          <w:spacing w:val="-2"/>
        </w:rPr>
        <w:t>，保证了员工薪酬的公平性和激励作用，以达到公司与员工共同进步共同发展</w:t>
      </w:r>
      <w:r>
        <w:rPr>
          <w:spacing w:val="-45"/>
        </w:rPr>
        <w:t> </w:t>
      </w:r>
      <w:r>
        <w:rPr>
          <w:spacing w:val="-45"/>
        </w:rPr>
      </w:r>
      <w:r>
        <w:rPr>
          <w:spacing w:val="-2"/>
        </w:rPr>
        <w:t>的双赢目的。各业务主体围绕年度目标计划根据各自业务特点制定绩效考核标准，并通过重点工作事项、月度季度经营分析</w:t>
      </w:r>
      <w:r>
        <w:rPr>
          <w:spacing w:val="-66"/>
        </w:rPr>
        <w:t> </w:t>
      </w:r>
      <w:r>
        <w:rPr>
          <w:spacing w:val="-66"/>
        </w:rPr>
      </w:r>
      <w:r>
        <w:rPr/>
        <w:t>会议等管理措施，实现了对公司整体业绩</w:t>
      </w:r>
      <w:r>
        <w:rPr>
          <w:rFonts w:ascii="Times New Roman" w:hAnsi="Times New Roman" w:cs="Times New Roman" w:eastAsia="Times New Roman" w:hint="default"/>
        </w:rPr>
        <w:t>KPI</w:t>
      </w:r>
      <w:r>
        <w:rPr/>
        <w:t>的有效跟踪和管理，确保了公司经营计划的落实和经营业绩的稳定增长。并且 </w:t>
      </w:r>
      <w:r>
        <w:rPr>
          <w:spacing w:val="-2"/>
        </w:rPr>
        <w:t>公司通过项目激励、岗位激励等措施，以及股权激励计划等方式逐步推进多层次、差异化的薪酬与激励措施，有效调动了员</w:t>
      </w:r>
      <w:r>
        <w:rPr>
          <w:spacing w:val="-66"/>
        </w:rPr>
        <w:t> </w:t>
      </w:r>
      <w:r>
        <w:rPr>
          <w:spacing w:val="-66"/>
        </w:rPr>
      </w:r>
      <w:r>
        <w:rPr/>
        <w:t>工积极性，为公司业绩的稳定增长奠定了良好的基础。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983"/>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983"/>
        <w:jc w:val="left"/>
      </w:pPr>
      <w:r>
        <w:rPr>
          <w:spacing w:val="-2"/>
        </w:rPr>
        <w:t>公司教育中心负责制定并落实员工培训计划，不断优化并完善培训制度体系、讲师体系和课程体系。报告期根据年初制定的</w:t>
      </w:r>
      <w:r>
        <w:rPr>
          <w:spacing w:val="-66"/>
        </w:rPr>
        <w:t> </w:t>
      </w:r>
      <w:r>
        <w:rPr>
          <w:spacing w:val="-66"/>
        </w:rPr>
      </w:r>
      <w:r>
        <w:rPr>
          <w:spacing w:val="-2"/>
        </w:rPr>
        <w:t>培训计划，落实执行岗前培训、分支机构培训、项目管理培训，强化新入职员工岗前培训和筛选机制，并在公司内部搭建在</w:t>
      </w:r>
      <w:r>
        <w:rPr>
          <w:spacing w:val="-66"/>
        </w:rPr>
        <w:t> </w:t>
      </w:r>
      <w:r>
        <w:rPr>
          <w:spacing w:val="-66"/>
        </w:rPr>
      </w:r>
      <w:r>
        <w:rPr>
          <w:spacing w:val="-2"/>
        </w:rPr>
        <w:t>线学习平台</w:t>
      </w:r>
      <w:r>
        <w:rPr>
          <w:rFonts w:ascii="Times New Roman" w:hAnsi="Times New Roman" w:cs="Times New Roman" w:eastAsia="Times New Roman" w:hint="default"/>
          <w:spacing w:val="-2"/>
        </w:rPr>
        <w:t>——“</w:t>
      </w:r>
      <w:r>
        <w:rPr>
          <w:spacing w:val="-2"/>
        </w:rPr>
        <w:t>久其云学堂</w:t>
      </w:r>
      <w:r>
        <w:rPr>
          <w:rFonts w:ascii="Times New Roman" w:hAnsi="Times New Roman" w:cs="Times New Roman" w:eastAsia="Times New Roman" w:hint="default"/>
          <w:spacing w:val="-2"/>
        </w:rPr>
        <w:t>”</w:t>
      </w:r>
      <w:r>
        <w:rPr>
          <w:spacing w:val="-2"/>
        </w:rPr>
        <w:t>，为构建学习型组织打下坚实基础，面向全国分支机构开设产品培训班，通过</w:t>
      </w:r>
      <w:r>
        <w:rPr>
          <w:rFonts w:ascii="Times New Roman" w:hAnsi="Times New Roman" w:cs="Times New Roman" w:eastAsia="Times New Roman" w:hint="default"/>
          <w:spacing w:val="-2"/>
        </w:rPr>
        <w:t>“</w:t>
      </w:r>
      <w:r>
        <w:rPr>
          <w:spacing w:val="-2"/>
        </w:rPr>
        <w:t>远程授课</w:t>
      </w:r>
      <w:r>
        <w:rPr>
          <w:rFonts w:ascii="Times New Roman" w:hAnsi="Times New Roman" w:cs="Times New Roman" w:eastAsia="Times New Roman" w:hint="default"/>
          <w:spacing w:val="-2"/>
        </w:rPr>
        <w:t>+</w:t>
      </w:r>
      <w:r>
        <w:rPr>
          <w:spacing w:val="-2"/>
        </w:rPr>
        <w:t>任务</w:t>
      </w:r>
      <w:r>
        <w:rPr>
          <w:spacing w:val="-44"/>
        </w:rPr>
        <w:t> </w:t>
      </w:r>
      <w:r>
        <w:rPr/>
        <w:t>单</w:t>
      </w:r>
      <w:r>
        <w:rPr>
          <w:rFonts w:ascii="Times New Roman" w:hAnsi="Times New Roman" w:cs="Times New Roman" w:eastAsia="Times New Roman" w:hint="default"/>
        </w:rPr>
        <w:t>+</w:t>
      </w:r>
      <w:r>
        <w:rPr/>
        <w:t>视频资料</w:t>
      </w:r>
      <w:r>
        <w:rPr>
          <w:rFonts w:ascii="Times New Roman" w:hAnsi="Times New Roman" w:cs="Times New Roman" w:eastAsia="Times New Roman" w:hint="default"/>
        </w:rPr>
        <w:t>+</w:t>
      </w:r>
      <w:r>
        <w:rPr/>
        <w:t>答疑</w:t>
      </w:r>
      <w:r>
        <w:rPr>
          <w:rFonts w:ascii="Times New Roman" w:hAnsi="Times New Roman" w:cs="Times New Roman" w:eastAsia="Times New Roman" w:hint="default"/>
        </w:rPr>
        <w:t>”</w:t>
      </w:r>
      <w:r>
        <w:rPr/>
        <w:t>的方式，加强了分支机构实施岗位技术人员的培养。依托中关村人才，为公司中高层管理人员提供管理 </w:t>
      </w:r>
      <w:r>
        <w:rPr>
          <w:spacing w:val="-4"/>
        </w:rPr>
        <w:t>培训，有效开拓和提升了公司中高层管理人员的战略视野和经营格局，有助于公司加速构建适应集团化发展的管理人才体系。</w:t>
      </w:r>
      <w:r>
        <w:rPr>
          <w:spacing w:val="-44"/>
        </w:rPr>
        <w:t> </w:t>
      </w:r>
      <w:r>
        <w:rPr>
          <w:spacing w:val="-44"/>
        </w:rPr>
      </w:r>
      <w:r>
        <w:rPr>
          <w:spacing w:val="-4"/>
        </w:rPr>
        <w:t>此外，报告期公司以《久其教育方法论》为理论基础，与哈尔滨工程大学继续深化合作，以参与高校课程开发与授课的形式，</w:t>
      </w:r>
      <w:r>
        <w:rPr>
          <w:spacing w:val="-44"/>
        </w:rPr>
        <w:t> </w:t>
      </w:r>
      <w:r>
        <w:rPr>
          <w:spacing w:val="-44"/>
        </w:rPr>
      </w:r>
      <w:r>
        <w:rPr/>
        <w:t>联合进行人才定制培养，进一步提升了公司人才储备质量。</w:t>
      </w:r>
    </w:p>
    <w:p>
      <w:pPr>
        <w:spacing w:line="240" w:lineRule="auto" w:before="10"/>
        <w:rPr>
          <w:rFonts w:ascii="宋体" w:hAnsi="宋体" w:cs="宋体" w:eastAsia="宋体" w:hint="default"/>
          <w:sz w:val="22"/>
          <w:szCs w:val="22"/>
        </w:rPr>
      </w:pPr>
    </w:p>
    <w:p>
      <w:pPr>
        <w:pStyle w:val="Heading3"/>
        <w:spacing w:line="240" w:lineRule="auto"/>
        <w:ind w:right="983"/>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248"/>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3"/>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3"/>
        <w:jc w:val="left"/>
      </w:pPr>
      <w:r>
        <w:rPr>
          <w:spacing w:val="-2"/>
        </w:rPr>
        <w:t>报告期内，公司严格按照《公司法》《证券法》《上市公司治理准则》《深圳证券交易所股票上市规则》《深圳证券交易所</w:t>
      </w:r>
      <w:r>
        <w:rPr>
          <w:spacing w:val="-67"/>
        </w:rPr>
        <w:t> </w:t>
      </w:r>
      <w:r>
        <w:rPr>
          <w:spacing w:val="-67"/>
        </w:rPr>
      </w:r>
      <w:r>
        <w:rPr/>
        <w:t>中小企业板上市公司规范运作指引》等相关法律、法规的规定，不断完善公司法人治理结构，健全内部控制体系。</w:t>
      </w:r>
    </w:p>
    <w:p>
      <w:pPr>
        <w:spacing w:line="240" w:lineRule="auto" w:before="4"/>
        <w:rPr>
          <w:rFonts w:ascii="宋体" w:hAnsi="宋体" w:cs="宋体" w:eastAsia="宋体" w:hint="default"/>
          <w:sz w:val="25"/>
          <w:szCs w:val="25"/>
        </w:rPr>
      </w:pPr>
    </w:p>
    <w:p>
      <w:pPr>
        <w:pStyle w:val="BodyText"/>
        <w:spacing w:line="316" w:lineRule="auto"/>
        <w:ind w:right="983"/>
        <w:jc w:val="left"/>
      </w:pPr>
      <w:r>
        <w:rPr/>
        <w:t>（一）关于股东与股东大会 </w:t>
      </w:r>
      <w:r>
        <w:rPr>
          <w:spacing w:val="-2"/>
        </w:rPr>
        <w:t>公司严格按照《公司法》《公司章程》及《股东大会议事规则》的要求，规范股东大会的召集、召开、提案提交及表决等程</w:t>
      </w:r>
      <w:r>
        <w:rPr>
          <w:spacing w:val="-69"/>
        </w:rPr>
        <w:t> </w:t>
      </w:r>
      <w:r>
        <w:rPr>
          <w:spacing w:val="-69"/>
        </w:rPr>
      </w:r>
      <w:r>
        <w:rPr/>
        <w:t>序，依法规范运作，保障股东的合法权益，确保股东特别是中小股东能够充分行使股东权利，未出现违法违规的情况。</w:t>
      </w:r>
    </w:p>
    <w:p>
      <w:pPr>
        <w:spacing w:line="240" w:lineRule="auto" w:before="4"/>
        <w:rPr>
          <w:rFonts w:ascii="宋体" w:hAnsi="宋体" w:cs="宋体" w:eastAsia="宋体" w:hint="default"/>
          <w:sz w:val="25"/>
          <w:szCs w:val="25"/>
        </w:rPr>
      </w:pPr>
    </w:p>
    <w:p>
      <w:pPr>
        <w:pStyle w:val="BodyText"/>
        <w:spacing w:line="316" w:lineRule="auto"/>
        <w:ind w:left="154" w:right="983"/>
        <w:jc w:val="left"/>
      </w:pPr>
      <w:r>
        <w:rPr/>
        <w:t>（二）关于公司与控股股东 </w:t>
      </w:r>
      <w:r>
        <w:rPr>
          <w:spacing w:val="-2"/>
        </w:rPr>
        <w:t>公司拥有独立的业务和经营自主能力，在业务、人员、资产、机构、财务上独立于控股股东，公司董事会、监事会和内部机</w:t>
      </w:r>
      <w:r>
        <w:rPr>
          <w:spacing w:val="-72"/>
        </w:rPr>
        <w:t> </w:t>
      </w:r>
      <w:r>
        <w:rPr>
          <w:spacing w:val="-72"/>
        </w:rPr>
      </w:r>
      <w:r>
        <w:rPr/>
        <w:t>构独立运作。公司控股股东能严格规范自己的行为，没有超越公司股东大会直接或间接干预公司决策和经营活动的行为。</w:t>
      </w:r>
    </w:p>
    <w:p>
      <w:pPr>
        <w:spacing w:line="240" w:lineRule="auto" w:before="4"/>
        <w:rPr>
          <w:rFonts w:ascii="宋体" w:hAnsi="宋体" w:cs="宋体" w:eastAsia="宋体" w:hint="default"/>
          <w:sz w:val="25"/>
          <w:szCs w:val="25"/>
        </w:rPr>
      </w:pPr>
    </w:p>
    <w:p>
      <w:pPr>
        <w:pStyle w:val="BodyText"/>
        <w:spacing w:line="314" w:lineRule="auto"/>
        <w:ind w:right="983"/>
        <w:jc w:val="left"/>
      </w:pPr>
      <w:r>
        <w:rPr/>
        <w:t>（三）关于董事和董事会 </w:t>
      </w:r>
      <w:r>
        <w:rPr>
          <w:spacing w:val="-2"/>
        </w:rPr>
        <w:t>截至报告期末，公司董事会由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名。董事会的人数及人员构成符合相关法律、法规的要求。董事</w:t>
      </w:r>
      <w:r>
        <w:rPr>
          <w:spacing w:val="-64"/>
        </w:rPr>
        <w:t> </w:t>
      </w:r>
      <w:r>
        <w:rPr>
          <w:spacing w:val="-64"/>
        </w:rPr>
      </w:r>
      <w:r>
        <w:rPr>
          <w:spacing w:val="-2"/>
        </w:rPr>
        <w:t>会按照《公司法》《董事会议事规则》及《深圳证券交易所中小企业板上市公司规范运作指引》的要求召集组织会议，全体</w:t>
      </w:r>
      <w:r>
        <w:rPr>
          <w:spacing w:val="-70"/>
        </w:rPr>
        <w:t> </w:t>
      </w:r>
      <w:r>
        <w:rPr>
          <w:spacing w:val="-70"/>
        </w:rPr>
      </w:r>
      <w:r>
        <w:rPr/>
        <w:t>董事能够依法行使职权，认真履行董事诚实守信、勤勉尽责的义务，认真出席董事会和股东大会。 </w:t>
      </w:r>
      <w:r>
        <w:rPr>
          <w:spacing w:val="-2"/>
        </w:rPr>
        <w:t>董事会下设的战略发展委员会、审计委员会、薪酬与考核委员会和提名委员会，能够严格按照有关议事规则的要求召集并组</w:t>
      </w:r>
      <w:r>
        <w:rPr>
          <w:spacing w:val="-66"/>
        </w:rPr>
        <w:t> </w:t>
      </w:r>
      <w:r>
        <w:rPr>
          <w:spacing w:val="-66"/>
        </w:rPr>
      </w:r>
      <w:r>
        <w:rPr>
          <w:spacing w:val="-2"/>
        </w:rPr>
        <w:t>织会议，在董事会授权范围内，积极发挥专门委员会的专业作用，协助董事会履行职责，有效提升了董事会的履职能力，进</w:t>
      </w:r>
      <w:r>
        <w:rPr>
          <w:spacing w:val="-66"/>
        </w:rPr>
        <w:t> </w:t>
      </w:r>
      <w:r>
        <w:rPr>
          <w:spacing w:val="-66"/>
        </w:rPr>
      </w:r>
      <w:r>
        <w:rPr/>
        <w:t>一步完善了公司治理结构。</w:t>
      </w:r>
    </w:p>
    <w:p>
      <w:pPr>
        <w:spacing w:line="240" w:lineRule="auto" w:before="6"/>
        <w:rPr>
          <w:rFonts w:ascii="宋体" w:hAnsi="宋体" w:cs="宋体" w:eastAsia="宋体" w:hint="default"/>
          <w:sz w:val="25"/>
          <w:szCs w:val="25"/>
        </w:rPr>
      </w:pPr>
    </w:p>
    <w:p>
      <w:pPr>
        <w:pStyle w:val="BodyText"/>
        <w:spacing w:line="312" w:lineRule="auto"/>
        <w:ind w:right="983"/>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名，监事会的人数和构成符合相关法律、法规的要求。监事会严格按照《公司章</w:t>
      </w:r>
      <w:r>
        <w:rPr>
          <w:spacing w:val="-65"/>
        </w:rPr>
        <w:t> </w:t>
      </w:r>
      <w:r>
        <w:rPr>
          <w:spacing w:val="-65"/>
        </w:rPr>
      </w:r>
      <w:r>
        <w:rPr>
          <w:spacing w:val="-2"/>
        </w:rPr>
        <w:t>程》和《监事会议事规则》要求，对公司财务状况、董事会专门委员会及董事、独立董事、高级管理人员履职的合法合规性</w:t>
      </w:r>
      <w:r>
        <w:rPr>
          <w:spacing w:val="-71"/>
        </w:rPr>
        <w:t> </w:t>
      </w:r>
      <w:r>
        <w:rPr>
          <w:spacing w:val="-71"/>
        </w:rPr>
      </w:r>
      <w:r>
        <w:rPr/>
        <w:t>进行了监督，切实履行了职责。</w:t>
      </w:r>
    </w:p>
    <w:p>
      <w:pPr>
        <w:spacing w:line="240" w:lineRule="auto" w:before="7"/>
        <w:rPr>
          <w:rFonts w:ascii="宋体" w:hAnsi="宋体" w:cs="宋体" w:eastAsia="宋体" w:hint="default"/>
          <w:sz w:val="25"/>
          <w:szCs w:val="25"/>
        </w:rPr>
      </w:pPr>
    </w:p>
    <w:p>
      <w:pPr>
        <w:pStyle w:val="BodyText"/>
        <w:spacing w:line="316" w:lineRule="auto"/>
        <w:ind w:right="1033"/>
        <w:jc w:val="left"/>
      </w:pPr>
      <w:r>
        <w:rPr/>
        <w:t>（五）关于内部审计工作 公司按照《公司法》《审计法》《审计署关于内部审计工作的规定》《深圳证券交易所中小企业板上市公司规范运作指引》 </w:t>
      </w:r>
      <w:r>
        <w:rPr>
          <w:spacing w:val="-2"/>
        </w:rPr>
        <w:t>的要求，制定了《内部审计制度》，设立了审计部，并配备了专职的内部审计人员，对公司日常运营进行有效监控，并对公</w:t>
      </w:r>
      <w:r>
        <w:rPr>
          <w:spacing w:val="-72"/>
        </w:rPr>
        <w:t> </w:t>
      </w:r>
      <w:r>
        <w:rPr>
          <w:spacing w:val="-72"/>
        </w:rPr>
      </w:r>
      <w:r>
        <w:rPr/>
        <w:t>司内控的完整性、合理性及其实施的有效性进行检查和评估。</w:t>
      </w:r>
    </w:p>
    <w:p>
      <w:pPr>
        <w:spacing w:line="240" w:lineRule="auto" w:before="4"/>
        <w:rPr>
          <w:rFonts w:ascii="宋体" w:hAnsi="宋体" w:cs="宋体" w:eastAsia="宋体" w:hint="default"/>
          <w:sz w:val="25"/>
          <w:szCs w:val="25"/>
        </w:rPr>
      </w:pPr>
    </w:p>
    <w:p>
      <w:pPr>
        <w:pStyle w:val="BodyText"/>
        <w:spacing w:line="316" w:lineRule="auto"/>
        <w:ind w:right="983"/>
        <w:jc w:val="left"/>
      </w:pPr>
      <w:r>
        <w:rPr/>
        <w:t>（六）关于相关利益者 </w:t>
      </w:r>
      <w:r>
        <w:rPr>
          <w:spacing w:val="-4"/>
        </w:rPr>
        <w:t>公司充分尊重和维护相关利益者的合法权益，实现社会、股东、公司、员工等各方利益的协调平衡，诚信对待供应商和客户，</w:t>
      </w:r>
      <w:r>
        <w:rPr>
          <w:spacing w:val="-43"/>
        </w:rPr>
        <w:t> </w:t>
      </w:r>
      <w:r>
        <w:rPr>
          <w:spacing w:val="-43"/>
        </w:rPr>
      </w:r>
      <w:r>
        <w:rPr/>
        <w:t>坚持与相关利益者互利共赢的原则，共同推动公司持续、稳健发展。</w:t>
      </w:r>
    </w:p>
    <w:p>
      <w:pPr>
        <w:spacing w:line="240" w:lineRule="auto" w:before="4"/>
        <w:rPr>
          <w:rFonts w:ascii="宋体" w:hAnsi="宋体" w:cs="宋体" w:eastAsia="宋体" w:hint="default"/>
          <w:sz w:val="25"/>
          <w:szCs w:val="25"/>
        </w:rPr>
      </w:pPr>
    </w:p>
    <w:p>
      <w:pPr>
        <w:pStyle w:val="BodyText"/>
        <w:spacing w:line="319" w:lineRule="auto"/>
        <w:ind w:right="983"/>
        <w:jc w:val="left"/>
      </w:pPr>
      <w:r>
        <w:rPr/>
        <w:t>（七）关于信息披露与投资者关系管理 </w:t>
      </w:r>
      <w:r>
        <w:rPr>
          <w:spacing w:val="-2"/>
        </w:rPr>
        <w:t>公司严格按照中国证监会《上市公司信息披露管理办法》《深圳证券交易所中小企业板上市公司规范运作指引》的规定，以</w:t>
      </w:r>
      <w:r>
        <w:rPr>
          <w:spacing w:val="-66"/>
        </w:rPr>
        <w:t> </w:t>
      </w:r>
      <w:r>
        <w:rPr>
          <w:spacing w:val="-66"/>
        </w:rPr>
      </w:r>
      <w:r>
        <w:rPr>
          <w:spacing w:val="-2"/>
        </w:rPr>
        <w:t>及公司《信息披露制度》《投资者关系管理制度》的要求，履行信息披露义务。公司董事会秘书为信息披露及投资者关系管</w:t>
      </w:r>
      <w:r>
        <w:rPr>
          <w:spacing w:val="-67"/>
        </w:rPr>
        <w:t> </w:t>
      </w:r>
      <w:r>
        <w:rPr>
          <w:spacing w:val="-67"/>
        </w:rPr>
      </w:r>
      <w:r>
        <w:rPr>
          <w:spacing w:val="-2"/>
        </w:rPr>
        <w:t>理的负责人，通过采用投资者专线电话、电子邮箱、现场接待及深圳证券交易所互动易平台等多种方式，实现与广大投资者</w:t>
      </w:r>
      <w:r>
        <w:rPr>
          <w:spacing w:val="-66"/>
        </w:rPr>
        <w:t> </w:t>
      </w:r>
      <w:r>
        <w:rPr>
          <w:spacing w:val="-66"/>
        </w:rPr>
      </w:r>
      <w:r>
        <w:rPr>
          <w:spacing w:val="-2"/>
        </w:rPr>
        <w:t>及时、高效的沟通；并及时通过互动易平台向广大股东展示投资者关系活动记录表，着力于提高公司信息披露的透明度及公</w:t>
      </w:r>
    </w:p>
    <w:p>
      <w:pPr>
        <w:spacing w:after="0" w:line="319"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88"/>
        <w:jc w:val="left"/>
      </w:pPr>
      <w:r>
        <w:rPr/>
        <w:t>平性。《中国证券报》《证券时报》为公司信息披露的指定报纸，巨潮资讯网（</w:t>
      </w:r>
      <w:hyperlink r:id="rId13">
        <w:r>
          <w:rPr>
            <w:rFonts w:ascii="Times New Roman" w:hAnsi="Times New Roman" w:cs="Times New Roman" w:eastAsia="Times New Roman" w:hint="default"/>
          </w:rPr>
          <w:t>www.cninfo.com.cn</w:t>
        </w:r>
      </w:hyperlink>
      <w:r>
        <w:rPr/>
        <w:t>）为公司信息披露的指 定网站，严格按照有关规定真实、准确、完整、及时地披露有关信息，确保公司所有股东能够平等地获得信息。</w:t>
      </w:r>
    </w:p>
    <w:p>
      <w:pPr>
        <w:pStyle w:val="BodyText"/>
        <w:spacing w:line="240" w:lineRule="auto" w:before="72"/>
        <w:ind w:right="983"/>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983"/>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公司的控股股东是北京久其科技投资有限公司。该控股股东行为规范，没有超越股东大会直接或通过其他途径间接干预公司</w:t>
      </w:r>
      <w:r>
        <w:rPr>
          <w:spacing w:val="-64"/>
        </w:rPr>
        <w:t> </w:t>
      </w:r>
      <w:r>
        <w:rPr>
          <w:spacing w:val="-64"/>
        </w:rPr>
      </w:r>
      <w:r>
        <w:rPr>
          <w:spacing w:val="-2"/>
        </w:rPr>
        <w:t>的决策和经营活动。公司董事会、监事会、经理会能够独立运作，公司与控股股东在业务、人员、资产、机构、财务等方面</w:t>
      </w:r>
      <w:r>
        <w:rPr>
          <w:spacing w:val="-67"/>
        </w:rPr>
        <w:t> </w:t>
      </w:r>
      <w:r>
        <w:rPr>
          <w:spacing w:val="-67"/>
        </w:rPr>
      </w:r>
      <w:r>
        <w:rPr/>
        <w:t>完全分开，具有独立完整的业务及自主经营能力。</w:t>
      </w:r>
    </w:p>
    <w:p>
      <w:pPr>
        <w:spacing w:line="240" w:lineRule="auto" w:before="4"/>
        <w:rPr>
          <w:rFonts w:ascii="宋体" w:hAnsi="宋体" w:cs="宋体" w:eastAsia="宋体" w:hint="default"/>
          <w:sz w:val="25"/>
          <w:szCs w:val="25"/>
        </w:rPr>
      </w:pPr>
    </w:p>
    <w:p>
      <w:pPr>
        <w:pStyle w:val="BodyText"/>
        <w:spacing w:line="316" w:lineRule="auto"/>
        <w:ind w:right="983"/>
        <w:jc w:val="left"/>
      </w:pPr>
      <w:r>
        <w:rPr>
          <w:spacing w:val="-2"/>
        </w:rPr>
        <w:t>业务独立情况：公司独立从事业务经营，拥有独立产品研发、销售采购和技术服务运作体系和独立的商标权、著作权等知识</w:t>
      </w:r>
      <w:r>
        <w:rPr>
          <w:spacing w:val="-66"/>
        </w:rPr>
        <w:t> </w:t>
      </w:r>
      <w:r>
        <w:rPr>
          <w:spacing w:val="-66"/>
        </w:rPr>
      </w:r>
      <w:r>
        <w:rPr/>
        <w:t>产权，与控股股东及其关联企业不存在依赖关系。 人员独立情况：公司的人事管理和绩效管理完全独立，与控股股东及其关联企业不存在依赖关系。 </w:t>
      </w:r>
      <w:r>
        <w:rPr>
          <w:spacing w:val="-2"/>
        </w:rPr>
        <w:t>资产独立情况：公司所拥有的生产经营场所房屋所有权、土地使用权、相关配套设施、工业产权和非专利技术等有形和无形</w:t>
      </w:r>
      <w:r>
        <w:rPr>
          <w:spacing w:val="-66"/>
        </w:rPr>
        <w:t> </w:t>
      </w:r>
      <w:r>
        <w:rPr>
          <w:spacing w:val="-66"/>
        </w:rPr>
      </w:r>
      <w:r>
        <w:rPr/>
        <w:t>资产完全独立于控股股东及其关联企业。 机构独立情况：公司与控股股东及其关联企业在机构设置方面不存在交叉关联及上下级关系情况。 </w:t>
      </w:r>
      <w:r>
        <w:rPr>
          <w:spacing w:val="-2"/>
        </w:rPr>
        <w:t>财务独立情况：公司拥有独立的财务会计部门，独立的会计核算体系和财务管理制度。公司独立做出财务决策，并拥有独立</w:t>
      </w:r>
      <w:r>
        <w:rPr>
          <w:spacing w:val="-66"/>
        </w:rPr>
        <w:t> </w:t>
      </w:r>
      <w:r>
        <w:rPr>
          <w:spacing w:val="-66"/>
        </w:rPr>
      </w:r>
      <w:r>
        <w:rPr/>
        <w:t>银行账户，依法独立纳税。</w:t>
      </w:r>
    </w:p>
    <w:p>
      <w:pPr>
        <w:spacing w:line="240" w:lineRule="auto" w:before="10"/>
        <w:rPr>
          <w:rFonts w:ascii="宋体" w:hAnsi="宋体" w:cs="宋体" w:eastAsia="宋体" w:hint="default"/>
          <w:sz w:val="20"/>
          <w:szCs w:val="20"/>
        </w:rPr>
      </w:pPr>
    </w:p>
    <w:p>
      <w:pPr>
        <w:pStyle w:val="Heading2"/>
        <w:spacing w:line="240" w:lineRule="auto"/>
        <w:ind w:right="983"/>
        <w:jc w:val="left"/>
        <w:rPr>
          <w:b w:val="0"/>
          <w:bCs w:val="0"/>
        </w:rPr>
      </w:pPr>
      <w:bookmarkStart w:name="三、同业竞争情况" w:id="137"/>
      <w:bookmarkEnd w:id="137"/>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83"/>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3"/>
                <w:sz w:val="18"/>
                <w:szCs w:val="18"/>
              </w:rPr>
              <w:t>告》（公告编号</w:t>
            </w:r>
          </w:p>
          <w:p>
            <w:pPr>
              <w:pStyle w:val="TableParagraph"/>
              <w:spacing w:line="300" w:lineRule="auto" w:before="24"/>
              <w:ind w:left="23"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2017-009</w:t>
            </w:r>
            <w:r>
              <w:rPr>
                <w:rFonts w:ascii="宋体" w:hAnsi="宋体" w:cs="宋体" w:eastAsia="宋体" w:hint="default"/>
                <w:spacing w:val="-4"/>
                <w:sz w:val="18"/>
                <w:szCs w:val="18"/>
              </w:rPr>
              <w:t>）已披露于</w:t>
            </w:r>
            <w:r>
              <w:rPr>
                <w:rFonts w:ascii="宋体" w:hAnsi="宋体" w:cs="宋体" w:eastAsia="宋体" w:hint="default"/>
                <w:sz w:val="18"/>
                <w:szCs w:val="18"/>
              </w:rPr>
              <w:t> 巨潮资讯网</w:t>
            </w:r>
          </w:p>
          <w:p>
            <w:pPr>
              <w:pStyle w:val="TableParagraph"/>
              <w:spacing w:line="240" w:lineRule="auto" w:before="72"/>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2017-033</w:t>
            </w:r>
            <w:r>
              <w:rPr>
                <w:rFonts w:ascii="宋体" w:hAnsi="宋体" w:cs="宋体" w:eastAsia="宋体" w:hint="default"/>
                <w:sz w:val="18"/>
                <w:szCs w:val="18"/>
              </w:rPr>
              <w:t>）已 披露于巨潮资讯网</w:t>
            </w:r>
          </w:p>
          <w:p>
            <w:pPr>
              <w:pStyle w:val="TableParagraph"/>
              <w:spacing w:line="240" w:lineRule="auto" w:before="67"/>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w:t>
            </w:r>
          </w:p>
        </w:tc>
      </w:tr>
    </w:tbl>
    <w:p>
      <w:pPr>
        <w:spacing w:after="0" w:line="30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300" w:lineRule="auto" w:before="76"/>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2017-061</w:t>
            </w:r>
            <w:r>
              <w:rPr>
                <w:rFonts w:ascii="宋体" w:hAnsi="宋体" w:cs="宋体" w:eastAsia="宋体" w:hint="default"/>
                <w:spacing w:val="-4"/>
                <w:sz w:val="18"/>
                <w:szCs w:val="18"/>
              </w:rPr>
              <w:t>）已披露于</w:t>
            </w:r>
            <w:r>
              <w:rPr>
                <w:rFonts w:ascii="宋体" w:hAnsi="宋体" w:cs="宋体" w:eastAsia="宋体" w:hint="default"/>
                <w:sz w:val="18"/>
                <w:szCs w:val="18"/>
              </w:rPr>
              <w:t> 巨潮资讯网</w:t>
            </w:r>
          </w:p>
          <w:p>
            <w:pPr>
              <w:pStyle w:val="TableParagraph"/>
              <w:spacing w:line="240" w:lineRule="auto" w:before="73"/>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3"/>
                <w:sz w:val="18"/>
                <w:szCs w:val="18"/>
              </w:rPr>
              <w:t>告》（公告编号</w:t>
            </w:r>
          </w:p>
          <w:p>
            <w:pPr>
              <w:pStyle w:val="TableParagraph"/>
              <w:spacing w:line="300" w:lineRule="auto" w:before="24"/>
              <w:ind w:left="23"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2017-085</w:t>
            </w:r>
            <w:r>
              <w:rPr>
                <w:rFonts w:ascii="宋体" w:hAnsi="宋体" w:cs="宋体" w:eastAsia="宋体" w:hint="default"/>
                <w:spacing w:val="-4"/>
                <w:sz w:val="18"/>
                <w:szCs w:val="18"/>
              </w:rPr>
              <w:t>）已披露于</w:t>
            </w:r>
            <w:r>
              <w:rPr>
                <w:rFonts w:ascii="宋体" w:hAnsi="宋体" w:cs="宋体" w:eastAsia="宋体" w:hint="default"/>
                <w:sz w:val="18"/>
                <w:szCs w:val="18"/>
              </w:rPr>
              <w:t> 巨潮资讯网</w:t>
            </w:r>
          </w:p>
          <w:p>
            <w:pPr>
              <w:pStyle w:val="TableParagraph"/>
              <w:spacing w:line="240" w:lineRule="auto" w:before="72"/>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时股东大会决议公 </w:t>
            </w:r>
            <w:r>
              <w:rPr>
                <w:rFonts w:ascii="宋体" w:hAnsi="宋体" w:cs="宋体" w:eastAsia="宋体" w:hint="default"/>
                <w:spacing w:val="-13"/>
                <w:sz w:val="18"/>
                <w:szCs w:val="18"/>
              </w:rPr>
              <w:t>告》（公告编号</w:t>
            </w:r>
          </w:p>
          <w:p>
            <w:pPr>
              <w:pStyle w:val="TableParagraph"/>
              <w:spacing w:line="300" w:lineRule="auto" w:before="24"/>
              <w:ind w:left="23"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2017-110</w:t>
            </w:r>
            <w:r>
              <w:rPr>
                <w:rFonts w:ascii="宋体" w:hAnsi="宋体" w:cs="宋体" w:eastAsia="宋体" w:hint="default"/>
                <w:spacing w:val="-5"/>
                <w:sz w:val="18"/>
                <w:szCs w:val="18"/>
              </w:rPr>
              <w:t>）已披露于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巨潮资讯网</w:t>
            </w:r>
          </w:p>
          <w:p>
            <w:pPr>
              <w:pStyle w:val="TableParagraph"/>
              <w:spacing w:line="240" w:lineRule="auto" w:before="72"/>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983"/>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983"/>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983"/>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83"/>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983"/>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033"/>
        <w:jc w:val="left"/>
      </w:pPr>
      <w:r>
        <w:rPr/>
        <w:t>报告期内，公司独立董事严格按照《公司法》《上市公司治理准则》《深圳证券交易所中小企业板上市公司规范运作指引》 </w:t>
      </w:r>
      <w:r>
        <w:rPr>
          <w:spacing w:val="-2"/>
        </w:rPr>
        <w:t>等法律法规及《公司章程》《独立董事工作制度》的要求，忠实履行职责，充分发挥独立董事作用，维护公司股东尤其是中</w:t>
      </w:r>
      <w:r>
        <w:rPr>
          <w:spacing w:val="-70"/>
        </w:rPr>
        <w:t> </w:t>
      </w:r>
      <w:r>
        <w:rPr>
          <w:spacing w:val="-70"/>
        </w:rPr>
      </w:r>
      <w:r>
        <w:rPr>
          <w:spacing w:val="-2"/>
        </w:rPr>
        <w:t>小股东的利益。公司独立董事在报告期内通过参与公司董事会及其专门委员会、现场会谈考察等方式，及时了解公司经营状</w:t>
      </w:r>
      <w:r>
        <w:rPr>
          <w:spacing w:val="-66"/>
        </w:rPr>
        <w:t> </w:t>
      </w:r>
      <w:r>
        <w:rPr>
          <w:spacing w:val="-66"/>
        </w:rPr>
      </w:r>
      <w:r>
        <w:rPr>
          <w:spacing w:val="-2"/>
        </w:rPr>
        <w:t>况、财务状况、内部控制建设以及重大事项进展等情况，并提出建议。公司采纳了独立董事相关建议，并委托经营管理层组</w:t>
      </w:r>
      <w:r>
        <w:rPr>
          <w:spacing w:val="-66"/>
        </w:rPr>
        <w:t> </w:t>
      </w:r>
      <w:r>
        <w:rPr>
          <w:spacing w:val="-66"/>
        </w:rPr>
      </w:r>
      <w:r>
        <w:rPr/>
        <w:t>织相关工作的开展。</w:t>
      </w:r>
    </w:p>
    <w:p>
      <w:pPr>
        <w:spacing w:line="240" w:lineRule="auto" w:before="10"/>
        <w:rPr>
          <w:rFonts w:ascii="宋体" w:hAnsi="宋体" w:cs="宋体" w:eastAsia="宋体" w:hint="default"/>
          <w:sz w:val="20"/>
          <w:szCs w:val="20"/>
        </w:rPr>
      </w:pPr>
    </w:p>
    <w:p>
      <w:pPr>
        <w:pStyle w:val="Heading2"/>
        <w:spacing w:line="240" w:lineRule="auto"/>
        <w:ind w:right="983"/>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3"/>
        <w:jc w:val="left"/>
      </w:pPr>
      <w:r>
        <w:rPr>
          <w:spacing w:val="-2"/>
        </w:rPr>
        <w:t>报告期内，董事会审计委员会、薪酬与考核委员会、战略发展委员会按照其议事规则、《深圳证券交易所中小企业板上市公</w:t>
      </w:r>
      <w:r>
        <w:rPr>
          <w:spacing w:val="-66"/>
        </w:rPr>
        <w:t> </w:t>
      </w:r>
      <w:r>
        <w:rPr>
          <w:spacing w:val="-66"/>
        </w:rPr>
      </w:r>
      <w:r>
        <w:rPr/>
        <w:t>司规范运作指引》等规范的要求，组织召开专门委员会会议，认真履行有关职责。</w:t>
      </w:r>
    </w:p>
    <w:p>
      <w:pPr>
        <w:spacing w:line="240" w:lineRule="auto" w:before="4"/>
        <w:rPr>
          <w:rFonts w:ascii="宋体" w:hAnsi="宋体" w:cs="宋体" w:eastAsia="宋体" w:hint="default"/>
          <w:sz w:val="25"/>
          <w:szCs w:val="25"/>
        </w:rPr>
      </w:pPr>
    </w:p>
    <w:p>
      <w:pPr>
        <w:pStyle w:val="BodyText"/>
        <w:spacing w:line="300" w:lineRule="auto"/>
        <w:ind w:right="1123"/>
        <w:jc w:val="left"/>
      </w:pPr>
      <w:r>
        <w:rPr>
          <w:rFonts w:ascii="Times New Roman" w:hAnsi="Times New Roman" w:cs="Times New Roman" w:eastAsia="Times New Roman" w:hint="default"/>
        </w:rPr>
        <w:t>1</w:t>
      </w:r>
      <w:r>
        <w:rPr/>
        <w:t>、董事会审计委员会 报告期内，公司董事会审计委员会召开会议</w:t>
      </w:r>
      <w:r>
        <w:rPr>
          <w:rFonts w:ascii="Times New Roman" w:hAnsi="Times New Roman" w:cs="Times New Roman" w:eastAsia="Times New Roman" w:hint="default"/>
        </w:rPr>
        <w:t>6</w:t>
      </w:r>
      <w:r>
        <w:rPr/>
        <w:t>次。在</w:t>
      </w:r>
      <w:r>
        <w:rPr>
          <w:rFonts w:ascii="Times New Roman" w:hAnsi="Times New Roman" w:cs="Times New Roman" w:eastAsia="Times New Roman" w:hint="default"/>
        </w:rPr>
        <w:t>2016</w:t>
      </w:r>
      <w:r>
        <w:rPr/>
        <w:t>年度报告编制期间，公司董事会审计委员会委员通过审议审计工作 </w:t>
      </w:r>
      <w:r>
        <w:rPr>
          <w:spacing w:val="-2"/>
        </w:rPr>
        <w:t>计划、财务报表、审计报告以及内部控制报告等文件，并与经营管理层和年审会计师现场沟通的方式，有效指导了公司</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7"/>
        </w:rPr>
        <w:t> </w:t>
      </w:r>
      <w:r>
        <w:rPr>
          <w:spacing w:val="-2"/>
        </w:rPr>
        <w:t>年度审计工作的开展，同时建议公司继续聘任立信会计师事务所（特殊普通合伙）提供</w:t>
      </w:r>
      <w:r>
        <w:rPr>
          <w:rFonts w:ascii="Times New Roman" w:hAnsi="Times New Roman" w:cs="Times New Roman" w:eastAsia="Times New Roman" w:hint="default"/>
          <w:spacing w:val="-2"/>
        </w:rPr>
        <w:t>2017</w:t>
      </w:r>
      <w:r>
        <w:rPr>
          <w:spacing w:val="-2"/>
        </w:rPr>
        <w:t>年年报及其他审计服务。通过审</w:t>
      </w:r>
      <w:r>
        <w:rPr>
          <w:spacing w:val="-62"/>
        </w:rPr>
        <w:t> </w:t>
      </w:r>
      <w:r>
        <w:rPr>
          <w:spacing w:val="-62"/>
        </w:rPr>
      </w:r>
      <w:r>
        <w:rPr>
          <w:spacing w:val="-2"/>
        </w:rPr>
        <w:t>议公司</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年第一季度、半年度、第三季度的财务报表和内部审计工作报告与计划，加强对公司财务和内部审计</w:t>
      </w:r>
      <w:r>
        <w:rPr>
          <w:spacing w:val="-58"/>
        </w:rPr>
        <w:t> </w:t>
      </w:r>
      <w:r>
        <w:rPr>
          <w:spacing w:val="-58"/>
        </w:rPr>
      </w:r>
      <w:r>
        <w:rPr/>
        <w:t>的监督和核查。</w:t>
      </w:r>
    </w:p>
    <w:p>
      <w:pPr>
        <w:spacing w:line="240" w:lineRule="auto" w:before="4"/>
        <w:rPr>
          <w:rFonts w:ascii="宋体" w:hAnsi="宋体" w:cs="宋体" w:eastAsia="宋体" w:hint="default"/>
          <w:sz w:val="26"/>
          <w:szCs w:val="26"/>
        </w:rPr>
      </w:pPr>
    </w:p>
    <w:p>
      <w:pPr>
        <w:pStyle w:val="BodyText"/>
        <w:spacing w:line="300" w:lineRule="auto"/>
        <w:ind w:right="1123"/>
        <w:jc w:val="left"/>
      </w:pPr>
      <w:r>
        <w:rPr>
          <w:rFonts w:ascii="Times New Roman" w:hAnsi="Times New Roman" w:cs="Times New Roman" w:eastAsia="Times New Roman" w:hint="default"/>
        </w:rPr>
        <w:t>2</w:t>
      </w:r>
      <w:r>
        <w:rPr/>
        <w:t>、董事会薪酬与考核委员会 报告期内，公司董事会薪酬与考核委员会召开会议</w:t>
      </w:r>
      <w:r>
        <w:rPr>
          <w:rFonts w:ascii="Times New Roman" w:hAnsi="Times New Roman" w:cs="Times New Roman" w:eastAsia="Times New Roman" w:hint="default"/>
        </w:rPr>
        <w:t>2</w:t>
      </w:r>
      <w:r>
        <w:rPr/>
        <w:t>次。根据公司</w:t>
      </w:r>
      <w:r>
        <w:rPr>
          <w:rFonts w:ascii="Times New Roman" w:hAnsi="Times New Roman" w:cs="Times New Roman" w:eastAsia="Times New Roman" w:hint="default"/>
        </w:rPr>
        <w:t>2016</w:t>
      </w:r>
      <w:r>
        <w:rPr/>
        <w:t>年度业绩情况，对公司董事、高级管理人员的</w:t>
      </w:r>
      <w:r>
        <w:rPr>
          <w:rFonts w:ascii="Times New Roman" w:hAnsi="Times New Roman" w:cs="Times New Roman" w:eastAsia="Times New Roman" w:hint="default"/>
        </w:rPr>
        <w:t>2016</w:t>
      </w:r>
      <w:r>
        <w:rPr/>
        <w:t>年 </w:t>
      </w:r>
      <w:r>
        <w:rPr>
          <w:spacing w:val="-2"/>
        </w:rPr>
        <w:t>度绩效考核情况进行审查，并确定公司董事和高级管理人员</w:t>
      </w:r>
      <w:r>
        <w:rPr>
          <w:rFonts w:ascii="Times New Roman" w:hAnsi="Times New Roman" w:cs="Times New Roman" w:eastAsia="Times New Roman" w:hint="default"/>
          <w:spacing w:val="-2"/>
        </w:rPr>
        <w:t>2017</w:t>
      </w:r>
      <w:r>
        <w:rPr>
          <w:spacing w:val="-2"/>
        </w:rPr>
        <w:t>年度基本年薪。审议与探讨了公司推出的</w:t>
      </w:r>
      <w:r>
        <w:rPr>
          <w:rFonts w:ascii="Times New Roman" w:hAnsi="Times New Roman" w:cs="Times New Roman" w:eastAsia="Times New Roman" w:hint="default"/>
          <w:spacing w:val="-2"/>
        </w:rPr>
        <w:t>2017</w:t>
      </w:r>
      <w:r>
        <w:rPr>
          <w:spacing w:val="-2"/>
        </w:rPr>
        <w:t>年度限制性股</w:t>
      </w:r>
      <w:r>
        <w:rPr>
          <w:spacing w:val="-56"/>
        </w:rPr>
        <w:t> </w:t>
      </w:r>
      <w:r>
        <w:rPr/>
        <w:t>票激励计划，对公司人才战略及长远发展具有积极意义。</w:t>
      </w:r>
    </w:p>
    <w:p>
      <w:pPr>
        <w:spacing w:line="240" w:lineRule="auto" w:before="0"/>
        <w:rPr>
          <w:rFonts w:ascii="宋体" w:hAnsi="宋体" w:cs="宋体" w:eastAsia="宋体" w:hint="default"/>
          <w:sz w:val="18"/>
          <w:szCs w:val="18"/>
        </w:rPr>
      </w:pPr>
    </w:p>
    <w:p>
      <w:pPr>
        <w:pStyle w:val="BodyText"/>
        <w:spacing w:line="319" w:lineRule="auto" w:before="148"/>
        <w:ind w:right="983"/>
        <w:jc w:val="left"/>
      </w:pPr>
      <w:r>
        <w:rPr>
          <w:rFonts w:ascii="Times New Roman" w:hAnsi="Times New Roman" w:cs="Times New Roman" w:eastAsia="Times New Roman" w:hint="default"/>
        </w:rPr>
        <w:t>3</w:t>
      </w:r>
      <w:r>
        <w:rPr/>
        <w:t>、董事会战略发展委员会 报告期内，公司董事会战略发展委员会召开会议</w:t>
      </w:r>
      <w:r>
        <w:rPr>
          <w:rFonts w:ascii="Times New Roman" w:hAnsi="Times New Roman" w:cs="Times New Roman" w:eastAsia="Times New Roman" w:hint="default"/>
        </w:rPr>
        <w:t>3</w:t>
      </w:r>
      <w:r>
        <w:rPr/>
        <w:t>次。对公司收购上海移通</w:t>
      </w:r>
      <w:r>
        <w:rPr>
          <w:rFonts w:ascii="Times New Roman" w:hAnsi="Times New Roman" w:cs="Times New Roman" w:eastAsia="Times New Roman" w:hint="default"/>
        </w:rPr>
        <w:t>51%</w:t>
      </w:r>
      <w:r>
        <w:rPr/>
        <w:t>股权、设立控股子公司久其金建和全资子公</w:t>
      </w:r>
      <w:r>
        <w:rPr>
          <w:spacing w:val="-55"/>
        </w:rPr>
        <w:t> </w:t>
      </w:r>
      <w:r>
        <w:rPr>
          <w:spacing w:val="-55"/>
        </w:rPr>
      </w:r>
      <w:r>
        <w:rPr/>
        <w:t>司久其数字传播等重大对外投资决策，以及对公司计划设立集团架构进行研究并提出意见和建议。</w:t>
      </w:r>
    </w:p>
    <w:p>
      <w:pPr>
        <w:spacing w:line="240" w:lineRule="auto" w:before="6"/>
        <w:rPr>
          <w:rFonts w:ascii="宋体" w:hAnsi="宋体" w:cs="宋体" w:eastAsia="宋体" w:hint="default"/>
          <w:sz w:val="20"/>
          <w:szCs w:val="20"/>
        </w:rPr>
      </w:pPr>
    </w:p>
    <w:p>
      <w:pPr>
        <w:pStyle w:val="Heading2"/>
        <w:spacing w:line="240" w:lineRule="auto"/>
        <w:ind w:right="983"/>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83"/>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83"/>
        <w:jc w:val="left"/>
      </w:pPr>
      <w:r>
        <w:rPr>
          <w:spacing w:val="-2"/>
        </w:rPr>
        <w:t>根据公司《董事、监事和高级管理人员薪酬管理制度》等相关制度的规定，公司高级管理人员薪酬由基本年薪和浮动奖金两</w:t>
      </w:r>
      <w:r>
        <w:rPr>
          <w:spacing w:val="-66"/>
        </w:rPr>
        <w:t> </w:t>
      </w:r>
      <w:r>
        <w:rPr>
          <w:spacing w:val="-66"/>
        </w:rPr>
      </w:r>
      <w:r>
        <w:rPr>
          <w:spacing w:val="-4"/>
        </w:rPr>
        <w:t>部分构成，其中基本年薪根据个人工作职务、岗位级别标准按月发放；浮动奖金根据公司经营业绩和个人绩效考核情况确定。</w:t>
      </w:r>
      <w:r>
        <w:rPr>
          <w:spacing w:val="-44"/>
        </w:rPr>
        <w:t> </w:t>
      </w:r>
      <w:r>
        <w:rPr>
          <w:spacing w:val="-44"/>
        </w:rPr>
      </w:r>
      <w:r>
        <w:rPr>
          <w:spacing w:val="-2"/>
        </w:rPr>
        <w:t>每个会计年度结束之后，公司董事会薪酬与考核委员会负责对高级管理人员的绩效考核成绩与薪酬进行审查，确定其上一年</w:t>
      </w:r>
      <w:r>
        <w:rPr>
          <w:spacing w:val="-64"/>
        </w:rPr>
        <w:t> </w:t>
      </w:r>
      <w:r>
        <w:rPr>
          <w:spacing w:val="-64"/>
        </w:rPr>
      </w:r>
      <w:r>
        <w:rPr/>
        <w:t>度年终奖金及当年度基本年薪。</w:t>
      </w:r>
    </w:p>
    <w:p>
      <w:pPr>
        <w:spacing w:after="0" w:line="316"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983"/>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7.029999pt;margin-top:-215.068268pt;width:478.6pt;height:571.450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2"/>
                    <w:gridCol w:w="980"/>
                    <w:gridCol w:w="142"/>
                    <w:gridCol w:w="3273"/>
                    <w:gridCol w:w="3330"/>
                  </w:tblGrid>
                  <w:tr>
                    <w:trPr>
                      <w:trHeight w:val="402" w:hRule="exact"/>
                    </w:trPr>
                    <w:tc>
                      <w:tcPr>
                        <w:tcW w:w="29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6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6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年度内部控制评价报告》披露于巨潮资讯网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714" w:hRule="exact"/>
                    </w:trPr>
                    <w:tc>
                      <w:tcPr>
                        <w:tcW w:w="29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6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9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6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43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8"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5" w:type="dxa"/>
                        <w:gridSpan w:val="3"/>
                        <w:vMerge w:val="restart"/>
                        <w:tcBorders>
                          <w:top w:val="single" w:sz="4" w:space="0" w:color="000000"/>
                          <w:left w:val="single" w:sz="10" w:space="0" w:color="D2D2D2"/>
                          <w:right w:val="single" w:sz="9" w:space="0" w:color="FFFFFF"/>
                        </w:tcBorders>
                      </w:tcPr>
                      <w:p>
                        <w:pPr>
                          <w:pStyle w:val="TableParagraph"/>
                          <w:spacing w:line="307" w:lineRule="auto" w:before="52"/>
                          <w:ind w:left="15"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、财务报告相关的内部控制重大缺陷的迹象包括：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3"/>
                            <w:sz w:val="18"/>
                            <w:szCs w:val="18"/>
                          </w:rPr>
                          <w:t>公司董事、监事和高级管理人员的舞弊行为；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正已公布的财务报告；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）注册会计师发现的却未被公司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内部控制识别的当期财务报告中的重大错报；</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）审计委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员会和审计部门对公司的对外财务报告和财务报告内部 </w:t>
                        </w:r>
                        <w:r>
                          <w:rPr>
                            <w:rFonts w:ascii="宋体" w:hAnsi="宋体" w:cs="宋体" w:eastAsia="宋体" w:hint="default"/>
                            <w:spacing w:val="-3"/>
                            <w:sz w:val="18"/>
                            <w:szCs w:val="18"/>
                          </w:rPr>
                          <w:t>控制监督无效。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、财务报告相关的内部控制重要缺陷的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迹象包括：</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）未依照公认会计准则选择和应用会计政策；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 殊交易的账务处理没有建立相应的控制机制或没有实施 </w:t>
                        </w:r>
                        <w:r>
                          <w:rPr>
                            <w:rFonts w:ascii="宋体" w:hAnsi="宋体" w:cs="宋体" w:eastAsia="宋体" w:hint="default"/>
                            <w:spacing w:val="-3"/>
                            <w:sz w:val="18"/>
                            <w:szCs w:val="18"/>
                          </w:rPr>
                          <w:t>且没有相应的补偿性控制；</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）对于期末财务报告过程的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控制存在一项或多项缺陷且不能合理保证编制的财务报 表达到真实、完整的目标。一般缺陷是指除上述重大缺 陷、重要缺陷之外的其他控制缺陷。</w:t>
                        </w:r>
                      </w:p>
                    </w:tc>
                    <w:tc>
                      <w:tcPr>
                        <w:tcW w:w="3330" w:type="dxa"/>
                        <w:vMerge w:val="restart"/>
                        <w:tcBorders>
                          <w:top w:val="single" w:sz="4" w:space="0" w:color="000000"/>
                          <w:left w:val="single" w:sz="9" w:space="0" w:color="FFFFF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60"/>
                          <w:jc w:val="both"/>
                          <w:rPr>
                            <w:rFonts w:ascii="宋体" w:hAnsi="宋体" w:cs="宋体" w:eastAsia="宋体" w:hint="default"/>
                            <w:sz w:val="18"/>
                            <w:szCs w:val="18"/>
                          </w:rPr>
                        </w:pPr>
                        <w:r>
                          <w:rPr>
                            <w:rFonts w:ascii="宋体" w:hAnsi="宋体" w:cs="宋体" w:eastAsia="宋体" w:hint="default"/>
                            <w:sz w:val="18"/>
                            <w:szCs w:val="18"/>
                          </w:rPr>
                          <w:t>非财务报告缺陷认定主要以缺陷对业务流 程有效性的影响程度、发生的可能性作判 </w:t>
                        </w:r>
                        <w:r>
                          <w:rPr>
                            <w:rFonts w:ascii="宋体" w:hAnsi="宋体" w:cs="宋体" w:eastAsia="宋体" w:hint="default"/>
                            <w:spacing w:val="-4"/>
                            <w:sz w:val="18"/>
                            <w:szCs w:val="18"/>
                          </w:rPr>
                          <w:t>定。非财务报告重大缺陷存在的迹象包括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违犯国家法律法规或规范性文件、重大决 策程序不科学、制度缺失可能导致系统性 失效、重大或重要缺陷不能得到整改、其 </w:t>
                        </w:r>
                        <w:r>
                          <w:rPr>
                            <w:rFonts w:ascii="宋体" w:hAnsi="宋体" w:cs="宋体" w:eastAsia="宋体" w:hint="default"/>
                            <w:spacing w:val="-4"/>
                            <w:sz w:val="18"/>
                            <w:szCs w:val="18"/>
                          </w:rPr>
                          <w:t>他对公司负面影响重大的情形。除此以外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其他情形按影响程度分别确定为重要缺陷 或一般缺陷。</w:t>
                        </w:r>
                      </w:p>
                    </w:tc>
                  </w:tr>
                  <w:tr>
                    <w:trPr>
                      <w:trHeight w:val="391"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395" w:type="dxa"/>
                        <w:gridSpan w:val="3"/>
                        <w:vMerge/>
                        <w:tcBorders>
                          <w:left w:val="single" w:sz="10" w:space="0" w:color="D2D2D2"/>
                          <w:right w:val="single" w:sz="9" w:space="0" w:color="FFFFFF"/>
                        </w:tcBorders>
                      </w:tcPr>
                      <w:p>
                        <w:pPr/>
                      </w:p>
                    </w:tc>
                    <w:tc>
                      <w:tcPr>
                        <w:tcW w:w="3330" w:type="dxa"/>
                        <w:vMerge/>
                        <w:tcBorders>
                          <w:left w:val="single" w:sz="9" w:space="0" w:color="FFFFFF"/>
                          <w:right w:val="nil" w:sz="6" w:space="0" w:color="auto"/>
                        </w:tcBorders>
                      </w:tcPr>
                      <w:p>
                        <w:pPr/>
                      </w:p>
                    </w:tc>
                  </w:tr>
                  <w:tr>
                    <w:trPr>
                      <w:trHeight w:val="1877"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5" w:type="dxa"/>
                        <w:gridSpan w:val="3"/>
                        <w:vMerge/>
                        <w:tcBorders>
                          <w:left w:val="single" w:sz="10" w:space="0" w:color="D2D2D2"/>
                          <w:bottom w:val="single" w:sz="4" w:space="0" w:color="000000"/>
                          <w:right w:val="single" w:sz="9" w:space="0" w:color="FFFFFF"/>
                        </w:tcBorders>
                      </w:tcPr>
                      <w:p>
                        <w:pPr/>
                      </w:p>
                    </w:tc>
                    <w:tc>
                      <w:tcPr>
                        <w:tcW w:w="3330" w:type="dxa"/>
                        <w:vMerge/>
                        <w:tcBorders>
                          <w:left w:val="single" w:sz="9" w:space="0" w:color="FFFFFF"/>
                          <w:bottom w:val="single" w:sz="4" w:space="0" w:color="000000"/>
                          <w:right w:val="nil" w:sz="6" w:space="0" w:color="auto"/>
                        </w:tcBorders>
                      </w:tcPr>
                      <w:p>
                        <w:pPr/>
                      </w:p>
                    </w:tc>
                  </w:tr>
                  <w:tr>
                    <w:trPr>
                      <w:trHeight w:val="1722"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5" w:type="dxa"/>
                        <w:gridSpan w:val="3"/>
                        <w:vMerge w:val="restart"/>
                        <w:tcBorders>
                          <w:top w:val="single" w:sz="4" w:space="0" w:color="000000"/>
                          <w:left w:val="single" w:sz="10" w:space="0" w:color="D2D2D2"/>
                          <w:right w:val="single" w:sz="13" w:space="0" w:color="FFFFFF"/>
                        </w:tcBorders>
                      </w:tcPr>
                      <w:p>
                        <w:pPr>
                          <w:pStyle w:val="TableParagraph"/>
                          <w:spacing w:line="302" w:lineRule="auto" w:before="52"/>
                          <w:ind w:left="15" w:right="-44"/>
                          <w:jc w:val="left"/>
                          <w:rPr>
                            <w:rFonts w:ascii="宋体" w:hAnsi="宋体" w:cs="宋体" w:eastAsia="宋体" w:hint="default"/>
                            <w:sz w:val="18"/>
                            <w:szCs w:val="18"/>
                          </w:rPr>
                        </w:pPr>
                        <w:r>
                          <w:rPr>
                            <w:rFonts w:ascii="宋体" w:hAnsi="宋体" w:cs="宋体" w:eastAsia="宋体" w:hint="default"/>
                            <w:sz w:val="18"/>
                            <w:szCs w:val="18"/>
                          </w:rPr>
                          <w:t>以资产总额、营业收入以及利润总额作为衡量指标，按 照孰低原则执行。</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、资产总额，一般缺陷：错报额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；重大缺陷：错报额</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宋体" w:hAnsi="宋体" w:cs="宋体" w:eastAsia="宋体" w:hint="default"/>
                            <w:spacing w:val="-87"/>
                            <w:sz w:val="18"/>
                            <w:szCs w:val="18"/>
                          </w:rPr>
                          <w:t> </w:t>
                        </w:r>
                        <w:r>
                          <w:rPr>
                            <w:rFonts w:ascii="宋体" w:hAnsi="宋体" w:cs="宋体" w:eastAsia="宋体" w:hint="default"/>
                            <w:spacing w:val="-6"/>
                            <w:sz w:val="18"/>
                            <w:szCs w:val="18"/>
                          </w:rPr>
                          <w:t>营业收入，一般缺陷：错报额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营业收入的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万元；重要缺陷：营业收入的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 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pacing w:val="-6"/>
                            <w:sz w:val="18"/>
                            <w:szCs w:val="18"/>
                          </w:rPr>
                          <w:t>万元；重大缺陷：错报额</w:t>
                        </w:r>
                        <w:r>
                          <w:rPr>
                            <w:rFonts w:ascii="Times New Roman" w:hAnsi="Times New Roman" w:cs="Times New Roman" w:eastAsia="Times New Roman" w:hint="default"/>
                            <w:spacing w:val="-6"/>
                            <w:sz w:val="18"/>
                            <w:szCs w:val="18"/>
                          </w:rPr>
                          <w:t>&gt;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、利润总额，一般缺 陷：错报额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万元；重要缺陷： 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 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万元；重大缺陷：错报额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或者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330" w:type="dxa"/>
                        <w:vMerge w:val="restart"/>
                        <w:tcBorders>
                          <w:top w:val="single" w:sz="4" w:space="0" w:color="000000"/>
                          <w:left w:val="single" w:sz="13" w:space="0" w:color="FFFFFF"/>
                          <w:right w:val="nil" w:sz="6" w:space="0" w:color="auto"/>
                        </w:tcBorders>
                      </w:tcPr>
                      <w:p>
                        <w:pPr>
                          <w:pStyle w:val="TableParagraph"/>
                          <w:spacing w:line="309" w:lineRule="auto" w:before="52"/>
                          <w:ind w:left="11" w:right="-28"/>
                          <w:jc w:val="left"/>
                          <w:rPr>
                            <w:rFonts w:ascii="宋体" w:hAnsi="宋体" w:cs="宋体" w:eastAsia="宋体" w:hint="default"/>
                            <w:sz w:val="18"/>
                            <w:szCs w:val="18"/>
                          </w:rPr>
                        </w:pPr>
                        <w:r>
                          <w:rPr>
                            <w:rFonts w:ascii="宋体" w:hAnsi="宋体" w:cs="宋体" w:eastAsia="宋体" w:hint="default"/>
                            <w:sz w:val="18"/>
                            <w:szCs w:val="18"/>
                          </w:rPr>
                          <w:t>根据缺陷可能造成直接财产损失的绝对金 </w:t>
                        </w:r>
                        <w:r>
                          <w:rPr>
                            <w:rFonts w:ascii="宋体" w:hAnsi="宋体" w:cs="宋体" w:eastAsia="宋体" w:hint="default"/>
                            <w:spacing w:val="-3"/>
                            <w:sz w:val="18"/>
                            <w:szCs w:val="18"/>
                          </w:rPr>
                          <w:t>额或潜在负面影响等因素确定。</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w:t>
                        </w:r>
                        <w:r>
                          <w:rPr>
                            <w:rFonts w:ascii="宋体" w:hAnsi="宋体" w:cs="宋体" w:eastAsia="宋体" w:hint="default"/>
                            <w:sz w:val="18"/>
                            <w:szCs w:val="18"/>
                          </w:rPr>
                          <w:t> </w:t>
                        </w:r>
                        <w:r>
                          <w:rPr>
                            <w:rFonts w:ascii="宋体" w:hAnsi="宋体" w:cs="宋体" w:eastAsia="宋体" w:hint="default"/>
                            <w:spacing w:val="-3"/>
                            <w:sz w:val="18"/>
                            <w:szCs w:val="18"/>
                          </w:rPr>
                          <w:t>陷，直接财产损失：</w:t>
                        </w:r>
                        <w:r>
                          <w:rPr>
                            <w:rFonts w:ascii="Times New Roman" w:hAnsi="Times New Roman" w:cs="Times New Roman" w:eastAsia="Times New Roman" w:hint="default"/>
                            <w:spacing w:val="-3"/>
                            <w:sz w:val="18"/>
                            <w:szCs w:val="18"/>
                          </w:rPr>
                          <w:t>300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以上；潜 在负面影响：已经对外正式披露并对公司 </w:t>
                        </w:r>
                        <w:r>
                          <w:rPr>
                            <w:rFonts w:ascii="宋体" w:hAnsi="宋体" w:cs="宋体" w:eastAsia="宋体" w:hint="default"/>
                            <w:spacing w:val="-8"/>
                            <w:sz w:val="18"/>
                            <w:szCs w:val="18"/>
                          </w:rPr>
                          <w:t>定期报告披露造成负面影响。</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直接财产损失：</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万元；潜 在负面影响：受到国家政府部门处罚，但 未对公司定期报告披露造成负面影响。</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一般缺陷，直接财产损失：</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 潜在负面影响：受到省级（含省级）以下 政府部门处罚但未对公司定期报告披露造 成负面影响。</w:t>
                        </w:r>
                      </w:p>
                    </w:tc>
                  </w:tr>
                  <w:tr>
                    <w:trPr>
                      <w:trHeight w:val="391"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395" w:type="dxa"/>
                        <w:gridSpan w:val="3"/>
                        <w:vMerge/>
                        <w:tcBorders>
                          <w:left w:val="single" w:sz="10" w:space="0" w:color="D2D2D2"/>
                          <w:right w:val="single" w:sz="13" w:space="0" w:color="FFFFFF"/>
                        </w:tcBorders>
                      </w:tcPr>
                      <w:p>
                        <w:pPr/>
                      </w:p>
                    </w:tc>
                    <w:tc>
                      <w:tcPr>
                        <w:tcW w:w="3330" w:type="dxa"/>
                        <w:vMerge/>
                        <w:tcBorders>
                          <w:left w:val="single" w:sz="13" w:space="0" w:color="FFFFFF"/>
                          <w:right w:val="nil" w:sz="6" w:space="0" w:color="auto"/>
                        </w:tcBorders>
                      </w:tcPr>
                      <w:p>
                        <w:pPr/>
                      </w:p>
                    </w:tc>
                  </w:tr>
                  <w:tr>
                    <w:trPr>
                      <w:trHeight w:val="172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5" w:type="dxa"/>
                        <w:gridSpan w:val="3"/>
                        <w:vMerge/>
                        <w:tcBorders>
                          <w:left w:val="single" w:sz="10" w:space="0" w:color="D2D2D2"/>
                          <w:bottom w:val="single" w:sz="4" w:space="0" w:color="000000"/>
                          <w:right w:val="single" w:sz="13" w:space="0" w:color="FFFFFF"/>
                        </w:tcBorders>
                      </w:tcPr>
                      <w:p>
                        <w:pPr/>
                      </w:p>
                    </w:tc>
                    <w:tc>
                      <w:tcPr>
                        <w:tcW w:w="3330" w:type="dxa"/>
                        <w:vMerge/>
                        <w:tcBorders>
                          <w:left w:val="single" w:sz="13" w:space="0" w:color="FFFFFF"/>
                          <w:bottom w:val="single" w:sz="4" w:space="0" w:color="000000"/>
                          <w:right w:val="nil" w:sz="6" w:space="0" w:color="auto"/>
                        </w:tcBorders>
                      </w:tcPr>
                      <w:p>
                        <w:pPr/>
                      </w:p>
                    </w:tc>
                  </w:tr>
                  <w:tr>
                    <w:trPr>
                      <w:trHeight w:val="402" w:hRule="exact"/>
                    </w:trPr>
                    <w:tc>
                      <w:tcPr>
                        <w:tcW w:w="2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4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11"/>
        <w:rPr>
          <w:rFonts w:ascii="宋体" w:hAnsi="宋体" w:cs="宋体" w:eastAsia="宋体" w:hint="default"/>
          <w:sz w:val="28"/>
          <w:szCs w:val="28"/>
        </w:rPr>
      </w:pPr>
    </w:p>
    <w:p>
      <w:pPr>
        <w:spacing w:line="312" w:lineRule="exact"/>
        <w:ind w:left="642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63.8pt;height:15.6pt;mso-position-horizontal-relative:char;mso-position-vertical-relative:line" coordorigin="0,0" coordsize="3276,312">
            <v:group style="position:absolute;left:0;top:0;width:3276;height:312" coordorigin="0,0" coordsize="3276,312">
              <v:shape style="position:absolute;left:0;top:0;width:3276;height:312" coordorigin="0,0" coordsize="3276,312" path="m0,312l3275,312,327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sz w:val="21"/>
          <w:szCs w:val="21"/>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312" w:lineRule="exact"/>
        <w:ind w:left="642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63.8pt;height:15.6pt;mso-position-horizontal-relative:char;mso-position-vertical-relative:line" coordorigin="0,0" coordsize="3276,312">
            <v:group style="position:absolute;left:0;top:0;width:3276;height:312" coordorigin="0,0" coordsize="3276,312">
              <v:shape style="position:absolute;left:0;top:0;width:3276;height:312" coordorigin="0,0" coordsize="3276,312" path="m0,312l3275,312,3275,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10"/>
        <w:ind w:left="0" w:right="1138"/>
        <w:jc w:val="right"/>
      </w:pP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983"/>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立信会计师事务所（特殊普通合伙）出具的《内部控制鉴证报告》披露于巨潮资讯网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983"/>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469.440002pt;margin-top:343.159973pt;width:65.5pt;height:20.6pt;mso-position-horizontal-relative:page;mso-position-vertical-relative:page;z-index:-1057264" type="#_x0000_t202" filled="false" stroked="false">
            <v:textbox inset="0,0,0,0">
              <w:txbxContent>
                <w:p>
                  <w:pPr>
                    <w:pStyle w:val="BodyText"/>
                    <w:spacing w:line="240" w:lineRule="auto" w:before="71"/>
                    <w:ind w:left="0" w:right="0"/>
                    <w:jc w:val="left"/>
                  </w:pPr>
                  <w:r>
                    <w:rPr/>
                    <w:t>。</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983"/>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left="154" w:right="983"/>
        <w:jc w:val="left"/>
        <w:rPr>
          <w:b w:val="0"/>
          <w:bCs w:val="0"/>
        </w:rPr>
      </w:pPr>
      <w:r>
        <w:rPr/>
        <w:pict>
          <v:shape style="position:absolute;margin-left:469.440002pt;margin-top:68.735603pt;width:65.5pt;height:20.6pt;mso-position-horizontal-relative:page;mso-position-vertical-relative:paragraph;z-index:-1057288"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475.619995pt;margin-top:68.735603pt;width:59.3pt;height:107.6pt;mso-position-horizontal-relative:page;mso-position-vertical-relative:paragraph;z-index:-1057240" coordorigin="9512,1375" coordsize="1186,2152">
            <v:group style="position:absolute;left:9512;top:1375;width:1186;height:412" coordorigin="9512,1375" coordsize="1186,412">
              <v:shape style="position:absolute;left:9512;top:1375;width:1186;height:412" coordorigin="9512,1375" coordsize="1186,412" path="m9512,1786l10698,1786,10698,1375,9512,1375,9512,1786xe" filled="true" fillcolor="#ffffff" stroked="false">
                <v:path arrowok="t"/>
                <v:fill type="solid"/>
              </v:shape>
            </v:group>
            <v:group style="position:absolute;left:9524;top:1786;width:2;height:1329" coordorigin="9524,1786" coordsize="2,1329">
              <v:shape style="position:absolute;left:9524;top:1786;width:2;height:1329" coordorigin="9524,1786" coordsize="0,1329" path="m9524,1786l9524,3115e" filled="false" stroked="true" strokeweight="1.140pt" strokecolor="#ffffff">
                <v:path arrowok="t"/>
              </v:shape>
            </v:group>
            <v:group style="position:absolute;left:9512;top:3115;width:1186;height:412" coordorigin="9512,3115" coordsize="1186,412">
              <v:shape style="position:absolute;left:9512;top:3115;width:1186;height:412" coordorigin="9512,3115" coordsize="1186,412" path="m9512,3526l10698,3526,10698,3115,9512,3115,9512,3526xe" filled="true" fillcolor="#ffffff" stroked="false">
                <v:path arrowok="t"/>
                <v:fill type="solid"/>
              </v:shape>
            </v:group>
            <v:group style="position:absolute;left:9535;top:1786;width:1140;height:353" coordorigin="9535,1786" coordsize="1140,353">
              <v:shape style="position:absolute;left:9535;top:1786;width:1140;height:353" coordorigin="9535,1786" coordsize="1140,353" path="m9535,2139l10675,2139,10675,1786,9535,1786,9535,2139xe" filled="true" fillcolor="#ffffff" stroked="false">
                <v:path arrowok="t"/>
                <v:fill type="solid"/>
              </v:shape>
            </v:group>
            <v:group style="position:absolute;left:9535;top:2139;width:1140;height:312" coordorigin="9535,2139" coordsize="1140,312">
              <v:shape style="position:absolute;left:9535;top:2139;width:1140;height:312" coordorigin="9535,2139" coordsize="1140,312" path="m9535,2451l10675,2451,10675,2139,9535,2139,9535,2451xe" filled="true" fillcolor="#ffffff" stroked="false">
                <v:path arrowok="t"/>
                <v:fill type="solid"/>
              </v:shape>
            </v:group>
            <v:group style="position:absolute;left:9535;top:2451;width:1140;height:312" coordorigin="9535,2451" coordsize="1140,312">
              <v:shape style="position:absolute;left:9535;top:2451;width:1140;height:312" coordorigin="9535,2451" coordsize="1140,312" path="m9535,2763l10675,2763,10675,2451,9535,2451,9535,2763xe" filled="true" fillcolor="#ffffff" stroked="false">
                <v:path arrowok="t"/>
                <v:fill type="solid"/>
              </v:shape>
            </v:group>
            <v:group style="position:absolute;left:9535;top:2763;width:1140;height:352" coordorigin="9535,2763" coordsize="1140,352">
              <v:shape style="position:absolute;left:9535;top:2763;width:1140;height:352" coordorigin="9535,2763" coordsize="1140,352" path="m9535,3115l10675,3115,10675,2763,9535,2763,9535,3115xe" filled="true" fillcolor="#ffffff" stroked="false">
                <v:path arrowok="t"/>
                <v:fill type="solid"/>
              </v:shape>
            </v:group>
            <w10:wrap type="none"/>
          </v:group>
        </w:pict>
      </w:r>
      <w:bookmarkStart w:name="一、公司债券基本信息" w:id="154"/>
      <w:bookmarkEnd w:id="154"/>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16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北京久其软件 股份有限公司 可转换公司债 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久其转债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128015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77,996.83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 </w:t>
            </w:r>
            <w:r>
              <w:rPr>
                <w:rFonts w:ascii="宋体" w:hAnsi="宋体" w:cs="宋体" w:eastAsia="宋体" w:hint="default"/>
                <w:sz w:val="18"/>
                <w:szCs w:val="18"/>
              </w:rPr>
              <w:t>第二年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0.50%</w:t>
            </w:r>
            <w:r>
              <w:rPr>
                <w:rFonts w:ascii="宋体" w:hAnsi="宋体" w:cs="宋体" w:eastAsia="宋体" w:hint="default"/>
                <w:spacing w:val="-6"/>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第三年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第四年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1.30%</w:t>
            </w:r>
            <w:r>
              <w:rPr>
                <w:rFonts w:ascii="宋体" w:hAnsi="宋体" w:cs="宋体" w:eastAsia="宋体" w:hint="default"/>
                <w:spacing w:val="-6"/>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第五年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1.50%</w:t>
            </w:r>
            <w:r>
              <w:rPr>
                <w:rFonts w:ascii="宋体" w:hAnsi="宋体" w:cs="宋体" w:eastAsia="宋体" w:hint="default"/>
                <w:spacing w:val="-6"/>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第六年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319" w:lineRule="auto"/>
              <w:ind w:left="22" w:right="80"/>
              <w:jc w:val="both"/>
              <w:rPr>
                <w:rFonts w:ascii="宋体" w:hAnsi="宋体" w:cs="宋体" w:eastAsia="宋体" w:hint="default"/>
                <w:sz w:val="18"/>
                <w:szCs w:val="18"/>
              </w:rPr>
            </w:pPr>
            <w:r>
              <w:rPr>
                <w:rFonts w:ascii="宋体" w:hAnsi="宋体" w:cs="宋体" w:eastAsia="宋体" w:hint="default"/>
                <w:sz w:val="18"/>
                <w:szCs w:val="18"/>
              </w:rPr>
              <w:t>本次发行的可 转债采用每年 付息一次的付 息方式</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9"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3"/>
        <w:jc w:val="left"/>
        <w:rPr>
          <w:b w:val="0"/>
          <w:bCs w:val="0"/>
        </w:rPr>
      </w:pPr>
      <w:r>
        <w:rPr/>
        <w:pict>
          <v:group style="position:absolute;margin-left:216.679993pt;margin-top:114.675636pt;width:318.5pt;height:43.6pt;mso-position-horizontal-relative:page;mso-position-vertical-relative:paragraph;z-index:-1057216" coordorigin="4334,2294" coordsize="6370,872">
            <v:group style="position:absolute;left:4334;top:2294;width:6370;height:468" coordorigin="4334,2294" coordsize="6370,468">
              <v:shape style="position:absolute;left:4334;top:2294;width:6370;height:468" coordorigin="4334,2294" coordsize="6370,468" path="m4334,2762l10703,2762,10703,2294,4334,2294,4334,2762xe" filled="true" fillcolor="#ffffff" stroked="false">
                <v:path arrowok="t"/>
                <v:fill type="solid"/>
              </v:shape>
            </v:group>
            <v:group style="position:absolute;left:4345;top:2762;width:2;height:393" coordorigin="4345,2762" coordsize="2,393">
              <v:shape style="position:absolute;left:4345;top:2762;width:2;height:393" coordorigin="4345,2762" coordsize="0,393" path="m4345,2762l4345,3154e" filled="false" stroked="true" strokeweight="1.140pt" strokecolor="#ffffff">
                <v:path arrowok="t"/>
              </v:shape>
            </v:group>
            <v:group style="position:absolute;left:4356;top:2762;width:6324;height:393" coordorigin="4356,2762" coordsize="6324,393">
              <v:shape style="position:absolute;left:4356;top:2762;width:6324;height:393" coordorigin="4356,2762" coordsize="6324,393" path="m4356,3154l10680,3154,10680,2762,4356,2762,4356,3154xe" filled="true" fillcolor="#ffffff" stroked="false">
                <v:path arrowok="t"/>
                <v:fill type="solid"/>
              </v:shape>
            </v:group>
            <w10:wrap type="none"/>
          </v:group>
        </w:pict>
      </w:r>
      <w:bookmarkStart w:name="二、债券受托管理人和资信评级机构信息" w:id="155"/>
      <w:bookmarkEnd w:id="155"/>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79"/>
        <w:gridCol w:w="1219"/>
        <w:gridCol w:w="773"/>
        <w:gridCol w:w="400"/>
        <w:gridCol w:w="965"/>
        <w:gridCol w:w="1111"/>
        <w:gridCol w:w="1534"/>
        <w:gridCol w:w="1173"/>
        <w:gridCol w:w="1208"/>
      </w:tblGrid>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12"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1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96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53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357"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9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北京朝阳区建国门外大街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1338"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365"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11" w:type="dxa"/>
            <w:tcBorders>
              <w:top w:val="single" w:sz="4" w:space="0" w:color="000000"/>
              <w:left w:val="nil" w:sz="6" w:space="0" w:color="auto"/>
              <w:bottom w:val="single" w:sz="4" w:space="0" w:color="000000"/>
              <w:right w:val="nil" w:sz="6" w:space="0" w:color="auto"/>
            </w:tcBorders>
          </w:tcPr>
          <w:p>
            <w:pPr/>
          </w:p>
        </w:tc>
        <w:tc>
          <w:tcPr>
            <w:tcW w:w="1534" w:type="dxa"/>
            <w:tcBorders>
              <w:top w:val="single" w:sz="4" w:space="0" w:color="000000"/>
              <w:left w:val="nil" w:sz="6" w:space="0" w:color="auto"/>
              <w:bottom w:val="single" w:sz="4" w:space="0" w:color="000000"/>
              <w:right w:val="nil" w:sz="6" w:space="0" w:color="auto"/>
            </w:tcBorders>
          </w:tcPr>
          <w:p>
            <w:pPr/>
          </w:p>
        </w:tc>
        <w:tc>
          <w:tcPr>
            <w:tcW w:w="1173" w:type="dxa"/>
            <w:tcBorders>
              <w:top w:val="single" w:sz="4" w:space="0" w:color="000000"/>
              <w:left w:val="nil" w:sz="6" w:space="0" w:color="auto"/>
              <w:bottom w:val="single" w:sz="4" w:space="0" w:color="000000"/>
              <w:right w:val="nil" w:sz="6" w:space="0" w:color="auto"/>
            </w:tcBorders>
          </w:tcPr>
          <w:p>
            <w:pPr/>
          </w:p>
        </w:tc>
        <w:tc>
          <w:tcPr>
            <w:tcW w:w="1208" w:type="dxa"/>
            <w:tcBorders>
              <w:top w:val="single" w:sz="4" w:space="0" w:color="000000"/>
              <w:left w:val="nil" w:sz="6" w:space="0" w:color="auto"/>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983"/>
        <w:jc w:val="left"/>
        <w:rPr>
          <w:b w:val="0"/>
          <w:bCs w:val="0"/>
        </w:rPr>
      </w:pPr>
      <w:bookmarkStart w:name="三、公司债券募集资金使用情况" w:id="156"/>
      <w:bookmarkEnd w:id="156"/>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08"/>
        <w:gridCol w:w="6461"/>
      </w:tblGrid>
      <w:tr>
        <w:trPr>
          <w:trHeight w:val="714"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参见本报告</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sz w:val="18"/>
                <w:szCs w:val="18"/>
              </w:rPr>
              <w:t>第</w:t>
            </w:r>
            <w:r>
              <w:rPr>
                <w:rFonts w:ascii="宋体" w:hAnsi="宋体" w:cs="宋体" w:eastAsia="宋体" w:hint="default"/>
                <w:sz w:val="18"/>
                <w:szCs w:val="18"/>
              </w:rPr>
              <w:t>四节经营情况讨论与分析 五</w:t>
            </w:r>
            <w:r>
              <w:rPr>
                <w:rFonts w:ascii="宋体" w:hAnsi="宋体" w:cs="宋体" w:eastAsia="宋体" w:hint="default"/>
                <w:spacing w:val="-78"/>
                <w:sz w:val="18"/>
                <w:szCs w:val="18"/>
              </w:rPr>
              <w:t>、</w:t>
            </w:r>
            <w:r>
              <w:rPr>
                <w:rFonts w:ascii="宋体" w:hAnsi="宋体" w:cs="宋体" w:eastAsia="宋体" w:hint="default"/>
                <w:sz w:val="18"/>
                <w:szCs w:val="18"/>
              </w:rPr>
              <w:t>投资状况分析 </w:t>
            </w:r>
            <w:r>
              <w:rPr>
                <w:rFonts w:ascii="Times New Roman" w:hAnsi="Times New Roman" w:cs="Times New Roman" w:eastAsia="Times New Roman" w:hint="default"/>
                <w:sz w:val="18"/>
                <w:szCs w:val="18"/>
              </w:rPr>
              <w:t>5</w:t>
            </w:r>
            <w:r>
              <w:rPr>
                <w:rFonts w:ascii="宋体" w:hAnsi="宋体" w:cs="宋体" w:eastAsia="宋体" w:hint="default"/>
                <w:spacing w:val="-78"/>
                <w:sz w:val="18"/>
                <w:szCs w:val="18"/>
              </w:rPr>
              <w:t>、</w:t>
            </w:r>
            <w:r>
              <w:rPr>
                <w:rFonts w:ascii="宋体" w:hAnsi="宋体" w:cs="宋体" w:eastAsia="宋体" w:hint="default"/>
                <w:sz w:val="18"/>
                <w:szCs w:val="18"/>
              </w:rPr>
              <w:t>募集资金使用情</w:t>
            </w:r>
            <w:r>
              <w:rPr>
                <w:rFonts w:ascii="宋体" w:hAnsi="宋体" w:cs="宋体" w:eastAsia="宋体" w:hint="default"/>
                <w:spacing w:val="-2"/>
                <w:sz w:val="18"/>
                <w:szCs w:val="18"/>
              </w:rPr>
              <w:t>况</w:t>
            </w:r>
            <w:r>
              <w:rPr>
                <w:rFonts w:ascii="Times New Roman" w:hAnsi="Times New Roman" w:cs="Times New Roman" w:eastAsia="Times New Roman" w:hint="default"/>
                <w:w w:val="100"/>
                <w:sz w:val="18"/>
                <w:szCs w:val="18"/>
              </w:rPr>
              <w:t>”</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58,239.29</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参见本报告</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sz w:val="18"/>
                <w:szCs w:val="18"/>
              </w:rPr>
              <w:t>第</w:t>
            </w:r>
            <w:r>
              <w:rPr>
                <w:rFonts w:ascii="宋体" w:hAnsi="宋体" w:cs="宋体" w:eastAsia="宋体" w:hint="default"/>
                <w:sz w:val="18"/>
                <w:szCs w:val="18"/>
              </w:rPr>
              <w:t>四节经营情况讨论与分析 五</w:t>
            </w:r>
            <w:r>
              <w:rPr>
                <w:rFonts w:ascii="宋体" w:hAnsi="宋体" w:cs="宋体" w:eastAsia="宋体" w:hint="default"/>
                <w:spacing w:val="-78"/>
                <w:sz w:val="18"/>
                <w:szCs w:val="18"/>
              </w:rPr>
              <w:t>、</w:t>
            </w:r>
            <w:r>
              <w:rPr>
                <w:rFonts w:ascii="宋体" w:hAnsi="宋体" w:cs="宋体" w:eastAsia="宋体" w:hint="default"/>
                <w:sz w:val="18"/>
                <w:szCs w:val="18"/>
              </w:rPr>
              <w:t>投资状况分析 </w:t>
            </w:r>
            <w:r>
              <w:rPr>
                <w:rFonts w:ascii="Times New Roman" w:hAnsi="Times New Roman" w:cs="Times New Roman" w:eastAsia="Times New Roman" w:hint="default"/>
                <w:sz w:val="18"/>
                <w:szCs w:val="18"/>
              </w:rPr>
              <w:t>5</w:t>
            </w:r>
            <w:r>
              <w:rPr>
                <w:rFonts w:ascii="宋体" w:hAnsi="宋体" w:cs="宋体" w:eastAsia="宋体" w:hint="default"/>
                <w:spacing w:val="-78"/>
                <w:sz w:val="18"/>
                <w:szCs w:val="18"/>
              </w:rPr>
              <w:t>、</w:t>
            </w:r>
            <w:r>
              <w:rPr>
                <w:rFonts w:ascii="宋体" w:hAnsi="宋体" w:cs="宋体" w:eastAsia="宋体" w:hint="default"/>
                <w:sz w:val="18"/>
                <w:szCs w:val="18"/>
              </w:rPr>
              <w:t>募集资金使用情</w:t>
            </w:r>
            <w:r>
              <w:rPr>
                <w:rFonts w:ascii="宋体" w:hAnsi="宋体" w:cs="宋体" w:eastAsia="宋体" w:hint="default"/>
                <w:spacing w:val="-2"/>
                <w:sz w:val="18"/>
                <w:szCs w:val="18"/>
              </w:rPr>
              <w:t>况</w:t>
            </w:r>
            <w:r>
              <w:rPr>
                <w:rFonts w:ascii="Times New Roman" w:hAnsi="Times New Roman" w:cs="Times New Roman" w:eastAsia="Times New Roman" w:hint="default"/>
                <w:w w:val="100"/>
                <w:sz w:val="18"/>
                <w:szCs w:val="18"/>
              </w:rPr>
              <w:t>”</w:t>
            </w:r>
          </w:p>
        </w:tc>
      </w:tr>
      <w:tr>
        <w:trPr>
          <w:trHeight w:val="714"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83"/>
        <w:jc w:val="left"/>
        <w:rPr>
          <w:b w:val="0"/>
          <w:bCs w:val="0"/>
        </w:rPr>
      </w:pPr>
      <w:bookmarkStart w:name="四、公司债券信息评级情况" w:id="157"/>
      <w:bookmarkEnd w:id="157"/>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4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日，联合信用评级有限公司出具了《北京久其软件股份有限公司可转换公司债券</w:t>
      </w:r>
      <w:r>
        <w:rPr>
          <w:rFonts w:ascii="Times New Roman" w:hAnsi="Times New Roman" w:cs="Times New Roman" w:eastAsia="Times New Roman" w:hint="default"/>
        </w:rPr>
        <w:t>2017</w:t>
      </w:r>
      <w:r>
        <w:rPr/>
        <w:t>年跟踪评级报告》（联合 </w:t>
      </w:r>
      <w:r>
        <w:rPr>
          <w:rFonts w:ascii="Times New Roman" w:hAnsi="Times New Roman" w:cs="Times New Roman" w:eastAsia="Times New Roman" w:hint="default"/>
        </w:rPr>
        <w:t>[2017]1311</w:t>
      </w:r>
      <w:r>
        <w:rPr/>
        <w:t>号），维持</w:t>
      </w:r>
      <w:r>
        <w:rPr>
          <w:rFonts w:ascii="Times New Roman" w:hAnsi="Times New Roman" w:cs="Times New Roman" w:eastAsia="Times New Roman" w:hint="default"/>
        </w:rPr>
        <w:t>"</w:t>
      </w:r>
      <w:r>
        <w:rPr/>
        <w:t>久其转债</w:t>
      </w:r>
      <w:r>
        <w:rPr>
          <w:rFonts w:ascii="Times New Roman" w:hAnsi="Times New Roman" w:cs="Times New Roman" w:eastAsia="Times New Roman" w:hint="default"/>
        </w:rPr>
        <w:t>"</w:t>
      </w:r>
      <w:r>
        <w:rPr/>
        <w:t>信用等级</w:t>
      </w:r>
      <w:r>
        <w:rPr>
          <w:rFonts w:ascii="Times New Roman" w:hAnsi="Times New Roman" w:cs="Times New Roman" w:eastAsia="Times New Roman" w:hint="default"/>
        </w:rPr>
        <w:t>AA</w:t>
      </w:r>
      <w:r>
        <w:rPr/>
        <w:t>，维持本公司长期主体信用等级为</w:t>
      </w:r>
      <w:r>
        <w:rPr>
          <w:rFonts w:ascii="Times New Roman" w:hAnsi="Times New Roman" w:cs="Times New Roman" w:eastAsia="Times New Roman" w:hint="default"/>
        </w:rPr>
        <w:t>AA-</w:t>
      </w:r>
      <w:r>
        <w:rPr/>
        <w:t>，评级展望为</w:t>
      </w:r>
      <w:r>
        <w:rPr>
          <w:rFonts w:ascii="Times New Roman" w:hAnsi="Times New Roman" w:cs="Times New Roman" w:eastAsia="Times New Roman" w:hint="default"/>
        </w:rPr>
        <w:t>“</w:t>
      </w:r>
      <w:r>
        <w:rPr/>
        <w:t>稳定</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久其转债</w:t>
      </w:r>
      <w:r>
        <w:rPr>
          <w:rFonts w:ascii="Times New Roman" w:hAnsi="Times New Roman" w:cs="Times New Roman" w:eastAsia="Times New Roman" w:hint="default"/>
        </w:rPr>
        <w:t>”</w:t>
      </w:r>
      <w:r>
        <w:rPr/>
        <w:t>发 行时评级结果无差异。</w:t>
      </w:r>
    </w:p>
    <w:p>
      <w:pPr>
        <w:spacing w:line="240" w:lineRule="auto" w:before="9"/>
        <w:rPr>
          <w:rFonts w:ascii="宋体" w:hAnsi="宋体" w:cs="宋体" w:eastAsia="宋体" w:hint="default"/>
          <w:sz w:val="21"/>
          <w:szCs w:val="21"/>
        </w:rPr>
      </w:pPr>
    </w:p>
    <w:p>
      <w:pPr>
        <w:pStyle w:val="Heading2"/>
        <w:spacing w:line="240" w:lineRule="auto"/>
        <w:ind w:right="983"/>
        <w:jc w:val="left"/>
        <w:rPr>
          <w:b w:val="0"/>
          <w:bCs w:val="0"/>
        </w:rPr>
      </w:pPr>
      <w:bookmarkStart w:name="五、公司债券增信机制、偿债计划及其他偿债保障措施" w:id="158"/>
      <w:bookmarkEnd w:id="158"/>
      <w:r>
        <w:rPr>
          <w:b w:val="0"/>
          <w:bCs w:val="0"/>
        </w:rPr>
      </w:r>
      <w:r>
        <w:rPr/>
        <w:t>五、公司债券增信机制、偿债计划及其他偿债保障措施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报告期内，公司债券增信机制、偿债计划及其他偿债保障措施未发生变更。</w:t>
      </w:r>
    </w:p>
    <w:p>
      <w:pPr>
        <w:spacing w:line="240" w:lineRule="auto" w:before="2"/>
        <w:rPr>
          <w:rFonts w:ascii="宋体" w:hAnsi="宋体" w:cs="宋体" w:eastAsia="宋体" w:hint="default"/>
          <w:sz w:val="25"/>
          <w:szCs w:val="25"/>
        </w:rPr>
      </w:pPr>
    </w:p>
    <w:p>
      <w:pPr>
        <w:pStyle w:val="Heading2"/>
        <w:spacing w:line="240" w:lineRule="auto"/>
        <w:ind w:right="983"/>
        <w:jc w:val="left"/>
        <w:rPr>
          <w:b w:val="0"/>
          <w:bCs w:val="0"/>
        </w:rPr>
      </w:pPr>
      <w:bookmarkStart w:name="六、报告期内债券持有人会议的召开情况" w:id="159"/>
      <w:bookmarkEnd w:id="159"/>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报告期内，公司未召开债券持有人会议。</w:t>
      </w:r>
    </w:p>
    <w:p>
      <w:pPr>
        <w:spacing w:line="240" w:lineRule="auto" w:before="2"/>
        <w:rPr>
          <w:rFonts w:ascii="宋体" w:hAnsi="宋体" w:cs="宋体" w:eastAsia="宋体" w:hint="default"/>
          <w:sz w:val="25"/>
          <w:szCs w:val="25"/>
        </w:rPr>
      </w:pPr>
    </w:p>
    <w:p>
      <w:pPr>
        <w:pStyle w:val="Heading2"/>
        <w:spacing w:line="240" w:lineRule="auto"/>
        <w:ind w:right="983"/>
        <w:jc w:val="left"/>
        <w:rPr>
          <w:b w:val="0"/>
          <w:bCs w:val="0"/>
        </w:rPr>
      </w:pPr>
      <w:bookmarkStart w:name="七、报告期内债券受托管理人履行职责的情况" w:id="160"/>
      <w:bookmarkEnd w:id="160"/>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983"/>
        <w:jc w:val="left"/>
        <w:rPr>
          <w:b w:val="0"/>
          <w:bCs w:val="0"/>
        </w:rPr>
      </w:pPr>
      <w:bookmarkStart w:name="八、截至报告期末公司近2年的主要会计数据和财务指标" w:id="161"/>
      <w:bookmarkEnd w:id="161"/>
      <w:r>
        <w:rPr>
          <w:b w:val="0"/>
          <w:bCs w:val="0"/>
        </w:rPr>
      </w:r>
      <w:r>
        <w:rPr/>
        <w:t>八、截至报告期末公司近</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43,899.34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26,794.56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83"/>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338" w:lineRule="auto" w:before="104"/>
        <w:ind w:right="47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报告期，息税折旧摊销前利润同比增加</w:t>
      </w:r>
      <w:r>
        <w:rPr>
          <w:rFonts w:ascii="Times New Roman" w:hAnsi="Times New Roman" w:cs="Times New Roman" w:eastAsia="Times New Roman" w:hint="default"/>
        </w:rPr>
        <w:t>63.84%</w:t>
      </w:r>
      <w:r>
        <w:rPr/>
        <w:t>，主要系合并上海移通所致；</w:t>
      </w:r>
    </w:p>
    <w:p>
      <w:pPr>
        <w:pStyle w:val="BodyText"/>
        <w:spacing w:line="230" w:lineRule="exact"/>
        <w:ind w:right="983"/>
        <w:jc w:val="left"/>
      </w:pPr>
      <w:r>
        <w:rPr/>
        <w:t>报告期，利息保障倍数同比减少</w:t>
      </w:r>
      <w:r>
        <w:rPr>
          <w:rFonts w:ascii="Times New Roman" w:hAnsi="Times New Roman" w:cs="Times New Roman" w:eastAsia="Times New Roman" w:hint="default"/>
        </w:rPr>
        <w:t>81.67%</w:t>
      </w:r>
      <w:r>
        <w:rPr/>
        <w:t>，</w:t>
      </w:r>
      <w:r>
        <w:rPr>
          <w:rFonts w:ascii="Times New Roman" w:hAnsi="Times New Roman" w:cs="Times New Roman" w:eastAsia="Times New Roman" w:hint="default"/>
        </w:rPr>
        <w:t>EBITDA</w:t>
      </w:r>
      <w:r>
        <w:rPr/>
        <w:t>利息保障倍数同比减少</w:t>
      </w:r>
      <w:r>
        <w:rPr>
          <w:rFonts w:ascii="Times New Roman" w:hAnsi="Times New Roman" w:cs="Times New Roman" w:eastAsia="Times New Roman" w:hint="default"/>
        </w:rPr>
        <w:t>82.27%</w:t>
      </w:r>
      <w:r>
        <w:rPr/>
        <w:t>，主要系按实际利率计提可转债利息所致。</w:t>
      </w:r>
    </w:p>
    <w:p>
      <w:pPr>
        <w:spacing w:line="240" w:lineRule="auto" w:before="1"/>
        <w:rPr>
          <w:rFonts w:ascii="宋体" w:hAnsi="宋体" w:cs="宋体" w:eastAsia="宋体" w:hint="default"/>
          <w:sz w:val="24"/>
          <w:szCs w:val="24"/>
        </w:rPr>
      </w:pPr>
    </w:p>
    <w:p>
      <w:pPr>
        <w:pStyle w:val="Heading2"/>
        <w:spacing w:line="240" w:lineRule="auto"/>
        <w:ind w:left="154" w:right="983"/>
        <w:jc w:val="left"/>
        <w:rPr>
          <w:b w:val="0"/>
          <w:bCs w:val="0"/>
        </w:rPr>
      </w:pPr>
      <w:bookmarkStart w:name="九、报告期内对其他债券和债务融资工具的付息兑付情况" w:id="162"/>
      <w:bookmarkEnd w:id="162"/>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983"/>
        <w:jc w:val="left"/>
      </w:pPr>
      <w:r>
        <w:rPr/>
        <w:t>报告期内，公司未发行其他债券和债务融资工具。</w:t>
      </w:r>
    </w:p>
    <w:p>
      <w:pPr>
        <w:spacing w:line="240" w:lineRule="auto" w:before="2"/>
        <w:rPr>
          <w:rFonts w:ascii="宋体" w:hAnsi="宋体" w:cs="宋体" w:eastAsia="宋体" w:hint="default"/>
          <w:sz w:val="25"/>
          <w:szCs w:val="25"/>
        </w:rPr>
      </w:pPr>
    </w:p>
    <w:p>
      <w:pPr>
        <w:pStyle w:val="Heading2"/>
        <w:spacing w:line="240" w:lineRule="auto"/>
        <w:ind w:left="154" w:right="983"/>
        <w:jc w:val="left"/>
        <w:rPr>
          <w:b w:val="0"/>
          <w:bCs w:val="0"/>
        </w:rPr>
      </w:pPr>
      <w:bookmarkStart w:name="十、报告期内获得的银行授信情况、使用情况以及偿还银行贷款的情况" w:id="163"/>
      <w:bookmarkEnd w:id="163"/>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3"/>
        <w:jc w:val="left"/>
      </w:pPr>
      <w:r>
        <w:rPr/>
        <w:t>报告期内，公司及子公司共获得银行授信</w:t>
      </w:r>
      <w:r>
        <w:rPr>
          <w:rFonts w:ascii="Times New Roman" w:hAnsi="Times New Roman" w:cs="Times New Roman" w:eastAsia="Times New Roman" w:hint="default"/>
        </w:rPr>
        <w:t>71,000</w:t>
      </w:r>
      <w:r>
        <w:rPr/>
        <w:t>万元，截至期末已使用授信额度</w:t>
      </w:r>
      <w:r>
        <w:rPr>
          <w:rFonts w:ascii="Times New Roman" w:hAnsi="Times New Roman" w:cs="Times New Roman" w:eastAsia="Times New Roman" w:hint="default"/>
        </w:rPr>
        <w:t>20,779.67</w:t>
      </w:r>
      <w:r>
        <w:rPr/>
        <w:t>万元。偿还银行贷款情况如下：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日与宁波银行北京分行签署了流动资金贷款合同人民币</w:t>
      </w:r>
      <w:r>
        <w:rPr>
          <w:rFonts w:ascii="Times New Roman" w:hAnsi="Times New Roman" w:cs="Times New Roman" w:eastAsia="Times New Roman" w:hint="default"/>
        </w:rPr>
        <w:t>9,500,000</w:t>
      </w:r>
      <w:r>
        <w:rPr/>
        <w:t>元，贷款期限为</w:t>
      </w:r>
      <w:r>
        <w:rPr>
          <w:rFonts w:ascii="Times New Roman" w:hAnsi="Times New Roman" w:cs="Times New Roman" w:eastAsia="Times New Roman" w:hint="default"/>
        </w:rPr>
        <w:t>6</w:t>
      </w:r>
      <w:r>
        <w:rPr/>
        <w:t>个月，自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17</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日偿还该笔借款。 </w:t>
      </w:r>
      <w:r>
        <w:rPr>
          <w:rFonts w:ascii="Times New Roman" w:hAnsi="Times New Roman" w:cs="Times New Roman" w:eastAsia="Times New Roman" w:hint="default"/>
        </w:rPr>
        <w:t>2</w:t>
      </w:r>
      <w:r>
        <w:rPr/>
        <w:t>、北京华夏电通科技有限公司于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日与北京银行股份有限公司上地支行签订人民币</w:t>
      </w:r>
      <w:r>
        <w:rPr>
          <w:rFonts w:ascii="Times New Roman" w:hAnsi="Times New Roman" w:cs="Times New Roman" w:eastAsia="Times New Roman" w:hint="default"/>
        </w:rPr>
        <w:t>5</w:t>
      </w:r>
      <w:r>
        <w:rPr/>
        <w:t>万元短期借款合同，合同贷 款期限为自首次提款日起一年，已于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日偿还该笔借款。</w:t>
      </w:r>
    </w:p>
    <w:p>
      <w:pPr>
        <w:spacing w:line="240" w:lineRule="auto" w:before="4"/>
        <w:rPr>
          <w:rFonts w:ascii="宋体" w:hAnsi="宋体" w:cs="宋体" w:eastAsia="宋体" w:hint="default"/>
          <w:sz w:val="20"/>
          <w:szCs w:val="20"/>
        </w:rPr>
      </w:pPr>
    </w:p>
    <w:p>
      <w:pPr>
        <w:pStyle w:val="Heading2"/>
        <w:spacing w:line="240" w:lineRule="auto"/>
        <w:ind w:right="983"/>
        <w:jc w:val="left"/>
        <w:rPr>
          <w:b w:val="0"/>
          <w:bCs w:val="0"/>
        </w:rPr>
      </w:pPr>
      <w:bookmarkStart w:name="十一、报告期内执行公司债券募集说明书相关约定或承诺的情况" w:id="164"/>
      <w:bookmarkEnd w:id="164"/>
      <w:r>
        <w:rPr>
          <w:b w:val="0"/>
          <w:bCs w:val="0"/>
        </w:rPr>
      </w:r>
      <w:r>
        <w:rPr/>
        <w:t>十一、报告期内执行公司债券募集说明书相关约定或承诺的情况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83"/>
        <w:jc w:val="left"/>
      </w:pPr>
      <w:r>
        <w:rPr>
          <w:spacing w:val="-2"/>
        </w:rPr>
        <w:t>报告期内，公司严格按照公司可转债《募集说明书》的相关约定或承诺进行募集资金存放与使用等事项，不存在违反上述约</w:t>
      </w:r>
      <w:r>
        <w:rPr>
          <w:spacing w:val="-66"/>
        </w:rPr>
        <w:t> </w:t>
      </w:r>
      <w:r>
        <w:rPr>
          <w:spacing w:val="-66"/>
        </w:rPr>
      </w:r>
      <w:r>
        <w:rPr/>
        <w:t>定和承诺的行为。</w:t>
      </w:r>
    </w:p>
    <w:p>
      <w:pPr>
        <w:spacing w:line="240" w:lineRule="auto" w:before="10"/>
        <w:rPr>
          <w:rFonts w:ascii="宋体" w:hAnsi="宋体" w:cs="宋体" w:eastAsia="宋体" w:hint="default"/>
          <w:sz w:val="20"/>
          <w:szCs w:val="20"/>
        </w:rPr>
      </w:pPr>
    </w:p>
    <w:p>
      <w:pPr>
        <w:pStyle w:val="Heading2"/>
        <w:spacing w:line="240" w:lineRule="auto"/>
        <w:ind w:right="983"/>
        <w:jc w:val="left"/>
        <w:rPr>
          <w:b w:val="0"/>
          <w:bCs w:val="0"/>
        </w:rPr>
      </w:pPr>
      <w:bookmarkStart w:name="十二、报告期内发生的重大事项" w:id="165"/>
      <w:bookmarkEnd w:id="165"/>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jc w:val="left"/>
      </w:pPr>
      <w:r>
        <w:rPr>
          <w:rFonts w:ascii="Times New Roman" w:hAnsi="Times New Roman" w:cs="Times New Roman" w:eastAsia="Times New Roman" w:hint="default"/>
          <w:spacing w:val="-2"/>
        </w:rPr>
        <w:t>1</w:t>
      </w:r>
      <w:r>
        <w:rPr>
          <w:spacing w:val="-2"/>
        </w:rPr>
        <w:t>、由于公司股权激励限制性股票已完成登记并于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日上市，根据《募集说明书》发行条款以及中国证监会关于可</w:t>
      </w:r>
      <w:r>
        <w:rPr>
          <w:spacing w:val="-58"/>
        </w:rPr>
        <w:t> </w:t>
      </w:r>
      <w:r>
        <w:rPr>
          <w:spacing w:val="-58"/>
        </w:rPr>
      </w:r>
      <w:r>
        <w:rPr/>
        <w:t>转换公司债券发行的有关规定，久其转债转股价格由原</w:t>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股，调整后的价格已于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日起生 </w:t>
      </w:r>
      <w:r>
        <w:rPr>
          <w:spacing w:val="-4"/>
        </w:rPr>
        <w:t>效。具体情况详见</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26</w:t>
      </w:r>
      <w:r>
        <w:rPr>
          <w:spacing w:val="-4"/>
        </w:rPr>
        <w:t>日的信息披露媒体《中国证券报》《证券时报》和巨潮资讯网</w:t>
      </w:r>
      <w:hyperlink r:id="rId31">
        <w:r>
          <w:rPr>
            <w:rFonts w:ascii="Times New Roman" w:hAnsi="Times New Roman" w:cs="Times New Roman" w:eastAsia="Times New Roman" w:hint="default"/>
            <w:spacing w:val="-4"/>
          </w:rPr>
          <w:t>www.cninfo.com.cn</w:t>
        </w:r>
        <w:r>
          <w:rPr>
            <w:spacing w:val="-4"/>
          </w:rPr>
          <w:t>上披露的</w:t>
        </w:r>
      </w:hyperlink>
      <w:r>
        <w:rPr>
          <w:spacing w:val="-4"/>
        </w:rPr>
        <w:t>《关</w:t>
      </w:r>
      <w:r>
        <w:rPr>
          <w:spacing w:val="-26"/>
        </w:rPr>
        <w:t> </w:t>
      </w:r>
      <w:r>
        <w:rPr>
          <w:spacing w:val="-26"/>
        </w:rPr>
      </w:r>
      <w:r>
        <w:rPr/>
        <w:t>于可转债转股价格调整的公告》（公告编号：</w:t>
      </w:r>
      <w:r>
        <w:rPr>
          <w:rFonts w:ascii="Times New Roman" w:hAnsi="Times New Roman" w:cs="Times New Roman" w:eastAsia="Times New Roman" w:hint="default"/>
        </w:rPr>
        <w:t>2017-091</w:t>
      </w:r>
      <w:r>
        <w:rPr/>
        <w:t>）。</w:t>
      </w:r>
      <w:r>
        <w:rPr>
          <w:w w:val="99"/>
        </w:rPr>
        <w:t> </w:t>
      </w:r>
      <w:r>
        <w:rPr>
          <w:rFonts w:ascii="Times New Roman" w:hAnsi="Times New Roman" w:cs="Times New Roman" w:eastAsia="Times New Roman" w:hint="default"/>
        </w:rPr>
        <w:t>2</w:t>
      </w:r>
      <w:r>
        <w:rPr/>
        <w:t>、根据相关规定和《募集说明书》，公司本次发行的可转债自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日起可转换为公司股份。具体情况详见</w:t>
      </w:r>
      <w:r>
        <w:rPr>
          <w:rFonts w:ascii="Times New Roman" w:hAnsi="Times New Roman" w:cs="Times New Roman" w:eastAsia="Times New Roman" w:hint="default"/>
        </w:rPr>
        <w:t>2017</w:t>
      </w:r>
      <w:r>
        <w:rPr/>
        <w:t>年</w:t>
      </w:r>
    </w:p>
    <w:p>
      <w:pPr>
        <w:pStyle w:val="BodyText"/>
        <w:spacing w:line="300" w:lineRule="auto" w:before="13"/>
        <w:ind w:right="1204"/>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日的信息披露媒体《中国证券报》《证券时报》和巨潮资讯网</w:t>
      </w:r>
      <w:hyperlink r:id="rId31">
        <w:r>
          <w:rPr>
            <w:rFonts w:ascii="Times New Roman" w:hAnsi="Times New Roman" w:cs="Times New Roman" w:eastAsia="Times New Roman" w:hint="default"/>
          </w:rPr>
          <w:t>www.cninfo.com.cn</w:t>
        </w:r>
        <w:r>
          <w:rPr/>
          <w:t>上披露的《关于久其转债开始转股</w:t>
        </w:r>
      </w:hyperlink>
      <w:r>
        <w:rPr>
          <w:w w:val="99"/>
        </w:rPr>
        <w:t> </w:t>
      </w:r>
      <w:r>
        <w:rPr/>
        <w:t>的提示性公告》（公告编号：</w:t>
      </w:r>
      <w:r>
        <w:rPr>
          <w:rFonts w:ascii="Times New Roman" w:hAnsi="Times New Roman" w:cs="Times New Roman" w:eastAsia="Times New Roman" w:hint="default"/>
        </w:rPr>
        <w:t>2017-113</w:t>
      </w:r>
      <w:r>
        <w:rPr/>
        <w:t>）。</w:t>
      </w:r>
    </w:p>
    <w:p>
      <w:pPr>
        <w:spacing w:line="240" w:lineRule="auto" w:before="4"/>
        <w:rPr>
          <w:rFonts w:ascii="宋体" w:hAnsi="宋体" w:cs="宋体" w:eastAsia="宋体" w:hint="default"/>
          <w:sz w:val="20"/>
          <w:szCs w:val="20"/>
        </w:rPr>
      </w:pPr>
    </w:p>
    <w:p>
      <w:pPr>
        <w:pStyle w:val="Heading2"/>
        <w:spacing w:line="240" w:lineRule="auto"/>
        <w:ind w:right="983"/>
        <w:jc w:val="left"/>
        <w:rPr>
          <w:b w:val="0"/>
          <w:bCs w:val="0"/>
        </w:rPr>
      </w:pPr>
      <w:bookmarkStart w:name="十三、公司债券是否存在保证人" w:id="166"/>
      <w:bookmarkEnd w:id="166"/>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7" w:right="983"/>
        <w:jc w:val="left"/>
        <w:rPr>
          <w:b w:val="0"/>
          <w:bCs w:val="0"/>
        </w:rPr>
      </w:pPr>
      <w:bookmarkStart w:name="第十一节 财务报告" w:id="167"/>
      <w:bookmarkEnd w:id="167"/>
      <w:r>
        <w:rPr>
          <w:b w:val="0"/>
          <w:bCs w:val="0"/>
        </w:rPr>
      </w:r>
      <w:bookmarkStart w:name="_bookmark10" w:id="168"/>
      <w:bookmarkEnd w:id="16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83"/>
        <w:jc w:val="left"/>
        <w:rPr>
          <w:b w:val="0"/>
          <w:bCs w:val="0"/>
        </w:rPr>
      </w:pPr>
      <w:bookmarkStart w:name="一、审计报告" w:id="169"/>
      <w:bookmarkEnd w:id="16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ZG10981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张军书、胡碟</w:t>
            </w:r>
          </w:p>
        </w:tc>
      </w:tr>
    </w:tbl>
    <w:p>
      <w:pPr>
        <w:pStyle w:val="BodyText"/>
        <w:spacing w:line="357" w:lineRule="auto" w:before="51"/>
        <w:ind w:left="4434" w:right="5410"/>
        <w:jc w:val="center"/>
      </w:pPr>
      <w:r>
        <w:rPr/>
        <w:t>审计报告正文 审计报告</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10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21"/>
        <w:ind w:right="-19"/>
        <w:jc w:val="left"/>
      </w:pPr>
      <w:r>
        <w:rPr/>
        <w:t>北京久其软件股份有限公司全体股东： 一、审计意见</w:t>
      </w:r>
    </w:p>
    <w:p>
      <w:pPr>
        <w:pStyle w:val="BodyText"/>
        <w:spacing w:line="240" w:lineRule="auto" w:before="44"/>
        <w:ind w:right="0"/>
        <w:jc w:val="left"/>
      </w:pPr>
      <w:r>
        <w:rPr/>
        <w:br w:type="column"/>
      </w:r>
      <w:r>
        <w:rPr/>
        <w:t>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ZG10981</w:t>
      </w:r>
      <w:r>
        <w:rPr/>
        <w:t>号</w:t>
      </w:r>
    </w:p>
    <w:p>
      <w:pPr>
        <w:spacing w:after="0" w:line="240" w:lineRule="auto"/>
        <w:jc w:val="left"/>
        <w:sectPr>
          <w:type w:val="continuous"/>
          <w:pgSz w:w="11910" w:h="16840"/>
          <w:pgMar w:top="1060" w:bottom="1160" w:left="980" w:right="0"/>
          <w:cols w:num="2" w:equalWidth="0">
            <w:col w:w="3215" w:space="3995"/>
            <w:col w:w="3720"/>
          </w:cols>
        </w:sectPr>
      </w:pPr>
    </w:p>
    <w:p>
      <w:pPr>
        <w:pStyle w:val="BodyText"/>
        <w:spacing w:line="300" w:lineRule="auto" w:before="19"/>
        <w:ind w:right="1051" w:firstLine="506"/>
        <w:jc w:val="both"/>
      </w:pPr>
      <w:r>
        <w:rPr/>
        <w:t>我们审计了北京久其软件股份有限公司（以下简称久其软件）财务报表，包括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 债表，</w:t>
      </w:r>
      <w:r>
        <w:rPr>
          <w:rFonts w:ascii="Times New Roman" w:hAnsi="Times New Roman" w:cs="Times New Roman" w:eastAsia="Times New Roman" w:hint="default"/>
        </w:rPr>
        <w:t>2017</w:t>
      </w:r>
      <w:r>
        <w:rPr/>
        <w:t>年度的合并及母公司利润表、合并及母公司现金流量表、合并及母公司股东权益变动表以及相关财务报表附注。</w:t>
      </w:r>
    </w:p>
    <w:p>
      <w:pPr>
        <w:pStyle w:val="BodyText"/>
        <w:spacing w:line="300" w:lineRule="auto" w:before="13"/>
        <w:ind w:right="1132" w:firstLine="506"/>
        <w:jc w:val="both"/>
      </w:pPr>
      <w:r>
        <w:rPr>
          <w:spacing w:val="-1"/>
        </w:rPr>
        <w:t>我们认为，后附的财务报表在所有重大方面按照企业会计准则的规定编制，公允反映了久其软件</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w:t>
      </w:r>
      <w:r>
        <w:rPr/>
        <w:t> 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660" w:right="983" w:hanging="507"/>
        <w:jc w:val="left"/>
      </w:pPr>
      <w:r>
        <w:rPr/>
        <w:t>二、形成审计意见的基础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w:t>
      </w:r>
    </w:p>
    <w:p>
      <w:pPr>
        <w:pStyle w:val="BodyText"/>
        <w:spacing w:line="316" w:lineRule="auto"/>
        <w:ind w:right="983"/>
        <w:jc w:val="left"/>
      </w:pPr>
      <w:r>
        <w:rPr>
          <w:spacing w:val="-2"/>
        </w:rPr>
        <w:t>步阐述了我们在这些准则下的责任。按照中国注册会计师职业道德守则，我们独立于久其软件，并履行了职业道德方面的其</w:t>
      </w:r>
      <w:r>
        <w:rPr>
          <w:spacing w:val="-66"/>
        </w:rPr>
        <w:t> </w:t>
      </w:r>
      <w:r>
        <w:rPr>
          <w:spacing w:val="-66"/>
        </w:rPr>
      </w:r>
      <w:r>
        <w:rPr/>
        <w:t>他责任。我们相信，我们获取的审计证据是充分、适当的，为发表审计意见提供了基础。</w:t>
      </w:r>
    </w:p>
    <w:p>
      <w:pPr>
        <w:pStyle w:val="BodyText"/>
        <w:spacing w:line="240" w:lineRule="auto" w:before="19"/>
        <w:ind w:right="983"/>
        <w:jc w:val="left"/>
      </w:pPr>
      <w:r>
        <w:rPr/>
        <w:t>三、关键审计事项</w:t>
      </w:r>
    </w:p>
    <w:p>
      <w:pPr>
        <w:pStyle w:val="BodyText"/>
        <w:spacing w:line="316" w:lineRule="auto" w:before="76"/>
        <w:ind w:right="1132" w:firstLine="506"/>
        <w:jc w:val="both"/>
      </w:pPr>
      <w:r>
        <w:rPr>
          <w:spacing w:val="-1"/>
        </w:rPr>
        <w:t>关键审计事项是我们根据职业判断，认为对本期财务报表审计最为重要的事项。这些事项的应对以对财务报表整体进</w:t>
      </w:r>
      <w:r>
        <w:rPr/>
        <w:t> </w:t>
      </w: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BodyText"/>
        <w:spacing w:line="240" w:lineRule="auto" w:before="19"/>
        <w:ind w:left="154" w:right="983"/>
        <w:jc w:val="left"/>
      </w:pPr>
      <w:r>
        <w:rPr/>
        <w:t>（一）商誉减值</w:t>
      </w:r>
    </w:p>
    <w:p>
      <w:pPr>
        <w:pStyle w:val="BodyText"/>
        <w:spacing w:line="300" w:lineRule="auto" w:before="76"/>
        <w:ind w:right="1132" w:firstLine="506"/>
        <w:jc w:val="both"/>
      </w:pPr>
      <w:r>
        <w:rPr>
          <w:spacing w:val="-1"/>
        </w:rPr>
        <w:t>商誉减值的会计政策详情及分析请参阅合并财务报表附注</w:t>
      </w:r>
      <w:r>
        <w:rPr>
          <w:rFonts w:ascii="Times New Roman" w:hAnsi="Times New Roman" w:cs="Times New Roman" w:eastAsia="Times New Roman" w:hint="default"/>
          <w:spacing w:val="-1"/>
        </w:rPr>
        <w:t>“</w:t>
      </w:r>
      <w:r>
        <w:rPr>
          <w:spacing w:val="-1"/>
        </w:rPr>
        <w:t>三、重要会计政策和会计估计</w:t>
      </w:r>
      <w:r>
        <w:rPr>
          <w:rFonts w:ascii="Times New Roman" w:hAnsi="Times New Roman" w:cs="Times New Roman" w:eastAsia="Times New Roman" w:hint="default"/>
          <w:spacing w:val="-1"/>
        </w:rPr>
        <w:t>”</w:t>
      </w:r>
      <w:r>
        <w:rPr>
          <w:spacing w:val="-1"/>
        </w:rPr>
        <w:t>注释（二十）所述的会计政</w:t>
      </w:r>
      <w:r>
        <w:rPr/>
        <w:t> 策及</w:t>
      </w:r>
      <w:r>
        <w:rPr>
          <w:rFonts w:ascii="Times New Roman" w:hAnsi="Times New Roman" w:cs="Times New Roman" w:eastAsia="Times New Roman" w:hint="default"/>
        </w:rPr>
        <w:t>“</w:t>
      </w:r>
      <w:r>
        <w:rPr/>
        <w:t>五、合并财务报表项目附注</w:t>
      </w:r>
      <w:r>
        <w:rPr>
          <w:rFonts w:ascii="Times New Roman" w:hAnsi="Times New Roman" w:cs="Times New Roman" w:eastAsia="Times New Roman" w:hint="default"/>
        </w:rPr>
        <w:t>”</w:t>
      </w:r>
      <w:r>
        <w:rPr/>
        <w:t>注释十七。</w:t>
      </w:r>
    </w:p>
    <w:p>
      <w:pPr>
        <w:pStyle w:val="BodyText"/>
        <w:spacing w:line="240" w:lineRule="auto" w:before="13"/>
        <w:ind w:left="660" w:right="983"/>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日，久其软件商誉的账面原值合计人民币</w:t>
      </w:r>
      <w:r>
        <w:rPr>
          <w:rFonts w:ascii="Times New Roman" w:hAnsi="Times New Roman" w:cs="Times New Roman" w:eastAsia="Times New Roman" w:hint="default"/>
        </w:rPr>
        <w:t>168,103.15</w:t>
      </w:r>
      <w:r>
        <w:rPr/>
        <w:t>万元，相应的减值准备余额为人民币</w:t>
      </w:r>
      <w:r>
        <w:rPr>
          <w:rFonts w:ascii="Times New Roman" w:hAnsi="Times New Roman" w:cs="Times New Roman" w:eastAsia="Times New Roman" w:hint="default"/>
        </w:rPr>
        <w:t>240.10</w:t>
      </w:r>
      <w:r>
        <w:rPr/>
        <w:t>万</w:t>
      </w:r>
    </w:p>
    <w:p>
      <w:pPr>
        <w:pStyle w:val="BodyText"/>
        <w:spacing w:line="240" w:lineRule="auto" w:before="63"/>
        <w:ind w:left="154" w:right="983"/>
        <w:jc w:val="left"/>
      </w:pPr>
      <w:r>
        <w:rPr/>
        <w:t>元。</w:t>
      </w:r>
    </w:p>
    <w:p>
      <w:pPr>
        <w:pStyle w:val="BodyText"/>
        <w:spacing w:line="240" w:lineRule="auto" w:before="76"/>
        <w:ind w:left="660" w:right="983"/>
        <w:jc w:val="left"/>
      </w:pPr>
      <w:r>
        <w:rPr/>
        <w:t>管理层在每年年度终了对商誉进行减值测试，并依据减值测试的结果调整商誉的账面价值。减值测试是依据所编制的</w:t>
      </w:r>
    </w:p>
    <w:p>
      <w:pPr>
        <w:pStyle w:val="BodyText"/>
        <w:spacing w:line="316" w:lineRule="auto" w:before="76"/>
        <w:ind w:left="154" w:right="983"/>
        <w:jc w:val="left"/>
      </w:pPr>
      <w:r>
        <w:rPr>
          <w:spacing w:val="-2"/>
        </w:rPr>
        <w:t>折现现金流预测而估计商誉的使用价值。折现现金流预测的编制涉及运用重大判断和估计，特别是确定收入增长率、永续增</w:t>
      </w:r>
      <w:r>
        <w:rPr>
          <w:spacing w:val="-66"/>
        </w:rPr>
        <w:t> </w:t>
      </w:r>
      <w:r>
        <w:rPr>
          <w:spacing w:val="-66"/>
        </w:rPr>
      </w:r>
      <w:r>
        <w:rPr/>
        <w:t>长率、成本上涨，以及确定所应用的风险调整折现率时均存在固有不确定性和可能受到管理层偏好的影响。</w:t>
      </w:r>
    </w:p>
    <w:p>
      <w:pPr>
        <w:pStyle w:val="BodyText"/>
        <w:spacing w:line="319" w:lineRule="auto" w:before="19"/>
        <w:ind w:right="983" w:firstLine="578"/>
        <w:jc w:val="left"/>
      </w:pPr>
      <w:r>
        <w:rPr>
          <w:spacing w:val="-1"/>
        </w:rPr>
        <w:t>由于商誉的减值预测和折现未来现金流量涉及固有不确定性，以及管理层在选用假设和估计时可能出现偏好的风险，</w:t>
      </w:r>
      <w:r>
        <w:rPr/>
        <w:t> 我们将评估商誉的减值视为久其软件的关键审计事项。</w:t>
      </w:r>
    </w:p>
    <w:p>
      <w:pPr>
        <w:pStyle w:val="BodyText"/>
        <w:spacing w:line="240" w:lineRule="auto" w:before="17"/>
        <w:ind w:left="732" w:right="983"/>
        <w:jc w:val="left"/>
      </w:pPr>
      <w:r>
        <w:rPr/>
        <w:t>与商誉减值有关的审计程序包括：</w:t>
      </w:r>
    </w:p>
    <w:p>
      <w:pPr>
        <w:pStyle w:val="BodyText"/>
        <w:spacing w:line="300" w:lineRule="auto" w:before="76"/>
        <w:ind w:left="154" w:right="983" w:firstLine="578"/>
        <w:jc w:val="left"/>
      </w:pPr>
      <w:r>
        <w:rPr>
          <w:rFonts w:ascii="Times New Roman" w:hAnsi="Times New Roman" w:cs="Times New Roman" w:eastAsia="Times New Roman" w:hint="default"/>
          <w:spacing w:val="-1"/>
        </w:rPr>
        <w:t>1</w:t>
      </w:r>
      <w:r>
        <w:rPr>
          <w:spacing w:val="-1"/>
        </w:rPr>
        <w:t>、我们评估及测试了与商誉减值测试相关的内部控制的设计及执行有效性，包括关键假设的采用及减值计提金额的</w:t>
      </w:r>
      <w:r>
        <w:rPr/>
        <w:t> 复核及审批；</w:t>
      </w:r>
    </w:p>
    <w:p>
      <w:pPr>
        <w:spacing w:after="0" w:line="300" w:lineRule="auto"/>
        <w:jc w:val="left"/>
        <w:sectPr>
          <w:type w:val="continuous"/>
          <w:pgSz w:w="11910" w:h="16840"/>
          <w:pgMar w:top="106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732" w:right="983"/>
        <w:jc w:val="left"/>
      </w:pPr>
      <w:r>
        <w:rPr>
          <w:rFonts w:ascii="Times New Roman" w:hAnsi="Times New Roman" w:cs="Times New Roman" w:eastAsia="Times New Roman" w:hint="default"/>
        </w:rPr>
        <w:t>2</w:t>
      </w:r>
      <w:r>
        <w:rPr/>
        <w:t>、评价管理层委聘的外部估值专家的胜任能力、专业素质和客观性；</w:t>
      </w:r>
    </w:p>
    <w:p>
      <w:pPr>
        <w:pStyle w:val="BodyText"/>
        <w:spacing w:line="240" w:lineRule="auto" w:before="63"/>
        <w:ind w:left="732" w:right="983"/>
        <w:jc w:val="left"/>
      </w:pPr>
      <w:r>
        <w:rPr>
          <w:rFonts w:ascii="Times New Roman" w:hAnsi="Times New Roman" w:cs="Times New Roman" w:eastAsia="Times New Roman" w:hint="default"/>
        </w:rPr>
        <w:t>3</w:t>
      </w:r>
      <w:r>
        <w:rPr/>
        <w:t>、通过参考行业惯例，评估了管理层进行现金流量预测时使用的估值方法的适当性；</w:t>
      </w:r>
    </w:p>
    <w:p>
      <w:pPr>
        <w:pStyle w:val="BodyText"/>
        <w:spacing w:line="300" w:lineRule="auto" w:before="63"/>
        <w:ind w:left="154" w:right="1084" w:firstLine="578"/>
        <w:jc w:val="left"/>
      </w:pPr>
      <w:r>
        <w:rPr>
          <w:rFonts w:ascii="Times New Roman" w:hAnsi="Times New Roman" w:cs="Times New Roman" w:eastAsia="Times New Roman" w:hint="default"/>
        </w:rPr>
        <w:t>4</w:t>
      </w:r>
      <w:r>
        <w:rPr/>
        <w:t>、通过将收入增长率、永续增长率和成本上涨等关键输入值与过往业绩、管理层预算和预测及行业报告进行比较， 审慎评价编制折现现金流预测中采用的关键假设及判断；</w:t>
      </w:r>
    </w:p>
    <w:p>
      <w:pPr>
        <w:pStyle w:val="BodyText"/>
        <w:spacing w:line="300" w:lineRule="auto" w:before="32"/>
        <w:ind w:left="154" w:right="983" w:firstLine="578"/>
        <w:jc w:val="left"/>
      </w:pPr>
      <w:r>
        <w:rPr>
          <w:rFonts w:ascii="Times New Roman" w:hAnsi="Times New Roman" w:cs="Times New Roman" w:eastAsia="Times New Roman" w:hint="default"/>
          <w:spacing w:val="-1"/>
        </w:rPr>
        <w:t>5</w:t>
      </w:r>
      <w:r>
        <w:rPr>
          <w:spacing w:val="-1"/>
        </w:rPr>
        <w:t>、基于同行业可比公司的市场数据重新计算折现率，并将我们的计算结果与管理层计算预计未来现金流量现值时采</w:t>
      </w:r>
      <w:r>
        <w:rPr/>
        <w:t> 用的折现率进行比较，以评价其计算预计未来现金流量现值时采用的折现率；</w:t>
      </w:r>
    </w:p>
    <w:p>
      <w:pPr>
        <w:pStyle w:val="BodyText"/>
        <w:spacing w:line="300" w:lineRule="auto" w:before="31"/>
        <w:ind w:left="154" w:right="983" w:firstLine="578"/>
        <w:jc w:val="left"/>
      </w:pPr>
      <w:r>
        <w:rPr>
          <w:rFonts w:ascii="Times New Roman" w:hAnsi="Times New Roman" w:cs="Times New Roman" w:eastAsia="Times New Roman" w:hint="default"/>
          <w:spacing w:val="-1"/>
        </w:rPr>
        <w:t>6</w:t>
      </w:r>
      <w:r>
        <w:rPr>
          <w:spacing w:val="-1"/>
        </w:rPr>
        <w:t>、对预测收入和采用的折现率等关键假设进行敏感性分析，以评价关键假设的变化对减值评估结果的影响以及考虑</w:t>
      </w:r>
      <w:r>
        <w:rPr/>
        <w:t> 对关键假设的选择是否存在管理层偏向的迹象；</w:t>
      </w:r>
    </w:p>
    <w:p>
      <w:pPr>
        <w:pStyle w:val="BodyText"/>
        <w:spacing w:line="300" w:lineRule="auto" w:before="31"/>
        <w:ind w:right="1445" w:firstLine="578"/>
        <w:jc w:val="left"/>
      </w:pPr>
      <w:r>
        <w:rPr>
          <w:rFonts w:ascii="Times New Roman" w:hAnsi="Times New Roman" w:cs="Times New Roman" w:eastAsia="Times New Roman" w:hint="default"/>
        </w:rPr>
        <w:t>7</w:t>
      </w:r>
      <w:r>
        <w:rPr/>
        <w:t>、通过对比上一年度的预测和本年度的业绩进行追溯性审核，以评估管理层预测过程的可靠性和历史准确性。 四、其他信息</w:t>
      </w:r>
    </w:p>
    <w:p>
      <w:pPr>
        <w:pStyle w:val="BodyText"/>
        <w:spacing w:line="300" w:lineRule="auto" w:before="31"/>
        <w:ind w:right="1175" w:firstLine="578"/>
        <w:jc w:val="left"/>
      </w:pPr>
      <w:r>
        <w:rPr/>
        <w:t>久其软件管理层（以下简称管理层）对其他信息负责。其他信息包括久其软件</w:t>
      </w:r>
      <w:r>
        <w:rPr>
          <w:rFonts w:ascii="Times New Roman" w:hAnsi="Times New Roman" w:cs="Times New Roman" w:eastAsia="Times New Roman" w:hint="default"/>
        </w:rPr>
        <w:t>2017</w:t>
      </w:r>
      <w:r>
        <w:rPr/>
        <w:t>年年度报告中涵盖的信息，但不 包括财务报表和我们的审计报告。</w:t>
      </w:r>
    </w:p>
    <w:p>
      <w:pPr>
        <w:pStyle w:val="BodyText"/>
        <w:spacing w:line="316" w:lineRule="auto" w:before="31"/>
        <w:ind w:left="660" w:right="1117"/>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660" w:right="983" w:hanging="507"/>
        <w:jc w:val="left"/>
      </w:pPr>
      <w:r>
        <w:rPr/>
        <w:t>过程中了解到的情况存在重大不一致或者似乎存在重大错报。 </w:t>
      </w:r>
      <w:r>
        <w:rPr>
          <w:spacing w:val="-2"/>
        </w:rPr>
        <w:t>基于我们已执行的工作，如果我们确定其他信息存在重大错报，我们应当报告该事实。在这方面，我们无任何事项需</w:t>
      </w:r>
    </w:p>
    <w:p>
      <w:pPr>
        <w:pStyle w:val="BodyText"/>
        <w:spacing w:line="316" w:lineRule="auto" w:before="19"/>
        <w:ind w:left="154" w:right="7692"/>
        <w:jc w:val="left"/>
      </w:pPr>
      <w:r>
        <w:rPr/>
        <w:t>要报告。 五、管理层和治理层对财务报表的责任</w:t>
      </w:r>
    </w:p>
    <w:p>
      <w:pPr>
        <w:pStyle w:val="BodyText"/>
        <w:spacing w:line="316" w:lineRule="auto" w:before="19"/>
        <w:ind w:left="154" w:right="1138" w:firstLine="434"/>
        <w:jc w:val="left"/>
      </w:pPr>
      <w:r>
        <w:rPr/>
        <w:t>管理层负责按照企业会计准则的规定编制财务报表，使其实现公允反映，并设计、执行和维护必要的内部控制，以使 财务报表不存在由于舞弊或错误导致的重大错报。</w:t>
      </w:r>
    </w:p>
    <w:p>
      <w:pPr>
        <w:pStyle w:val="BodyText"/>
        <w:spacing w:line="316" w:lineRule="auto" w:before="19"/>
        <w:ind w:left="154" w:right="1138" w:firstLine="434"/>
        <w:jc w:val="left"/>
      </w:pPr>
      <w:r>
        <w:rPr/>
        <w:t>在编制财务报表时，管理层负责评估久其软件的持续经营能力，披露与持续经营相关的事项（如适用），并运用持续 经营假设，除非计划进行清算、终止运营或别无其他现实的选择。</w:t>
      </w:r>
    </w:p>
    <w:p>
      <w:pPr>
        <w:pStyle w:val="BodyText"/>
        <w:spacing w:line="316" w:lineRule="auto" w:before="19"/>
        <w:ind w:right="6899" w:firstLine="434"/>
        <w:jc w:val="left"/>
      </w:pPr>
      <w:r>
        <w:rPr/>
        <w:t>治理层负责监督久其软件的财务报告过程。 六、注册会计师对财务报表审计的责任</w:t>
      </w:r>
    </w:p>
    <w:p>
      <w:pPr>
        <w:pStyle w:val="BodyText"/>
        <w:spacing w:line="316" w:lineRule="auto" w:before="19"/>
        <w:ind w:right="1130" w:firstLine="506"/>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3"/>
        </w:rPr>
        <w:t> </w:t>
      </w:r>
      <w:r>
        <w:rPr>
          <w:spacing w:val="-63"/>
        </w:rPr>
      </w:r>
      <w:r>
        <w:rPr/>
        <w:t>是重大的。</w:t>
      </w:r>
    </w:p>
    <w:p>
      <w:pPr>
        <w:pStyle w:val="BodyText"/>
        <w:spacing w:line="240" w:lineRule="auto" w:before="19"/>
        <w:ind w:left="660" w:right="983"/>
        <w:jc w:val="left"/>
      </w:pPr>
      <w:r>
        <w:rPr/>
        <w:t>在按照审计准则执行审计工作的过程中，我们运用职业判断，并保持职业怀疑。同时，我们也执行以下工作：</w:t>
      </w:r>
    </w:p>
    <w:p>
      <w:pPr>
        <w:pStyle w:val="BodyText"/>
        <w:spacing w:line="309" w:lineRule="auto" w:before="76"/>
        <w:ind w:right="1033" w:firstLine="29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444" w:right="98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444" w:right="98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983" w:firstLine="29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）对管理层使用持续经营假设的恰当性得出结论。同时，根据获取的审计证据，就可能导致对久其软件持续经营能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于截至审计报告日可获得的信息。然而，未来的事项或情况可能导致久其软件不能持续经营。</w:t>
      </w:r>
    </w:p>
    <w:p>
      <w:pPr>
        <w:pStyle w:val="BodyText"/>
        <w:spacing w:line="240" w:lineRule="auto" w:before="22"/>
        <w:ind w:left="444" w:right="983"/>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93" w:firstLine="290"/>
        <w:jc w:val="left"/>
      </w:pPr>
      <w:r>
        <w:rPr/>
        <w:t>（</w:t>
      </w:r>
      <w:r>
        <w:rPr>
          <w:rFonts w:ascii="Times New Roman" w:hAnsi="Times New Roman" w:cs="Times New Roman" w:eastAsia="Times New Roman" w:hint="default"/>
        </w:rPr>
        <w:t>6</w:t>
      </w:r>
      <w:r>
        <w:rPr/>
        <w:t>）就久其软件中实体或业务活动的财务信息获取充分、适当的审计证据，以对财务报表发表审计意见。我们负责指 导、监督和执行集团审计，并对审计意见承担全部责任。</w:t>
      </w:r>
    </w:p>
    <w:p>
      <w:pPr>
        <w:pStyle w:val="BodyText"/>
        <w:spacing w:line="316" w:lineRule="auto" w:before="31"/>
        <w:ind w:left="154" w:right="1117" w:firstLine="506"/>
        <w:jc w:val="left"/>
      </w:pPr>
      <w:r>
        <w:rPr>
          <w:spacing w:val="-1"/>
        </w:rPr>
        <w:t>我们与治理层就计划的审计范围、时间安排和重大审计发现等事项进行沟通，包括沟通我们在审计中识别出的值得关</w:t>
      </w:r>
      <w:r>
        <w:rPr/>
        <w:t> 注的内部控制缺陷。</w:t>
      </w:r>
    </w:p>
    <w:p>
      <w:pPr>
        <w:pStyle w:val="BodyText"/>
        <w:spacing w:line="240" w:lineRule="auto" w:before="19"/>
        <w:ind w:left="660" w:right="983"/>
        <w:jc w:val="left"/>
      </w:pPr>
      <w:r>
        <w:rPr/>
        <w:t>我们还就已遵守与独立性相关的职业道德要求向治理层提供声明，并与治理层沟通可能被合理认为影响我们独立性的</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660" w:right="1117" w:hanging="507"/>
        <w:jc w:val="left"/>
      </w:pPr>
      <w:r>
        <w:rPr/>
        <w:t>所有关系和其他事项，以及相关的防范措施（如适用）。 </w:t>
      </w:r>
      <w:r>
        <w:rPr>
          <w:spacing w:val="-1"/>
        </w:rPr>
        <w:t>从与治理层沟通过的事项中，我们确定哪些事项对本期财务报表审计最为重要，因而构成关键审计事项。我们在审计</w:t>
      </w:r>
    </w:p>
    <w:p>
      <w:pPr>
        <w:pStyle w:val="BodyText"/>
        <w:spacing w:line="316" w:lineRule="auto" w:before="19"/>
        <w:ind w:right="983"/>
        <w:jc w:val="left"/>
      </w:pP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4414" w:val="left" w:leader="none"/>
        </w:tabs>
        <w:spacing w:line="636" w:lineRule="auto"/>
        <w:ind w:right="3269"/>
        <w:jc w:val="left"/>
      </w:pPr>
      <w:r>
        <w:rPr/>
        <w:t>立信会计师事务所（特殊普通合伙）</w:t>
        <w:tab/>
        <w:t>中国注册会计师：张军书（项目合伙人） </w:t>
      </w:r>
      <w:r>
        <w:rPr>
          <w:spacing w:val="-1"/>
        </w:rPr>
        <w:t>中国</w:t>
      </w:r>
      <w:r>
        <w:rPr>
          <w:rFonts w:ascii="Times New Roman" w:hAnsi="Times New Roman" w:cs="Times New Roman" w:eastAsia="Times New Roman" w:hint="default"/>
          <w:spacing w:val="-1"/>
        </w:rPr>
        <w:t>•</w:t>
      </w:r>
      <w:r>
        <w:rPr>
          <w:spacing w:val="-1"/>
        </w:rPr>
        <w:t>上海</w:t>
        <w:tab/>
        <w:t>中国注册会计师：胡碟</w:t>
      </w:r>
    </w:p>
    <w:p>
      <w:pPr>
        <w:pStyle w:val="BodyText"/>
        <w:spacing w:line="240" w:lineRule="auto" w:before="46"/>
        <w:ind w:left="0" w:right="113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983"/>
        <w:jc w:val="left"/>
        <w:rPr>
          <w:b w:val="0"/>
          <w:bCs w:val="0"/>
        </w:rPr>
      </w:pPr>
      <w:bookmarkStart w:name="二、财务报表" w:id="170"/>
      <w:bookmarkEnd w:id="17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983"/>
        <w:jc w:val="left"/>
        <w:rPr>
          <w:b w:val="0"/>
          <w:bCs w:val="0"/>
        </w:rPr>
      </w:pPr>
      <w:bookmarkStart w:name="1、合并资产负债表" w:id="171"/>
      <w:bookmarkEnd w:id="17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19"/>
        <w:jc w:val="left"/>
      </w:pPr>
      <w:r>
        <w:rPr/>
        <w:t>编制单位：北京久其软件股份有限公司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2"/>
            <w:col w:w="1639" w:space="3203"/>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932,948,125.31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708,631,055.66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5,920,623.00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488,216,872.31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305,783,701.00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44,464,060.78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44,084,001.60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253,120,711.94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66,531,750.42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1,075,506.77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92,379,870.29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64,047,417.71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56,658,351.64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65,740,578.60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573,532,599.01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14,876,371.88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2,442,546,098.05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1,275,615,499.87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133,658,047.63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90,620,388.98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29,455,657.20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30,388,938.12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234,522,059.54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230,771,796.04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50,514,159.99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20,381,055.43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122,775,051.70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101,588,039.02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4,719,806.98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1,678,630,539.32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1,033,371,142.50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5,022,652.76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4,853,505.89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3,630,517.14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3,560,458.80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2,265,206,688.22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1,520,255,131.76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4,707,752,786.27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2,795,870,631.63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185,825,300.00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80,424,800.00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3,427,232.00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217,539,788.59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101,283,412.07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112,939,472.36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138,418,655.24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100,783,449.01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91,834,922.56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45,379,181.33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28,637,800.01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1,488,394.40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268,719.75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631,307,930.77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152,994,115.99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1,298,690,748.46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593,962,425.62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628,609,066.64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13,861,358.79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18,310,303.15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2,730,030.00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645,200,455.43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18,310,303.15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1,943,891,203.89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612,272,728.77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710,727,417.00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541,491,950.00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154,607,862.97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891,956,409.25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1,010,822,944.77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43,131,880.00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-989,779.34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1,302,230.62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72,495,704.44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61,567,741.04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828,390,827.75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548,613,579.60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2,614,056,562.07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2,163,798,446.03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149,805,020.31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19,799,456.83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2,763,861,582.38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2,183,597,902.86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4,707,752,786.27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2,795,870,631.63</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法定代表人：赵福君</w:t>
        <w:tab/>
        <w:t>主管会计工作负责人：邱安超</w:t>
        <w:tab/>
        <w:t>会计机构负责人：丁丹</w:t>
      </w:r>
    </w:p>
    <w:p>
      <w:pPr>
        <w:spacing w:line="240" w:lineRule="auto" w:before="11"/>
        <w:rPr>
          <w:rFonts w:ascii="宋体" w:hAnsi="宋体" w:cs="宋体" w:eastAsia="宋体" w:hint="default"/>
          <w:sz w:val="26"/>
          <w:szCs w:val="26"/>
        </w:rPr>
      </w:pPr>
    </w:p>
    <w:p>
      <w:pPr>
        <w:pStyle w:val="Heading3"/>
        <w:spacing w:line="240" w:lineRule="auto"/>
        <w:ind w:left="153" w:right="983"/>
        <w:jc w:val="left"/>
        <w:rPr>
          <w:b w:val="0"/>
          <w:bCs w:val="0"/>
        </w:rPr>
      </w:pPr>
      <w:bookmarkStart w:name="2、母公司资产负债表" w:id="172"/>
      <w:bookmarkEnd w:id="17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215,982,082.59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299,945,116.33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111,270,185.87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92,765,533.09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10,813,045.49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12,562,054.27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59,662,533.23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56,963,370.21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1,921,889.20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749,649,736.38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462,236,073.90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4,998,002.94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2,799,343,722.21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1,611,853,813.56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130,028,206.87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129,382,565.44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74,858,361.14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66,306,008.24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4,719,806.98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3,643,137.30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3,990,102.78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2,286,000.33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2,528,977.68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3,015,157,430.79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1,818,781,274.68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3,764,807,167.17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2,281,017,348.58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85,825,300.00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80,374,800.00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5,967,666.13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7,069,136.51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7,083,131.40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12,406,380.88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56,285,934.33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58,948,122.12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16,332,943.68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14,293,041.33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1,488,394.40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268,719.75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754,950,786.94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150,036,097.82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927,934,156.88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323,396,298.41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628,609,066.64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13,741,137.46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17,984,619.46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642,350,204.10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17,984,619.46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1,570,284,360.98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341,380,917.87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710,727,417.00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541,491,950.00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154,607,862.97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894,008,375.35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1,012,874,910.87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43,131,880.00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72,495,704.44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61,567,741.04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899994pt;margin-top:653.829956pt;width:156.950pt;height:20.8pt;mso-position-horizontal-relative:page;mso-position-vertical-relative:page;z-index:-1057192" coordorigin="4258,13077" coordsize="3139,416">
            <v:group style="position:absolute;left:4269;top:13088;width:2;height:393" coordorigin="4269,13088" coordsize="2,393">
              <v:shape style="position:absolute;left:4269;top:13088;width:2;height:393" coordorigin="4269,13088" coordsize="0,393" path="m4269,13088l4269,13480e" filled="false" stroked="true" strokeweight="1.140pt" strokecolor="#ffffff">
                <v:path arrowok="t"/>
              </v:shape>
            </v:group>
            <v:group style="position:absolute;left:4281;top:13088;width:3116;height:393" coordorigin="4281,13088" coordsize="3116,393">
              <v:shape style="position:absolute;left:4281;top:13088;width:3116;height:393" coordorigin="4281,13088" coordsize="3116,393" path="m4281,13480l7396,13480,7396,13088,4281,13088,4281,1348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405,815,326.43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323,701,828.80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2,194,522,806.19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1,939,636,430.71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3,764,807,167.17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2,281,017,348.58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3"/>
        <w:jc w:val="left"/>
        <w:rPr>
          <w:b w:val="0"/>
          <w:bCs w:val="0"/>
        </w:rPr>
      </w:pPr>
      <w:bookmarkStart w:name="3、合并利润表" w:id="173"/>
      <w:bookmarkEnd w:id="17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6"/>
        <w:gridCol w:w="1145"/>
        <w:gridCol w:w="2038"/>
        <w:gridCol w:w="3278"/>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83" w:right="0"/>
              <w:jc w:val="left"/>
              <w:rPr>
                <w:rFonts w:ascii="Times New Roman" w:hAnsi="Times New Roman" w:cs="Times New Roman" w:eastAsia="Times New Roman" w:hint="default"/>
                <w:sz w:val="18"/>
                <w:szCs w:val="18"/>
              </w:rPr>
            </w:pPr>
            <w:r>
              <w:rPr>
                <w:rFonts w:ascii="Times New Roman"/>
                <w:sz w:val="18"/>
              </w:rPr>
              <w:t>1,992,176,981.00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1,320,802,031.31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83" w:right="0"/>
              <w:jc w:val="left"/>
              <w:rPr>
                <w:rFonts w:ascii="Times New Roman" w:hAnsi="Times New Roman" w:cs="Times New Roman" w:eastAsia="Times New Roman" w:hint="default"/>
                <w:sz w:val="18"/>
                <w:szCs w:val="18"/>
              </w:rPr>
            </w:pPr>
            <w:r>
              <w:rPr>
                <w:rFonts w:ascii="Times New Roman"/>
                <w:sz w:val="18"/>
              </w:rPr>
              <w:t>1,992,176,981.00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1,320,802,031.31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83" w:right="0"/>
              <w:jc w:val="left"/>
              <w:rPr>
                <w:rFonts w:ascii="Times New Roman" w:hAnsi="Times New Roman" w:cs="Times New Roman" w:eastAsia="Times New Roman" w:hint="default"/>
                <w:sz w:val="18"/>
                <w:szCs w:val="18"/>
              </w:rPr>
            </w:pPr>
            <w:r>
              <w:rPr>
                <w:rFonts w:ascii="Times New Roman"/>
                <w:sz w:val="18"/>
              </w:rPr>
              <w:t>1,689,063,849.80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1,116,427,286.00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83" w:right="0"/>
              <w:jc w:val="left"/>
              <w:rPr>
                <w:rFonts w:ascii="Times New Roman" w:hAnsi="Times New Roman" w:cs="Times New Roman" w:eastAsia="Times New Roman" w:hint="default"/>
                <w:sz w:val="18"/>
                <w:szCs w:val="18"/>
              </w:rPr>
            </w:pPr>
            <w:r>
              <w:rPr>
                <w:rFonts w:ascii="Times New Roman"/>
                <w:sz w:val="18"/>
              </w:rPr>
              <w:t>1,006,756,375.92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554,147,783.44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08" w:right="0"/>
              <w:jc w:val="left"/>
              <w:rPr>
                <w:rFonts w:ascii="Times New Roman" w:hAnsi="Times New Roman" w:cs="Times New Roman" w:eastAsia="Times New Roman" w:hint="default"/>
                <w:sz w:val="18"/>
                <w:szCs w:val="18"/>
              </w:rPr>
            </w:pPr>
            <w:r>
              <w:rPr>
                <w:rFonts w:ascii="Times New Roman"/>
                <w:sz w:val="18"/>
              </w:rPr>
              <w:t>15,575,070.21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7,736,128.06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08" w:right="0"/>
              <w:jc w:val="left"/>
              <w:rPr>
                <w:rFonts w:ascii="Times New Roman" w:hAnsi="Times New Roman" w:cs="Times New Roman" w:eastAsia="Times New Roman" w:hint="default"/>
                <w:sz w:val="18"/>
                <w:szCs w:val="18"/>
              </w:rPr>
            </w:pPr>
            <w:r>
              <w:rPr>
                <w:rFonts w:ascii="Times New Roman"/>
                <w:sz w:val="18"/>
              </w:rPr>
              <w:t>85,972,578.20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84,277,031.09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557,498,979.03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466,546,309.09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08" w:right="0"/>
              <w:jc w:val="left"/>
              <w:rPr>
                <w:rFonts w:ascii="Times New Roman" w:hAnsi="Times New Roman" w:cs="Times New Roman" w:eastAsia="Times New Roman" w:hint="default"/>
                <w:sz w:val="18"/>
                <w:szCs w:val="18"/>
              </w:rPr>
            </w:pPr>
            <w:r>
              <w:rPr>
                <w:rFonts w:ascii="Times New Roman"/>
                <w:sz w:val="18"/>
              </w:rPr>
              <w:t>17,794,165.40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-1,104,984.71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5,466,681.04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4,825,019.03</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w w:val="100"/>
                <w:sz w:val="18"/>
                <w:szCs w:val="18"/>
              </w:rPr>
              <w:t>加：公允价值变动收益（损失以</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9"/>
              <w:jc w:val="right"/>
              <w:rPr>
                <w:rFonts w:ascii="宋体" w:hAnsi="宋体" w:cs="宋体" w:eastAsia="宋体" w:hint="default"/>
                <w:sz w:val="18"/>
                <w:szCs w:val="18"/>
              </w:rPr>
            </w:pPr>
            <w:r>
              <w:rPr>
                <w:rFonts w:ascii="宋体" w:hAnsi="宋体" w:cs="宋体" w:eastAsia="宋体" w:hint="default"/>
                <w:spacing w:val="-5"/>
                <w:sz w:val="18"/>
                <w:szCs w:val="18"/>
              </w:rPr>
              <w:t>投资收益（损失以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45"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1" w:right="0"/>
              <w:jc w:val="left"/>
              <w:rPr>
                <w:rFonts w:ascii="Times New Roman" w:hAnsi="Times New Roman" w:cs="Times New Roman" w:eastAsia="Times New Roman" w:hint="default"/>
                <w:sz w:val="18"/>
                <w:szCs w:val="18"/>
              </w:rPr>
            </w:pPr>
            <w:r>
              <w:rPr>
                <w:rFonts w:ascii="Times New Roman"/>
                <w:sz w:val="18"/>
              </w:rPr>
              <w:t>4,933,511.44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2,882,722.35</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其中：对联营企业和合营企业 的投资收益</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4,162,658.65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2,882,722.35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8" w:right="0"/>
              <w:jc w:val="left"/>
              <w:rPr>
                <w:rFonts w:ascii="Times New Roman" w:hAnsi="Times New Roman" w:cs="Times New Roman" w:eastAsia="Times New Roman" w:hint="default"/>
                <w:sz w:val="18"/>
                <w:szCs w:val="18"/>
              </w:rPr>
            </w:pPr>
            <w:r>
              <w:rPr>
                <w:rFonts w:ascii="Times New Roman"/>
                <w:sz w:val="18"/>
              </w:rPr>
              <w:t>28,335,690.17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23,879.71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899994pt;margin-top:172.429977pt;width:156.950pt;height:20.8pt;mso-position-horizontal-relative:page;mso-position-vertical-relative:page;z-index:-1057168" coordorigin="4258,3449" coordsize="3139,416">
            <v:group style="position:absolute;left:4269;top:3460;width:2;height:393" coordorigin="4269,3460" coordsize="2,393">
              <v:shape style="position:absolute;left:4269;top:3460;width:2;height:393" coordorigin="4269,3460" coordsize="0,393" path="m4269,3460l4269,3852e" filled="false" stroked="true" strokeweight="1.140pt" strokecolor="#ffffff">
                <v:path arrowok="t"/>
              </v:shape>
            </v:group>
            <v:group style="position:absolute;left:4281;top:3460;width:3116;height:393" coordorigin="4281,3460" coordsize="3116,393">
              <v:shape style="position:absolute;left:4281;top:3460;width:3116;height:393" coordorigin="4281,3460" coordsize="3116,393" path="m4281,3852l7396,3852,7396,3460,4281,3460,4281,385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96"/>
        <w:gridCol w:w="1052"/>
        <w:gridCol w:w="2131"/>
        <w:gridCol w:w="3278"/>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08" w:right="0"/>
              <w:jc w:val="left"/>
              <w:rPr>
                <w:rFonts w:ascii="Times New Roman" w:hAnsi="Times New Roman" w:cs="Times New Roman" w:eastAsia="Times New Roman" w:hint="default"/>
                <w:sz w:val="18"/>
                <w:szCs w:val="18"/>
              </w:rPr>
            </w:pPr>
            <w:r>
              <w:rPr>
                <w:rFonts w:ascii="Times New Roman"/>
                <w:sz w:val="18"/>
              </w:rPr>
              <w:t>25,491,366.78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361,873,699.59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207,281,347.37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08" w:right="0"/>
              <w:jc w:val="left"/>
              <w:rPr>
                <w:rFonts w:ascii="Times New Roman" w:hAnsi="Times New Roman" w:cs="Times New Roman" w:eastAsia="Times New Roman" w:hint="default"/>
                <w:sz w:val="18"/>
                <w:szCs w:val="18"/>
              </w:rPr>
            </w:pPr>
            <w:r>
              <w:rPr>
                <w:rFonts w:ascii="Times New Roman"/>
                <w:sz w:val="18"/>
              </w:rPr>
              <w:t>17,343,656.79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27,616,334.16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395,349.10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451,471.15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1052"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1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78" w:right="0"/>
              <w:jc w:val="left"/>
              <w:rPr>
                <w:rFonts w:ascii="Times New Roman" w:hAnsi="Times New Roman" w:cs="Times New Roman" w:eastAsia="Times New Roman" w:hint="default"/>
                <w:sz w:val="18"/>
                <w:szCs w:val="18"/>
              </w:rPr>
            </w:pPr>
            <w:r>
              <w:rPr>
                <w:rFonts w:ascii="Times New Roman"/>
                <w:sz w:val="18"/>
              </w:rPr>
              <w:t>378,822,007.28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234,446,210.38</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35,111,109.41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23,212,123.31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343,710,897.87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211,234,087.07</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18" w:right="0"/>
              <w:jc w:val="left"/>
              <w:rPr>
                <w:rFonts w:ascii="Times New Roman" w:hAnsi="Times New Roman" w:cs="Times New Roman" w:eastAsia="Times New Roman" w:hint="default"/>
                <w:sz w:val="18"/>
                <w:szCs w:val="18"/>
              </w:rPr>
            </w:pPr>
            <w:r>
              <w:rPr>
                <w:rFonts w:ascii="Times New Roman"/>
                <w:sz w:val="18"/>
              </w:rPr>
              <w:t>343,710,897.87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211,234,087.07</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306,943,384.51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218,609,712.88</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08" w:right="0"/>
              <w:jc w:val="left"/>
              <w:rPr>
                <w:rFonts w:ascii="Times New Roman" w:hAnsi="Times New Roman" w:cs="Times New Roman" w:eastAsia="Times New Roman" w:hint="default"/>
                <w:sz w:val="18"/>
                <w:szCs w:val="18"/>
              </w:rPr>
            </w:pPr>
            <w:r>
              <w:rPr>
                <w:rFonts w:ascii="Times New Roman"/>
                <w:sz w:val="18"/>
              </w:rPr>
              <w:t>36,767,513.36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-7,375,625.81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1,251,741.47</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 税后净额</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-2,292,009.96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1,251,741.47</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（一）以后不能重分类进损益的其 他综合收益</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能重分类进损益的其他综合收益中享有 的份额</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-2,292,009.96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1,251,741.47</w:t>
            </w:r>
          </w:p>
        </w:tc>
      </w:tr>
      <w:tr>
        <w:trPr>
          <w:trHeight w:val="1026"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后将重分类进损益的其他综合收益中享 有的份额</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18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1,251,741.47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183" w:type="dxa"/>
            <w:gridSpan w:val="2"/>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96"/>
        <w:gridCol w:w="3183"/>
        <w:gridCol w:w="3278"/>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 后净额</w:t>
            </w:r>
          </w:p>
        </w:tc>
        <w:tc>
          <w:tcPr>
            <w:tcW w:w="3183" w:type="dxa"/>
            <w:tcBorders>
              <w:top w:val="single" w:sz="4" w:space="0" w:color="000000"/>
              <w:left w:val="single" w:sz="9"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341,418,887.91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212,485,828.54</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304,651,374.55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219,861,454.35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36,767,513.36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-7,375,625.81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0.3106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0.3106</w:t>
            </w:r>
          </w:p>
        </w:tc>
      </w:tr>
    </w:tbl>
    <w:p>
      <w:pPr>
        <w:pStyle w:val="BodyText"/>
        <w:tabs>
          <w:tab w:pos="366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法定代表人：赵福君</w:t>
        <w:tab/>
        <w:t>主管会计工作负责人：邱安超</w:t>
        <w:tab/>
        <w:t>会计机构负责人：丁丹 </w:t>
      </w:r>
      <w:bookmarkStart w:name="4、母公司利润表" w:id="174"/>
      <w:bookmarkEnd w:id="1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472,862,467.96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444,539,039.25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70,482,296.77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44,029,299.52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7,762,622.97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2,834,262.45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19,417,605.74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20,299,528.54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297,722,064.33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280,327,134.90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26,301,073.07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-613,923.77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1,866,374.47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2,637,584.68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24,162,658.65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2,882,722.35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4,162,658.65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2,882,722.35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28,396,148.42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10,425,203.80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112,294,441.48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97,907,875.28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3,119,210.62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8,070,445.09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154,457.36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255,563.46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115,259,194.74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105,722,756.91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5,979,560.75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5,657,492.71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109,279,633.99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100,065,264.20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109,279,633.99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100,065,264.20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109,279,633.99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100,065,264.20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0.1422</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5、合并现金流量表" w:id="175"/>
      <w:bookmarkEnd w:id="17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1,924,739,636.55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1,305,643,060.31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22,600,958.42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20,246,816.05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24,203,649.79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10,911,787.69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1,971,544,244.76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1,336,801,664.05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1,128,911,071.63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623,841,310.27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453,643,078.89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373,692,010.04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111,069,384.40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73,070,985.15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150,000,784.31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169,730,010.70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1,843,624,319.23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1,240,334,316.16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127,919,925.53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96,467,347.89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1,895,852.79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563,131.65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31,275,297.42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459,623.52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1,142,635.00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110,313,785.21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1,022,755.17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82,698,308.42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60,462,896.69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691,998,002.94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105,534,633.77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53,732,534.00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880,230,945.13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147,195,430.69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-769,917,159.92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-146,172,675.52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53,031,880.00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972,771,880.00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19,775,602.46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24,269,615.31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90,899,999.95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105,903,602.46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115,169,615.26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866,868,277.54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-99,659,615.26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-1,709,637.90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489,055.40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223,161,405.25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-148,875,887.49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686,418,668.57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835,294,556.06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909,580,073.82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686,418,668.57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3"/>
        <w:jc w:val="left"/>
        <w:rPr>
          <w:b w:val="0"/>
          <w:bCs w:val="0"/>
        </w:rPr>
      </w:pPr>
      <w:bookmarkStart w:name="6、母公司现金流量表" w:id="176"/>
      <w:bookmarkEnd w:id="17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476,942,081.25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454,655,980.85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6,181,721.80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4,921,552.78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5,568,229.48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5,785,324.00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488,692,032.53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465,362,857.63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78,159,951.93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49,418,782.15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232,642,702.24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211,020,591.25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34,169,117.76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26,549,587.02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33,176,431.16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96,273,499.08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378,148,203.09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383,262,459.50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110,543,829.44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82,100,398.13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563,131.65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31,001,587.21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264,495.29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1,142,635.00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53,269,222.21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827,626.94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42,207,440.25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31,625,049.64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1,047,598,002.94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205,590,000.00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1,089,805,443.19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237,215,049.64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-1,036,536,220.98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-236,387,422.70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43,131,880.00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952,631,880.00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22,465,239.33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24,269,615.31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90,899,999.95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108,543,239.33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115,169,615.26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844,088,640.67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-115,169,615.26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132,531.06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-81,903,750.87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-269,324,108.77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279,419,210.86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548,743,319.63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197,515,459.99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279,419,210.86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77"/>
      <w:bookmarkEnd w:id="17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44"/>
        <w:gridCol w:w="1192"/>
        <w:gridCol w:w="338"/>
        <w:gridCol w:w="337"/>
        <w:gridCol w:w="1182"/>
        <w:gridCol w:w="1315"/>
        <w:gridCol w:w="1091"/>
        <w:gridCol w:w="1062"/>
        <w:gridCol w:w="535"/>
        <w:gridCol w:w="1091"/>
        <w:gridCol w:w="536"/>
        <w:gridCol w:w="1181"/>
        <w:gridCol w:w="1181"/>
        <w:gridCol w:w="1316"/>
      </w:tblGrid>
      <w:tr>
        <w:trPr>
          <w:trHeight w:val="402" w:hRule="exact"/>
        </w:trPr>
        <w:tc>
          <w:tcPr>
            <w:tcW w:w="1644" w:type="dxa"/>
            <w:vMerge w:val="restart"/>
            <w:tcBorders>
              <w:top w:val="single" w:sz="4" w:space="0" w:color="000000"/>
              <w:left w:val="single" w:sz="4" w:space="0" w:color="000000"/>
              <w:right w:val="single" w:sz="4" w:space="0" w:color="000000"/>
            </w:tcBorders>
            <w:shd w:val="clear" w:color="auto" w:fill="D2D2D2"/>
          </w:tcPr>
          <w:p>
            <w:pPr/>
          </w:p>
        </w:tc>
        <w:tc>
          <w:tcPr>
            <w:tcW w:w="1235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644" w:type="dxa"/>
            <w:vMerge/>
            <w:tcBorders>
              <w:left w:val="single" w:sz="4" w:space="0" w:color="000000"/>
              <w:right w:val="single" w:sz="4" w:space="0" w:color="000000"/>
            </w:tcBorders>
            <w:shd w:val="clear" w:color="auto" w:fill="D2D2D2"/>
          </w:tcPr>
          <w:p>
            <w:pPr/>
          </w:p>
        </w:tc>
        <w:tc>
          <w:tcPr>
            <w:tcW w:w="986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64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8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1062" w:type="dxa"/>
            <w:vMerge w:val="restart"/>
            <w:tcBorders>
              <w:top w:val="single" w:sz="4" w:space="0" w:color="000000"/>
              <w:left w:val="single" w:sz="4" w:space="0" w:color="FFFFFF"/>
              <w:right w:val="single" w:sz="4" w:space="0" w:color="000000"/>
            </w:tcBorders>
            <w:shd w:val="clear" w:color="auto" w:fill="D2D2D2"/>
          </w:tcPr>
          <w:p>
            <w:pPr/>
          </w:p>
        </w:tc>
        <w:tc>
          <w:tcPr>
            <w:tcW w:w="535"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536" w:type="dxa"/>
            <w:vMerge w:val="restart"/>
            <w:tcBorders>
              <w:top w:val="single" w:sz="4" w:space="0" w:color="000000"/>
              <w:left w:val="single" w:sz="4" w:space="0" w:color="FFFFFF"/>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90" w:hRule="exact"/>
        </w:trPr>
        <w:tc>
          <w:tcPr>
            <w:tcW w:w="16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right w:val="single" w:sz="4" w:space="0" w:color="000000"/>
            </w:tcBorders>
            <w:shd w:val="clear" w:color="auto" w:fill="D2D2D2"/>
          </w:tcPr>
          <w:p>
            <w:pPr/>
          </w:p>
        </w:tc>
        <w:tc>
          <w:tcPr>
            <w:tcW w:w="1858" w:type="dxa"/>
            <w:gridSpan w:val="3"/>
            <w:vMerge/>
            <w:tcBorders>
              <w:left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62" w:type="dxa"/>
            <w:vMerge/>
            <w:tcBorders>
              <w:left w:val="single" w:sz="4" w:space="0" w:color="FFFFFF"/>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4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858" w:type="dxa"/>
            <w:gridSpan w:val="3"/>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62" w:type="dxa"/>
            <w:vMerge/>
            <w:tcBorders>
              <w:left w:val="single" w:sz="4" w:space="0" w:color="FFFFFF"/>
              <w:bottom w:val="nil" w:sz="6" w:space="0" w:color="auto"/>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83" w:right="8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644"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3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73" w:right="7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73" w:right="7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106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3"/>
              <w:ind w:left="436" w:right="7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3"/>
              <w:ind w:left="82" w:right="8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644"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2" w:type="dxa"/>
            <w:vMerge/>
            <w:tcBorders>
              <w:left w:val="single" w:sz="4" w:space="0" w:color="FFFFFF"/>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64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1062" w:type="dxa"/>
            <w:vMerge/>
            <w:tcBorders>
              <w:left w:val="single" w:sz="4" w:space="0" w:color="FFFFFF"/>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64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1062" w:type="dxa"/>
            <w:vMerge/>
            <w:tcBorders>
              <w:left w:val="single" w:sz="4" w:space="0" w:color="FFFFFF"/>
              <w:bottom w:val="nil" w:sz="6" w:space="0" w:color="auto"/>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4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62" w:type="dxa"/>
            <w:vMerge w:val="restart"/>
            <w:tcBorders>
              <w:top w:val="nil" w:sz="6" w:space="0" w:color="auto"/>
              <w:left w:val="single" w:sz="4" w:space="0" w:color="FFFFFF"/>
              <w:right w:val="single" w:sz="4" w:space="0" w:color="000000"/>
            </w:tcBorders>
            <w:shd w:val="clear" w:color="auto" w:fill="D2D2D2"/>
          </w:tcPr>
          <w:p>
            <w:pPr/>
          </w:p>
        </w:tc>
        <w:tc>
          <w:tcPr>
            <w:tcW w:w="535"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64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338" w:type="dxa"/>
            <w:vMerge/>
            <w:tcBorders>
              <w:left w:val="single" w:sz="4" w:space="0" w:color="000000"/>
              <w:bottom w:val="single" w:sz="4" w:space="0" w:color="000000"/>
              <w:right w:val="single" w:sz="4" w:space="0" w:color="000000"/>
            </w:tcBorders>
            <w:shd w:val="clear" w:color="auto" w:fill="D2D2D2"/>
          </w:tcPr>
          <w:p>
            <w:pPr/>
          </w:p>
        </w:tc>
        <w:tc>
          <w:tcPr>
            <w:tcW w:w="337"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1062" w:type="dxa"/>
            <w:vMerge/>
            <w:tcBorders>
              <w:left w:val="single" w:sz="4" w:space="0" w:color="FFFFFF"/>
              <w:bottom w:val="single" w:sz="4" w:space="0" w:color="000000"/>
              <w:right w:val="single" w:sz="4" w:space="0" w:color="000000"/>
            </w:tcBorders>
            <w:shd w:val="clear" w:color="auto" w:fill="D2D2D2"/>
          </w:tcPr>
          <w:p>
            <w:pPr/>
          </w:p>
        </w:tc>
        <w:tc>
          <w:tcPr>
            <w:tcW w:w="53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53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541,491,950.00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1,010,822,944.77</w:t>
            </w: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1,302,230.62</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61,567,741.04</w:t>
            </w: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548,613,579.60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19,799,456.83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2,183,597,902.86</w:t>
            </w: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1"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541,491,950.00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1,010,822,944.77</w:t>
            </w: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1,302,230.62</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61,567,741.04</w:t>
            </w: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548,613,579.60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19,799,456.83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2,183,597,902.86</w:t>
            </w:r>
          </w:p>
        </w:tc>
      </w:tr>
      <w:tr>
        <w:trPr>
          <w:trHeight w:val="1026"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1"/>
              <w:jc w:val="both"/>
              <w:rPr>
                <w:rFonts w:ascii="宋体" w:hAnsi="宋体" w:cs="宋体" w:eastAsia="宋体" w:hint="default"/>
                <w:sz w:val="18"/>
                <w:szCs w:val="18"/>
              </w:rPr>
            </w:pPr>
            <w:r>
              <w:rPr>
                <w:rFonts w:ascii="宋体" w:hAnsi="宋体" w:cs="宋体" w:eastAsia="宋体" w:hint="default"/>
                <w:spacing w:val="-2"/>
                <w:sz w:val="18"/>
                <w:szCs w:val="18"/>
              </w:rPr>
              <w:t>三、本期增减变动金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169,235,467.00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154,607,862.97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-118,866,535.52</w:t>
            </w: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43,131,880.00</w:t>
            </w:r>
          </w:p>
        </w:tc>
        <w:tc>
          <w:tcPr>
            <w:tcW w:w="106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-2,292,009.96</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10,927,963.40</w:t>
            </w: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279,777,248.15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130,005,563.48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580,263,679.52</w:t>
            </w: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-2,292,009.96</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306,943,384.51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36,767,513.36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341,418,887.91</w:t>
            </w: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2"/>
                <w:sz w:val="18"/>
                <w:szCs w:val="18"/>
              </w:rPr>
              <w:t>（二）所有者投入和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减少资本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154,607,862.97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43,515,193.48</w:t>
            </w: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43,131,880.00</w:t>
            </w: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93,238,050.12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255,082,964.57</w:t>
            </w: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36,276,461.98</w:t>
            </w: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53,030,199.98</w:t>
            </w:r>
          </w:p>
        </w:tc>
      </w:tr>
    </w:tbl>
    <w:p>
      <w:pPr>
        <w:spacing w:after="0" w:line="240" w:lineRule="auto"/>
        <w:jc w:val="right"/>
        <w:rPr>
          <w:rFonts w:ascii="Times New Roman" w:hAnsi="Times New Roman" w:cs="Times New Roman" w:eastAsia="Times New Roman" w:hint="default"/>
          <w:sz w:val="18"/>
          <w:szCs w:val="18"/>
        </w:rPr>
        <w:sectPr>
          <w:headerReference w:type="default" r:id="rId32"/>
          <w:footerReference w:type="default" r:id="rId33"/>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44"/>
        <w:gridCol w:w="1192"/>
        <w:gridCol w:w="338"/>
        <w:gridCol w:w="337"/>
        <w:gridCol w:w="1182"/>
        <w:gridCol w:w="1315"/>
        <w:gridCol w:w="1091"/>
        <w:gridCol w:w="1062"/>
        <w:gridCol w:w="535"/>
        <w:gridCol w:w="1091"/>
        <w:gridCol w:w="536"/>
        <w:gridCol w:w="1181"/>
        <w:gridCol w:w="1181"/>
        <w:gridCol w:w="1316"/>
      </w:tblGrid>
      <w:tr>
        <w:trPr>
          <w:trHeight w:val="416" w:hRule="exact"/>
        </w:trPr>
        <w:tc>
          <w:tcPr>
            <w:tcW w:w="1644" w:type="dxa"/>
            <w:vMerge w:val="restart"/>
            <w:tcBorders>
              <w:top w:val="single" w:sz="15" w:space="0" w:color="000000"/>
              <w:left w:val="single" w:sz="4" w:space="0" w:color="000000"/>
              <w:right w:val="single" w:sz="4" w:space="0" w:color="000000"/>
            </w:tcBorders>
            <w:shd w:val="clear" w:color="auto" w:fill="D2D2D2"/>
          </w:tcPr>
          <w:p>
            <w:pPr/>
          </w:p>
        </w:tc>
        <w:tc>
          <w:tcPr>
            <w:tcW w:w="12359"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1644" w:type="dxa"/>
            <w:vMerge/>
            <w:tcBorders>
              <w:left w:val="single" w:sz="4" w:space="0" w:color="000000"/>
              <w:right w:val="single" w:sz="4" w:space="0" w:color="000000"/>
            </w:tcBorders>
            <w:shd w:val="clear" w:color="auto" w:fill="D2D2D2"/>
          </w:tcPr>
          <w:p>
            <w:pPr/>
          </w:p>
        </w:tc>
        <w:tc>
          <w:tcPr>
            <w:tcW w:w="986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64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8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
        </w:tc>
        <w:tc>
          <w:tcPr>
            <w:tcW w:w="535"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536" w:type="dxa"/>
            <w:vMerge w:val="restart"/>
            <w:tcBorders>
              <w:top w:val="single" w:sz="4" w:space="0" w:color="000000"/>
              <w:left w:val="single" w:sz="4" w:space="0" w:color="FFFFFF"/>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90" w:hRule="exact"/>
        </w:trPr>
        <w:tc>
          <w:tcPr>
            <w:tcW w:w="16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right w:val="single" w:sz="4" w:space="0" w:color="000000"/>
            </w:tcBorders>
            <w:shd w:val="clear" w:color="auto" w:fill="D2D2D2"/>
          </w:tcPr>
          <w:p>
            <w:pPr/>
          </w:p>
        </w:tc>
        <w:tc>
          <w:tcPr>
            <w:tcW w:w="1858" w:type="dxa"/>
            <w:gridSpan w:val="3"/>
            <w:vMerge/>
            <w:tcBorders>
              <w:left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4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858" w:type="dxa"/>
            <w:gridSpan w:val="3"/>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83" w:right="8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644"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3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73" w:right="7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73" w:right="7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3"/>
              <w:ind w:left="436" w:right="7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3"/>
              <w:ind w:left="82" w:right="8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644"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2" w:type="dxa"/>
            <w:vMerge/>
            <w:tcBorders>
              <w:left w:val="single" w:sz="4" w:space="0" w:color="000000"/>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64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64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4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c>
          <w:tcPr>
            <w:tcW w:w="535"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644"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338" w:type="dxa"/>
            <w:vMerge/>
            <w:tcBorders>
              <w:left w:val="single" w:sz="4" w:space="0" w:color="000000"/>
              <w:bottom w:val="single" w:sz="4" w:space="0" w:color="000000"/>
              <w:right w:val="single" w:sz="4" w:space="0" w:color="000000"/>
            </w:tcBorders>
            <w:shd w:val="clear" w:color="auto" w:fill="D2D2D2"/>
          </w:tcPr>
          <w:p>
            <w:pPr/>
          </w:p>
        </w:tc>
        <w:tc>
          <w:tcPr>
            <w:tcW w:w="337"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53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53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154,607,862.97</w:t>
            </w: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154,607,862.97</w:t>
            </w: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7,238,731.50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7,238,731.50</w:t>
            </w: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43,131,880.00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83,338,050.12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40,206,170.12</w:t>
            </w: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10,927,963.40</w:t>
            </w: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-27,166,136.36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-16,238,172.96</w:t>
            </w: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10,927,963.40</w:t>
            </w: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 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 东）的分配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-16,238,172.96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-16,238,172.96</w:t>
            </w:r>
          </w:p>
        </w:tc>
      </w:tr>
      <w:tr>
        <w:trPr>
          <w:trHeight w:val="402"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2"/>
                <w:sz w:val="18"/>
                <w:szCs w:val="18"/>
              </w:rPr>
              <w:t>（四）所有者权益内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部结转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6840" w:h="11910" w:orient="landscape"/>
          <w:pgMar w:footer="979" w:header="867"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667"/>
        <w:gridCol w:w="1181"/>
        <w:gridCol w:w="338"/>
        <w:gridCol w:w="337"/>
        <w:gridCol w:w="1182"/>
        <w:gridCol w:w="1315"/>
        <w:gridCol w:w="1091"/>
        <w:gridCol w:w="1062"/>
        <w:gridCol w:w="535"/>
        <w:gridCol w:w="1091"/>
        <w:gridCol w:w="536"/>
        <w:gridCol w:w="1181"/>
        <w:gridCol w:w="1181"/>
        <w:gridCol w:w="1316"/>
      </w:tblGrid>
      <w:tr>
        <w:trPr>
          <w:trHeight w:val="416" w:hRule="exact"/>
        </w:trPr>
        <w:tc>
          <w:tcPr>
            <w:tcW w:w="1667" w:type="dxa"/>
            <w:vMerge w:val="restart"/>
            <w:tcBorders>
              <w:top w:val="single" w:sz="15" w:space="0" w:color="000000"/>
              <w:left w:val="single" w:sz="4" w:space="0" w:color="000000"/>
              <w:right w:val="single" w:sz="4" w:space="0" w:color="000000"/>
            </w:tcBorders>
            <w:shd w:val="clear" w:color="auto" w:fill="D2D2D2"/>
          </w:tcPr>
          <w:p>
            <w:pPr/>
          </w:p>
        </w:tc>
        <w:tc>
          <w:tcPr>
            <w:tcW w:w="12348"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1667" w:type="dxa"/>
            <w:vMerge/>
            <w:tcBorders>
              <w:left w:val="single" w:sz="4" w:space="0" w:color="000000"/>
              <w:right w:val="single" w:sz="4" w:space="0" w:color="000000"/>
            </w:tcBorders>
            <w:shd w:val="clear" w:color="auto" w:fill="D2D2D2"/>
          </w:tcPr>
          <w:p>
            <w:pPr/>
          </w:p>
        </w:tc>
        <w:tc>
          <w:tcPr>
            <w:tcW w:w="985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667"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8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1062" w:type="dxa"/>
            <w:vMerge w:val="restart"/>
            <w:tcBorders>
              <w:top w:val="single" w:sz="4" w:space="0" w:color="000000"/>
              <w:left w:val="single" w:sz="4" w:space="0" w:color="FFFFFF"/>
              <w:right w:val="single" w:sz="4" w:space="0" w:color="000000"/>
            </w:tcBorders>
            <w:shd w:val="clear" w:color="auto" w:fill="D2D2D2"/>
          </w:tcPr>
          <w:p>
            <w:pPr/>
          </w:p>
        </w:tc>
        <w:tc>
          <w:tcPr>
            <w:tcW w:w="535"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536" w:type="dxa"/>
            <w:vMerge w:val="restart"/>
            <w:tcBorders>
              <w:top w:val="single" w:sz="4" w:space="0" w:color="000000"/>
              <w:left w:val="single" w:sz="4" w:space="0" w:color="FFFFFF"/>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90" w:hRule="exact"/>
        </w:trPr>
        <w:tc>
          <w:tcPr>
            <w:tcW w:w="16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1858" w:type="dxa"/>
            <w:gridSpan w:val="3"/>
            <w:vMerge/>
            <w:tcBorders>
              <w:left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62" w:type="dxa"/>
            <w:vMerge/>
            <w:tcBorders>
              <w:left w:val="single" w:sz="4" w:space="0" w:color="FFFFFF"/>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6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858" w:type="dxa"/>
            <w:gridSpan w:val="3"/>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62" w:type="dxa"/>
            <w:vMerge/>
            <w:tcBorders>
              <w:left w:val="single" w:sz="4" w:space="0" w:color="FFFFFF"/>
              <w:bottom w:val="nil" w:sz="6" w:space="0" w:color="auto"/>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83" w:right="8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667" w:type="dxa"/>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3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73" w:right="7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2"/>
              <w:ind w:left="73" w:right="7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106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3"/>
              <w:ind w:left="436" w:right="7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3"/>
              <w:ind w:left="82" w:right="8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tcBorders>
              <w:left w:val="single" w:sz="4" w:space="0" w:color="000000"/>
              <w:bottom w:val="nil" w:sz="6" w:space="0" w:color="auto"/>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667" w:type="dxa"/>
            <w:vMerge w:val="restart"/>
            <w:tcBorders>
              <w:top w:val="single" w:sz="4" w:space="0" w:color="FFFFFF"/>
              <w:left w:val="single" w:sz="4" w:space="0" w:color="000000"/>
              <w:right w:val="single" w:sz="4" w:space="0" w:color="000000"/>
            </w:tcBorders>
            <w:shd w:val="clear" w:color="auto" w:fill="D2D2D2"/>
          </w:tcPr>
          <w:p>
            <w:pP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2" w:type="dxa"/>
            <w:vMerge/>
            <w:tcBorders>
              <w:left w:val="single" w:sz="4" w:space="0" w:color="FFFFFF"/>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3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66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5"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1062" w:type="dxa"/>
            <w:vMerge/>
            <w:tcBorders>
              <w:left w:val="single" w:sz="4" w:space="0" w:color="FFFFFF"/>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667"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1062" w:type="dxa"/>
            <w:vMerge/>
            <w:tcBorders>
              <w:left w:val="single" w:sz="4" w:space="0" w:color="FFFFFF"/>
              <w:bottom w:val="nil" w:sz="6" w:space="0" w:color="auto"/>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53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3" w:hRule="exact"/>
        </w:trPr>
        <w:tc>
          <w:tcPr>
            <w:tcW w:w="166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337"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1315"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1062" w:type="dxa"/>
            <w:vMerge w:val="restart"/>
            <w:tcBorders>
              <w:top w:val="nil" w:sz="6" w:space="0" w:color="auto"/>
              <w:left w:val="single" w:sz="4" w:space="0" w:color="FFFFFF"/>
              <w:right w:val="single" w:sz="4" w:space="0" w:color="000000"/>
            </w:tcBorders>
            <w:shd w:val="clear" w:color="auto" w:fill="D2D2D2"/>
          </w:tcPr>
          <w:p>
            <w:pPr/>
          </w:p>
        </w:tc>
        <w:tc>
          <w:tcPr>
            <w:tcW w:w="535" w:type="dxa"/>
            <w:vMerge w:val="restart"/>
            <w:tcBorders>
              <w:top w:val="nil" w:sz="6" w:space="0" w:color="auto"/>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FFFFFF"/>
            </w:tcBorders>
            <w:shd w:val="clear" w:color="auto" w:fill="D2D2D2"/>
          </w:tcPr>
          <w:p>
            <w:pPr/>
          </w:p>
        </w:tc>
        <w:tc>
          <w:tcPr>
            <w:tcW w:w="536"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66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38" w:type="dxa"/>
            <w:vMerge/>
            <w:tcBorders>
              <w:left w:val="single" w:sz="4" w:space="0" w:color="000000"/>
              <w:bottom w:val="single" w:sz="4" w:space="0" w:color="000000"/>
              <w:right w:val="single" w:sz="4" w:space="0" w:color="000000"/>
            </w:tcBorders>
            <w:shd w:val="clear" w:color="auto" w:fill="D2D2D2"/>
          </w:tcPr>
          <w:p>
            <w:pPr/>
          </w:p>
        </w:tc>
        <w:tc>
          <w:tcPr>
            <w:tcW w:w="337"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1062" w:type="dxa"/>
            <w:vMerge/>
            <w:tcBorders>
              <w:left w:val="single" w:sz="4" w:space="0" w:color="FFFFFF"/>
              <w:bottom w:val="single" w:sz="4" w:space="0" w:color="000000"/>
              <w:right w:val="single" w:sz="4" w:space="0" w:color="000000"/>
            </w:tcBorders>
            <w:shd w:val="clear" w:color="auto" w:fill="D2D2D2"/>
          </w:tcPr>
          <w:p>
            <w:pPr/>
          </w:p>
        </w:tc>
        <w:tc>
          <w:tcPr>
            <w:tcW w:w="53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53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1062" w:type="dxa"/>
            <w:tcBorders>
              <w:top w:val="single" w:sz="4" w:space="0" w:color="000000"/>
              <w:left w:val="single" w:sz="4" w:space="0" w:color="FFFFFF"/>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710,727,417.00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154,607,862.97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891,956,409.25</w:t>
            </w: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43,131,880.00</w:t>
            </w:r>
          </w:p>
        </w:tc>
        <w:tc>
          <w:tcPr>
            <w:tcW w:w="106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-989,779.34</w:t>
            </w:r>
          </w:p>
        </w:tc>
        <w:tc>
          <w:tcPr>
            <w:tcW w:w="53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72,495,704.44</w:t>
            </w:r>
          </w:p>
        </w:tc>
        <w:tc>
          <w:tcPr>
            <w:tcW w:w="536"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828,390,827.75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149,805,020.31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2,763,861,582.38</w:t>
            </w:r>
          </w:p>
        </w:tc>
      </w:tr>
    </w:tbl>
    <w:p>
      <w:pPr>
        <w:pStyle w:val="BodyText"/>
        <w:spacing w:line="240" w:lineRule="auto" w:before="51"/>
        <w:ind w:left="140" w:right="0"/>
        <w:jc w:val="left"/>
      </w:pPr>
      <w:r>
        <w:rPr/>
        <w:t>上期金额</w:t>
      </w:r>
    </w:p>
    <w:p>
      <w:pPr>
        <w:pStyle w:val="BodyText"/>
        <w:spacing w:line="240" w:lineRule="auto" w:before="117"/>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89"/>
        <w:gridCol w:w="1193"/>
        <w:gridCol w:w="450"/>
        <w:gridCol w:w="451"/>
        <w:gridCol w:w="343"/>
        <w:gridCol w:w="1316"/>
        <w:gridCol w:w="739"/>
        <w:gridCol w:w="1083"/>
        <w:gridCol w:w="558"/>
        <w:gridCol w:w="1092"/>
        <w:gridCol w:w="774"/>
        <w:gridCol w:w="1181"/>
        <w:gridCol w:w="1118"/>
        <w:gridCol w:w="1316"/>
      </w:tblGrid>
      <w:tr>
        <w:trPr>
          <w:trHeight w:val="402" w:hRule="exact"/>
        </w:trPr>
        <w:tc>
          <w:tcPr>
            <w:tcW w:w="2389" w:type="dxa"/>
            <w:vMerge w:val="restart"/>
            <w:tcBorders>
              <w:top w:val="single" w:sz="4" w:space="0" w:color="000000"/>
              <w:left w:val="single" w:sz="4" w:space="0" w:color="000000"/>
              <w:right w:val="single" w:sz="4" w:space="0" w:color="000000"/>
            </w:tcBorders>
            <w:shd w:val="clear" w:color="auto" w:fill="D2D2D2"/>
          </w:tcPr>
          <w:p>
            <w:pPr/>
          </w:p>
        </w:tc>
        <w:tc>
          <w:tcPr>
            <w:tcW w:w="1161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389" w:type="dxa"/>
            <w:vMerge/>
            <w:tcBorders>
              <w:left w:val="single" w:sz="4" w:space="0" w:color="000000"/>
              <w:bottom w:val="nil" w:sz="6" w:space="0" w:color="auto"/>
              <w:right w:val="single" w:sz="4" w:space="0" w:color="000000"/>
            </w:tcBorders>
            <w:shd w:val="clear" w:color="auto" w:fill="D2D2D2"/>
          </w:tcPr>
          <w:p>
            <w:pPr/>
          </w:p>
        </w:tc>
        <w:tc>
          <w:tcPr>
            <w:tcW w:w="918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4" w:hRule="exact"/>
        </w:trPr>
        <w:tc>
          <w:tcPr>
            <w:tcW w:w="23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2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463" w:right="102"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389"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244"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73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73" w:right="22" w:hanging="251"/>
              <w:jc w:val="left"/>
              <w:rPr>
                <w:rFonts w:ascii="宋体" w:hAnsi="宋体" w:cs="宋体" w:eastAsia="宋体" w:hint="default"/>
                <w:sz w:val="18"/>
                <w:szCs w:val="18"/>
              </w:rPr>
            </w:pPr>
            <w:r>
              <w:rPr>
                <w:rFonts w:ascii="宋体" w:hAnsi="宋体" w:cs="宋体" w:eastAsia="宋体" w:hint="default"/>
                <w:spacing w:val="-10"/>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445" w:right="87"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93" w:right="9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111" w:right="11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389"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9"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9" w:right="41"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6"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9" w:type="dxa"/>
            <w:vMerge/>
            <w:tcBorders>
              <w:left w:val="single" w:sz="4" w:space="0" w:color="000000"/>
              <w:right w:val="single" w:sz="4" w:space="0" w:color="000000"/>
            </w:tcBorders>
            <w:shd w:val="clear" w:color="auto" w:fill="D2D2D2"/>
          </w:tcPr>
          <w:p>
            <w:pPr/>
          </w:p>
        </w:tc>
        <w:tc>
          <w:tcPr>
            <w:tcW w:w="1083"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4"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8"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2389"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1083"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118" w:type="dxa"/>
            <w:vMerge/>
            <w:tcBorders>
              <w:left w:val="single" w:sz="4" w:space="0" w:color="000000"/>
              <w:bottom w:val="single" w:sz="18" w:space="0" w:color="FFFFFF"/>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389"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739" w:type="dxa"/>
            <w:vMerge/>
            <w:tcBorders>
              <w:left w:val="single" w:sz="4" w:space="0" w:color="000000"/>
              <w:bottom w:val="nil" w:sz="6" w:space="0" w:color="auto"/>
              <w:right w:val="single" w:sz="4" w:space="0" w:color="000000"/>
            </w:tcBorders>
            <w:shd w:val="clear" w:color="auto" w:fill="D2D2D2"/>
          </w:tcPr>
          <w:p>
            <w:pPr/>
          </w:p>
        </w:tc>
        <w:tc>
          <w:tcPr>
            <w:tcW w:w="1083" w:type="dxa"/>
            <w:vMerge/>
            <w:tcBorders>
              <w:left w:val="single" w:sz="4" w:space="0" w:color="000000"/>
              <w:bottom w:val="nil" w:sz="6" w:space="0" w:color="auto"/>
              <w:right w:val="single" w:sz="4" w:space="0" w:color="000000"/>
            </w:tcBorders>
            <w:shd w:val="clear" w:color="auto" w:fill="D2D2D2"/>
          </w:tcPr>
          <w:p>
            <w:pPr/>
          </w:p>
        </w:tc>
        <w:tc>
          <w:tcPr>
            <w:tcW w:w="558"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118" w:type="dxa"/>
            <w:vMerge w:val="restart"/>
            <w:tcBorders>
              <w:top w:val="single" w:sz="18" w:space="0" w:color="FFFFFF"/>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5"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50"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343"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216,596,780.00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1,335,718,114.77</w:t>
            </w: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9" w:right="0"/>
              <w:jc w:val="left"/>
              <w:rPr>
                <w:rFonts w:ascii="Times New Roman" w:hAnsi="Times New Roman" w:cs="Times New Roman" w:eastAsia="Times New Roman" w:hint="default"/>
                <w:sz w:val="18"/>
                <w:szCs w:val="18"/>
              </w:rPr>
            </w:pPr>
            <w:r>
              <w:rPr>
                <w:rFonts w:ascii="Times New Roman"/>
                <w:sz w:val="18"/>
              </w:rPr>
              <w:t>50,489.15</w:t>
            </w: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51,561,214.62</w:t>
            </w:r>
          </w:p>
        </w:tc>
        <w:tc>
          <w:tcPr>
            <w:tcW w:w="7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361,670,071.14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11,715,082.64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1,977,311,752.32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6840" w:h="11910" w:orient="landscape"/>
          <w:pgMar w:footer="979" w:header="867" w:top="1060" w:bottom="1160" w:left="1300" w:right="0"/>
          <w:pgNumType w:start="101"/>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389"/>
        <w:gridCol w:w="1193"/>
        <w:gridCol w:w="450"/>
        <w:gridCol w:w="451"/>
        <w:gridCol w:w="343"/>
        <w:gridCol w:w="1316"/>
        <w:gridCol w:w="739"/>
        <w:gridCol w:w="1083"/>
        <w:gridCol w:w="558"/>
        <w:gridCol w:w="1092"/>
        <w:gridCol w:w="774"/>
        <w:gridCol w:w="1181"/>
        <w:gridCol w:w="1118"/>
        <w:gridCol w:w="1316"/>
      </w:tblGrid>
      <w:tr>
        <w:trPr>
          <w:trHeight w:val="416" w:hRule="exact"/>
        </w:trPr>
        <w:tc>
          <w:tcPr>
            <w:tcW w:w="2389" w:type="dxa"/>
            <w:vMerge w:val="restart"/>
            <w:tcBorders>
              <w:top w:val="single" w:sz="15" w:space="0" w:color="000000"/>
              <w:left w:val="single" w:sz="4" w:space="0" w:color="000000"/>
              <w:right w:val="single" w:sz="4" w:space="0" w:color="000000"/>
            </w:tcBorders>
            <w:shd w:val="clear" w:color="auto" w:fill="D2D2D2"/>
          </w:tcPr>
          <w:p>
            <w:pPr/>
          </w:p>
        </w:tc>
        <w:tc>
          <w:tcPr>
            <w:tcW w:w="11614"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2389" w:type="dxa"/>
            <w:vMerge/>
            <w:tcBorders>
              <w:left w:val="single" w:sz="4" w:space="0" w:color="000000"/>
              <w:bottom w:val="nil" w:sz="6" w:space="0" w:color="auto"/>
              <w:right w:val="single" w:sz="4" w:space="0" w:color="000000"/>
            </w:tcBorders>
            <w:shd w:val="clear" w:color="auto" w:fill="D2D2D2"/>
          </w:tcPr>
          <w:p>
            <w:pPr/>
          </w:p>
        </w:tc>
        <w:tc>
          <w:tcPr>
            <w:tcW w:w="918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2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FFFFFF"/>
            </w:tcBorders>
            <w:shd w:val="clear" w:color="auto" w:fill="D2D2D2"/>
          </w:tcPr>
          <w:p>
            <w:pPr/>
          </w:p>
        </w:tc>
        <w:tc>
          <w:tcPr>
            <w:tcW w:w="774" w:type="dxa"/>
            <w:tcBorders>
              <w:top w:val="single" w:sz="4" w:space="0" w:color="000000"/>
              <w:left w:val="single" w:sz="4" w:space="0" w:color="FFFFFF"/>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1"/>
              <w:ind w:left="463" w:right="102"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389"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244"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73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73" w:right="22" w:hanging="251"/>
              <w:jc w:val="left"/>
              <w:rPr>
                <w:rFonts w:ascii="宋体" w:hAnsi="宋体" w:cs="宋体" w:eastAsia="宋体" w:hint="default"/>
                <w:sz w:val="18"/>
                <w:szCs w:val="18"/>
              </w:rPr>
            </w:pPr>
            <w:r>
              <w:rPr>
                <w:rFonts w:ascii="宋体" w:hAnsi="宋体" w:cs="宋体" w:eastAsia="宋体" w:hint="default"/>
                <w:spacing w:val="-10"/>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445" w:right="87"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93" w:right="9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FFFFFF"/>
            </w:tcBorders>
            <w:shd w:val="clear" w:color="auto" w:fill="D2D2D2"/>
          </w:tcPr>
          <w:p>
            <w:pPr/>
          </w:p>
        </w:tc>
        <w:tc>
          <w:tcPr>
            <w:tcW w:w="77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2"/>
              <w:ind w:left="111" w:right="11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389"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29"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29" w:right="41"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76"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9" w:type="dxa"/>
            <w:vMerge/>
            <w:tcBorders>
              <w:left w:val="single" w:sz="4" w:space="0" w:color="000000"/>
              <w:right w:val="single" w:sz="4" w:space="0" w:color="000000"/>
            </w:tcBorders>
            <w:shd w:val="clear" w:color="auto" w:fill="D2D2D2"/>
          </w:tcPr>
          <w:p>
            <w:pPr/>
          </w:p>
        </w:tc>
        <w:tc>
          <w:tcPr>
            <w:tcW w:w="1083"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4"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8"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2389"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1083"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FFFFFF"/>
            </w:tcBorders>
            <w:shd w:val="clear" w:color="auto" w:fill="D2D2D2"/>
          </w:tcPr>
          <w:p>
            <w:pPr/>
          </w:p>
        </w:tc>
        <w:tc>
          <w:tcPr>
            <w:tcW w:w="774"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118" w:type="dxa"/>
            <w:vMerge/>
            <w:tcBorders>
              <w:left w:val="single" w:sz="4" w:space="0" w:color="000000"/>
              <w:bottom w:val="single" w:sz="18" w:space="0" w:color="FFFFFF"/>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389"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739" w:type="dxa"/>
            <w:vMerge/>
            <w:tcBorders>
              <w:left w:val="single" w:sz="4" w:space="0" w:color="000000"/>
              <w:bottom w:val="nil" w:sz="6" w:space="0" w:color="auto"/>
              <w:right w:val="single" w:sz="4" w:space="0" w:color="000000"/>
            </w:tcBorders>
            <w:shd w:val="clear" w:color="auto" w:fill="D2D2D2"/>
          </w:tcPr>
          <w:p>
            <w:pPr/>
          </w:p>
        </w:tc>
        <w:tc>
          <w:tcPr>
            <w:tcW w:w="1083" w:type="dxa"/>
            <w:vMerge/>
            <w:tcBorders>
              <w:left w:val="single" w:sz="4" w:space="0" w:color="000000"/>
              <w:bottom w:val="nil" w:sz="6" w:space="0" w:color="auto"/>
              <w:right w:val="single" w:sz="4" w:space="0" w:color="000000"/>
            </w:tcBorders>
            <w:shd w:val="clear" w:color="auto" w:fill="D2D2D2"/>
          </w:tcPr>
          <w:p>
            <w:pPr/>
          </w:p>
        </w:tc>
        <w:tc>
          <w:tcPr>
            <w:tcW w:w="558"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
        </w:tc>
        <w:tc>
          <w:tcPr>
            <w:tcW w:w="774" w:type="dxa"/>
            <w:vMerge/>
            <w:tcBorders>
              <w:left w:val="single" w:sz="4" w:space="0" w:color="FFFFFF"/>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118" w:type="dxa"/>
            <w:vMerge w:val="restart"/>
            <w:tcBorders>
              <w:top w:val="single" w:sz="18" w:space="0" w:color="FFFFFF"/>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50"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343"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FFFFFF"/>
            </w:tcBorders>
            <w:shd w:val="clear" w:color="auto" w:fill="D2D2D2"/>
          </w:tcPr>
          <w:p>
            <w:pPr/>
          </w:p>
        </w:tc>
        <w:tc>
          <w:tcPr>
            <w:tcW w:w="774"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216,596,780.00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1,335,718,114.77</w:t>
            </w: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50,489.15</w:t>
            </w: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51,561,214.62</w:t>
            </w: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361,670,071.14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11,715,082.64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1,977,311,752.32</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7"/>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324,895,170.00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-324,895,170.00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1,251,741.47</w:t>
            </w: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10,006,526.42</w:t>
            </w: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186,943,508.46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8,084,374.19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206,286,150.54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1,251,741.47</w:t>
            </w: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218,609,712.88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-7,375,625.81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212,485,828.54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15,460,000.00</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10,006,526.42</w:t>
            </w: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-31,666,204.42</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-21,659,678.00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10,006,526.42</w:t>
            </w: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-10,006,526.42</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-21,659,678.00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-21,659,678.00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324,895,170.00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-324,895,170.00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92.619995pt;margin-top:153.200012pt;width:56.25pt;height:39.75pt;mso-position-horizontal-relative:page;mso-position-vertical-relative:page;z-index:-1057120" coordorigin="3852,3064" coordsize="1125,795">
            <v:group style="position:absolute;left:3852;top:3064;width:1125;height:393" coordorigin="3852,3064" coordsize="1125,393">
              <v:shape style="position:absolute;left:3852;top:3064;width:1125;height:393" coordorigin="3852,3064" coordsize="1125,393" path="m3852,3456l4977,3456,4977,3064,3852,3064,3852,3456xe" filled="true" fillcolor="#ffffff" stroked="false">
                <v:path arrowok="t"/>
                <v:fill type="solid"/>
              </v:shape>
            </v:group>
            <v:group style="position:absolute;left:3852;top:3466;width:1125;height:393" coordorigin="3852,3466" coordsize="1125,393">
              <v:shape style="position:absolute;left:3852;top:3466;width:1125;height:393" coordorigin="3852,3466" coordsize="1125,393" path="m3852,3858l4977,3858,4977,3466,3852,3466,3852,3858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2389"/>
        <w:gridCol w:w="1193"/>
        <w:gridCol w:w="450"/>
        <w:gridCol w:w="451"/>
        <w:gridCol w:w="343"/>
        <w:gridCol w:w="1316"/>
        <w:gridCol w:w="739"/>
        <w:gridCol w:w="1083"/>
        <w:gridCol w:w="558"/>
        <w:gridCol w:w="1092"/>
        <w:gridCol w:w="774"/>
        <w:gridCol w:w="1181"/>
        <w:gridCol w:w="1118"/>
        <w:gridCol w:w="1316"/>
      </w:tblGrid>
      <w:tr>
        <w:trPr>
          <w:trHeight w:val="416" w:hRule="exact"/>
        </w:trPr>
        <w:tc>
          <w:tcPr>
            <w:tcW w:w="2389" w:type="dxa"/>
            <w:vMerge w:val="restart"/>
            <w:tcBorders>
              <w:top w:val="single" w:sz="15" w:space="0" w:color="000000"/>
              <w:left w:val="single" w:sz="4" w:space="0" w:color="000000"/>
              <w:right w:val="single" w:sz="4" w:space="0" w:color="000000"/>
            </w:tcBorders>
            <w:shd w:val="clear" w:color="auto" w:fill="D2D2D2"/>
          </w:tcPr>
          <w:p>
            <w:pPr/>
          </w:p>
        </w:tc>
        <w:tc>
          <w:tcPr>
            <w:tcW w:w="11614"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2389" w:type="dxa"/>
            <w:vMerge/>
            <w:tcBorders>
              <w:left w:val="single" w:sz="4" w:space="0" w:color="000000"/>
              <w:bottom w:val="nil" w:sz="6" w:space="0" w:color="auto"/>
              <w:right w:val="single" w:sz="4" w:space="0" w:color="000000"/>
            </w:tcBorders>
            <w:shd w:val="clear" w:color="auto" w:fill="D2D2D2"/>
          </w:tcPr>
          <w:p>
            <w:pPr/>
          </w:p>
        </w:tc>
        <w:tc>
          <w:tcPr>
            <w:tcW w:w="918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2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FFFFFF"/>
            </w:tcBorders>
            <w:shd w:val="clear" w:color="auto" w:fill="D2D2D2"/>
          </w:tcPr>
          <w:p>
            <w:pPr/>
          </w:p>
        </w:tc>
        <w:tc>
          <w:tcPr>
            <w:tcW w:w="739" w:type="dxa"/>
            <w:tcBorders>
              <w:top w:val="single" w:sz="4" w:space="0" w:color="000000"/>
              <w:left w:val="single" w:sz="4" w:space="0" w:color="FFFFFF"/>
              <w:bottom w:val="nil" w:sz="6" w:space="0" w:color="auto"/>
              <w:right w:val="single" w:sz="4" w:space="0" w:color="000000"/>
            </w:tcBorders>
            <w:shd w:val="clear" w:color="auto" w:fill="D2D2D2"/>
          </w:tcPr>
          <w:p>
            <w:pPr/>
          </w:p>
        </w:tc>
        <w:tc>
          <w:tcPr>
            <w:tcW w:w="1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FFFFFF"/>
            </w:tcBorders>
            <w:shd w:val="clear" w:color="auto" w:fill="D2D2D2"/>
          </w:tcPr>
          <w:p>
            <w:pPr/>
          </w:p>
        </w:tc>
        <w:tc>
          <w:tcPr>
            <w:tcW w:w="774" w:type="dxa"/>
            <w:tcBorders>
              <w:top w:val="single" w:sz="4" w:space="0" w:color="000000"/>
              <w:left w:val="single" w:sz="4" w:space="0" w:color="FFFFFF"/>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1"/>
              <w:ind w:left="463" w:right="102"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389"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244"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FFFFFF"/>
            </w:tcBorders>
            <w:shd w:val="clear" w:color="auto" w:fill="D2D2D2"/>
          </w:tcPr>
          <w:p>
            <w:pPr/>
          </w:p>
        </w:tc>
        <w:tc>
          <w:tcPr>
            <w:tcW w:w="739"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273" w:right="22" w:hanging="251"/>
              <w:jc w:val="left"/>
              <w:rPr>
                <w:rFonts w:ascii="宋体" w:hAnsi="宋体" w:cs="宋体" w:eastAsia="宋体" w:hint="default"/>
                <w:sz w:val="18"/>
                <w:szCs w:val="18"/>
              </w:rPr>
            </w:pPr>
            <w:r>
              <w:rPr>
                <w:rFonts w:ascii="宋体" w:hAnsi="宋体" w:cs="宋体" w:eastAsia="宋体" w:hint="default"/>
                <w:spacing w:val="-10"/>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45" w:right="87"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93" w:right="9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FFFFFF"/>
            </w:tcBorders>
            <w:shd w:val="clear" w:color="auto" w:fill="D2D2D2"/>
          </w:tcPr>
          <w:p>
            <w:pPr/>
          </w:p>
        </w:tc>
        <w:tc>
          <w:tcPr>
            <w:tcW w:w="77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111" w:right="11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389"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8"/>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7"/>
              <w:ind w:left="129"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7"/>
              <w:ind w:left="129" w:right="41"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7"/>
              <w:ind w:left="76"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68"/>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9" w:type="dxa"/>
            <w:vMerge/>
            <w:tcBorders>
              <w:left w:val="single" w:sz="4" w:space="0" w:color="FFFFFF"/>
              <w:right w:val="single" w:sz="4" w:space="0" w:color="000000"/>
            </w:tcBorders>
            <w:shd w:val="clear" w:color="auto" w:fill="D2D2D2"/>
          </w:tcPr>
          <w:p>
            <w:pPr/>
          </w:p>
        </w:tc>
        <w:tc>
          <w:tcPr>
            <w:tcW w:w="1083"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68"/>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4"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8"/>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8"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2389"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FFFFFF"/>
            </w:tcBorders>
            <w:shd w:val="clear" w:color="auto" w:fill="D2D2D2"/>
          </w:tcPr>
          <w:p>
            <w:pPr/>
          </w:p>
        </w:tc>
        <w:tc>
          <w:tcPr>
            <w:tcW w:w="739" w:type="dxa"/>
            <w:vMerge/>
            <w:tcBorders>
              <w:left w:val="single" w:sz="4" w:space="0" w:color="FFFFFF"/>
              <w:right w:val="single" w:sz="4" w:space="0" w:color="000000"/>
            </w:tcBorders>
            <w:shd w:val="clear" w:color="auto" w:fill="D2D2D2"/>
          </w:tcPr>
          <w:p>
            <w:pPr/>
          </w:p>
        </w:tc>
        <w:tc>
          <w:tcPr>
            <w:tcW w:w="1083" w:type="dxa"/>
            <w:vMerge/>
            <w:tcBorders>
              <w:left w:val="single" w:sz="4" w:space="0" w:color="000000"/>
              <w:right w:val="single" w:sz="4" w:space="0" w:color="000000"/>
            </w:tcBorders>
            <w:shd w:val="clear" w:color="auto" w:fill="D2D2D2"/>
          </w:tcPr>
          <w:p>
            <w:pPr/>
          </w:p>
        </w:tc>
        <w:tc>
          <w:tcPr>
            <w:tcW w:w="558"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FFFFFF"/>
            </w:tcBorders>
            <w:shd w:val="clear" w:color="auto" w:fill="D2D2D2"/>
          </w:tcPr>
          <w:p>
            <w:pPr/>
          </w:p>
        </w:tc>
        <w:tc>
          <w:tcPr>
            <w:tcW w:w="774"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118" w:type="dxa"/>
            <w:vMerge/>
            <w:tcBorders>
              <w:left w:val="single" w:sz="4" w:space="0" w:color="000000"/>
              <w:bottom w:val="single" w:sz="18" w:space="0" w:color="FFFFFF"/>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389"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3"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FFFFFF"/>
            </w:tcBorders>
            <w:shd w:val="clear" w:color="auto" w:fill="D2D2D2"/>
          </w:tcPr>
          <w:p>
            <w:pPr/>
          </w:p>
        </w:tc>
        <w:tc>
          <w:tcPr>
            <w:tcW w:w="739" w:type="dxa"/>
            <w:vMerge/>
            <w:tcBorders>
              <w:left w:val="single" w:sz="4" w:space="0" w:color="FFFFFF"/>
              <w:bottom w:val="nil" w:sz="6" w:space="0" w:color="auto"/>
              <w:right w:val="single" w:sz="4" w:space="0" w:color="000000"/>
            </w:tcBorders>
            <w:shd w:val="clear" w:color="auto" w:fill="D2D2D2"/>
          </w:tcPr>
          <w:p>
            <w:pPr/>
          </w:p>
        </w:tc>
        <w:tc>
          <w:tcPr>
            <w:tcW w:w="1083" w:type="dxa"/>
            <w:vMerge/>
            <w:tcBorders>
              <w:left w:val="single" w:sz="4" w:space="0" w:color="000000"/>
              <w:bottom w:val="nil" w:sz="6" w:space="0" w:color="auto"/>
              <w:right w:val="single" w:sz="4" w:space="0" w:color="000000"/>
            </w:tcBorders>
            <w:shd w:val="clear" w:color="auto" w:fill="D2D2D2"/>
          </w:tcPr>
          <w:p>
            <w:pPr/>
          </w:p>
        </w:tc>
        <w:tc>
          <w:tcPr>
            <w:tcW w:w="558"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FFFFFF"/>
            </w:tcBorders>
            <w:shd w:val="clear" w:color="auto" w:fill="D2D2D2"/>
          </w:tcPr>
          <w:p>
            <w:pPr/>
          </w:p>
        </w:tc>
        <w:tc>
          <w:tcPr>
            <w:tcW w:w="774" w:type="dxa"/>
            <w:vMerge/>
            <w:tcBorders>
              <w:left w:val="single" w:sz="4" w:space="0" w:color="FFFFFF"/>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118" w:type="dxa"/>
            <w:vMerge w:val="restart"/>
            <w:tcBorders>
              <w:top w:val="single" w:sz="18" w:space="0" w:color="FFFFFF"/>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50"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343"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FFFFFF"/>
            </w:tcBorders>
            <w:shd w:val="clear" w:color="auto" w:fill="D2D2D2"/>
          </w:tcPr>
          <w:p>
            <w:pPr/>
          </w:p>
        </w:tc>
        <w:tc>
          <w:tcPr>
            <w:tcW w:w="739" w:type="dxa"/>
            <w:tcBorders>
              <w:top w:val="nil" w:sz="6" w:space="0" w:color="auto"/>
              <w:left w:val="single" w:sz="4" w:space="0" w:color="FFFFFF"/>
              <w:bottom w:val="single" w:sz="4" w:space="0" w:color="000000"/>
              <w:right w:val="single" w:sz="4" w:space="0" w:color="000000"/>
            </w:tcBorders>
            <w:shd w:val="clear" w:color="auto" w:fill="D2D2D2"/>
          </w:tcPr>
          <w:p>
            <w:pPr/>
          </w:p>
        </w:tc>
        <w:tc>
          <w:tcPr>
            <w:tcW w:w="1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FFFFFF"/>
            </w:tcBorders>
            <w:shd w:val="clear" w:color="auto" w:fill="D2D2D2"/>
          </w:tcPr>
          <w:p>
            <w:pPr/>
          </w:p>
        </w:tc>
        <w:tc>
          <w:tcPr>
            <w:tcW w:w="774"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w:t>
            </w:r>
            <w:r>
              <w:rPr>
                <w:rFonts w:ascii="宋体" w:hAnsi="宋体" w:cs="宋体" w:eastAsia="宋体" w:hint="default"/>
                <w:spacing w:val="-82"/>
                <w:sz w:val="18"/>
                <w:szCs w:val="18"/>
              </w:rPr>
              <w:t>本</w:t>
            </w:r>
            <w:r>
              <w:rPr>
                <w:rFonts w:ascii="宋体" w:hAnsi="宋体" w:cs="宋体" w:eastAsia="宋体" w:hint="default"/>
                <w:sz w:val="18"/>
                <w:szCs w:val="18"/>
              </w:rPr>
              <w:t>（或股本</w:t>
            </w:r>
          </w:p>
        </w:tc>
        <w:tc>
          <w:tcPr>
            <w:tcW w:w="119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73"/>
              <w:ind w:left="-101"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324,895,170.00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-324,895,170.00</w:t>
            </w: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w:t>
            </w:r>
            <w:r>
              <w:rPr>
                <w:rFonts w:ascii="宋体" w:hAnsi="宋体" w:cs="宋体" w:eastAsia="宋体" w:hint="default"/>
                <w:spacing w:val="-82"/>
                <w:sz w:val="18"/>
                <w:szCs w:val="18"/>
              </w:rPr>
              <w:t>本</w:t>
            </w:r>
            <w:r>
              <w:rPr>
                <w:rFonts w:ascii="宋体" w:hAnsi="宋体" w:cs="宋体" w:eastAsia="宋体" w:hint="default"/>
                <w:sz w:val="18"/>
                <w:szCs w:val="18"/>
              </w:rPr>
              <w:t>（或股本</w:t>
            </w:r>
          </w:p>
        </w:tc>
        <w:tc>
          <w:tcPr>
            <w:tcW w:w="119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73"/>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541,491,950.00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1,010,822,944.77</w:t>
            </w:r>
          </w:p>
        </w:tc>
        <w:tc>
          <w:tcPr>
            <w:tcW w:w="739" w:type="dxa"/>
            <w:tcBorders>
              <w:top w:val="single" w:sz="4" w:space="0" w:color="000000"/>
              <w:left w:val="single" w:sz="4" w:space="0" w:color="FFFFFF"/>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4" w:right="0"/>
              <w:jc w:val="left"/>
              <w:rPr>
                <w:rFonts w:ascii="Times New Roman" w:hAnsi="Times New Roman" w:cs="Times New Roman" w:eastAsia="Times New Roman" w:hint="default"/>
                <w:sz w:val="18"/>
                <w:szCs w:val="18"/>
              </w:rPr>
            </w:pPr>
            <w:r>
              <w:rPr>
                <w:rFonts w:ascii="Times New Roman"/>
                <w:sz w:val="18"/>
              </w:rPr>
              <w:t>1,302,230.62</w:t>
            </w:r>
          </w:p>
        </w:tc>
        <w:tc>
          <w:tcPr>
            <w:tcW w:w="55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3"/>
              <w:ind w:left="25" w:right="0"/>
              <w:jc w:val="left"/>
              <w:rPr>
                <w:rFonts w:ascii="Times New Roman" w:hAnsi="Times New Roman" w:cs="Times New Roman" w:eastAsia="Times New Roman" w:hint="default"/>
                <w:sz w:val="18"/>
                <w:szCs w:val="18"/>
              </w:rPr>
            </w:pPr>
            <w:r>
              <w:rPr>
                <w:rFonts w:ascii="Times New Roman"/>
                <w:sz w:val="18"/>
              </w:rPr>
              <w:t>61,567,741.04</w:t>
            </w:r>
          </w:p>
        </w:tc>
        <w:tc>
          <w:tcPr>
            <w:tcW w:w="774"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548,613,579.60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18"/>
                <w:szCs w:val="18"/>
              </w:rPr>
            </w:pPr>
            <w:r>
              <w:rPr>
                <w:rFonts w:ascii="Times New Roman"/>
                <w:sz w:val="18"/>
              </w:rPr>
              <w:t>19,799,456.83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 w:right="0"/>
              <w:jc w:val="left"/>
              <w:rPr>
                <w:rFonts w:ascii="Times New Roman" w:hAnsi="Times New Roman" w:cs="Times New Roman" w:eastAsia="Times New Roman" w:hint="default"/>
                <w:sz w:val="18"/>
                <w:szCs w:val="18"/>
              </w:rPr>
            </w:pPr>
            <w:r>
              <w:rPr>
                <w:rFonts w:ascii="Times New Roman"/>
                <w:sz w:val="18"/>
              </w:rPr>
              <w:t>2,183,597,902.86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40" w:right="0"/>
        <w:jc w:val="left"/>
        <w:rPr>
          <w:b w:val="0"/>
          <w:bCs w:val="0"/>
        </w:rPr>
      </w:pPr>
      <w:bookmarkStart w:name="8、母公司所有者权益变动表" w:id="178"/>
      <w:bookmarkEnd w:id="17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7"/>
        <w:ind w:left="0" w:right="1436"/>
        <w:jc w:val="right"/>
      </w:pPr>
      <w:r>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002"/>
        <w:gridCol w:w="1182"/>
        <w:gridCol w:w="521"/>
        <w:gridCol w:w="521"/>
        <w:gridCol w:w="1181"/>
        <w:gridCol w:w="1317"/>
        <w:gridCol w:w="1091"/>
        <w:gridCol w:w="949"/>
        <w:gridCol w:w="664"/>
        <w:gridCol w:w="1091"/>
        <w:gridCol w:w="1181"/>
        <w:gridCol w:w="1316"/>
      </w:tblGrid>
      <w:tr>
        <w:trPr>
          <w:trHeight w:val="397" w:hRule="exact"/>
        </w:trPr>
        <w:tc>
          <w:tcPr>
            <w:tcW w:w="3002" w:type="dxa"/>
            <w:vMerge w:val="restart"/>
            <w:tcBorders>
              <w:top w:val="single" w:sz="4" w:space="0" w:color="000000"/>
              <w:left w:val="single" w:sz="4" w:space="0" w:color="000000"/>
              <w:right w:val="single" w:sz="4" w:space="0" w:color="000000"/>
            </w:tcBorders>
            <w:shd w:val="clear" w:color="auto" w:fill="D2D2D2"/>
          </w:tcPr>
          <w:p>
            <w:pPr/>
          </w:p>
        </w:tc>
        <w:tc>
          <w:tcPr>
            <w:tcW w:w="1101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3002"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22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3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2" w:type="dxa"/>
            <w:vMerge/>
            <w:tcBorders>
              <w:left w:val="single" w:sz="4" w:space="0" w:color="000000"/>
              <w:bottom w:val="single" w:sz="14" w:space="0" w:color="FFFFFF"/>
              <w:right w:val="single" w:sz="4" w:space="0" w:color="000000"/>
            </w:tcBorders>
            <w:shd w:val="clear" w:color="auto" w:fill="D2D2D2"/>
          </w:tcPr>
          <w:p>
            <w:pPr/>
          </w:p>
        </w:tc>
        <w:tc>
          <w:tcPr>
            <w:tcW w:w="2222" w:type="dxa"/>
            <w:gridSpan w:val="3"/>
            <w:vMerge/>
            <w:tcBorders>
              <w:left w:val="single" w:sz="4" w:space="0" w:color="000000"/>
              <w:bottom w:val="single" w:sz="14" w:space="0" w:color="FFFFFF"/>
              <w:right w:val="single" w:sz="4" w:space="0" w:color="000000"/>
            </w:tcBorders>
            <w:shd w:val="clear" w:color="auto" w:fill="D2D2D2"/>
          </w:tcPr>
          <w:p>
            <w:pPr/>
          </w:p>
        </w:tc>
        <w:tc>
          <w:tcPr>
            <w:tcW w:w="1317" w:type="dxa"/>
            <w:vMerge/>
            <w:tcBorders>
              <w:left w:val="single" w:sz="4" w:space="0" w:color="000000"/>
              <w:bottom w:val="single" w:sz="14" w:space="0" w:color="FFFFFF"/>
              <w:right w:val="single" w:sz="4" w:space="0" w:color="000000"/>
            </w:tcBorders>
            <w:shd w:val="clear" w:color="auto" w:fill="D2D2D2"/>
          </w:tcPr>
          <w:p>
            <w:pPr/>
          </w:p>
        </w:tc>
        <w:tc>
          <w:tcPr>
            <w:tcW w:w="1091" w:type="dxa"/>
            <w:vMerge/>
            <w:tcBorders>
              <w:left w:val="single" w:sz="4" w:space="0" w:color="000000"/>
              <w:bottom w:val="single" w:sz="14" w:space="0" w:color="FFFFFF"/>
              <w:right w:val="single" w:sz="4" w:space="0" w:color="000000"/>
            </w:tcBorders>
            <w:shd w:val="clear" w:color="auto" w:fill="D2D2D2"/>
          </w:tcPr>
          <w:p>
            <w:pPr/>
          </w:p>
        </w:tc>
        <w:tc>
          <w:tcPr>
            <w:tcW w:w="9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9" w:right="10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36"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3002"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31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3002" w:type="dxa"/>
            <w:vMerge w:val="restart"/>
            <w:tcBorders>
              <w:top w:val="nil" w:sz="6" w:space="0" w:color="auto"/>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3002"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949"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83" w:hRule="exact"/>
        </w:trPr>
        <w:tc>
          <w:tcPr>
            <w:tcW w:w="3002"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541,491,950.00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1,012,874,910.87</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61,567,741.04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323,701,828.80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1,939,636,430.71</w:t>
            </w:r>
          </w:p>
        </w:tc>
      </w:tr>
      <w:tr>
        <w:trPr>
          <w:trHeight w:val="402" w:hRule="exact"/>
        </w:trPr>
        <w:tc>
          <w:tcPr>
            <w:tcW w:w="3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2"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979"/>
        <w:gridCol w:w="1193"/>
        <w:gridCol w:w="521"/>
        <w:gridCol w:w="521"/>
        <w:gridCol w:w="1181"/>
        <w:gridCol w:w="1317"/>
        <w:gridCol w:w="1091"/>
        <w:gridCol w:w="949"/>
        <w:gridCol w:w="664"/>
        <w:gridCol w:w="1091"/>
        <w:gridCol w:w="1181"/>
        <w:gridCol w:w="1316"/>
      </w:tblGrid>
      <w:tr>
        <w:trPr>
          <w:trHeight w:val="412" w:hRule="exact"/>
        </w:trPr>
        <w:tc>
          <w:tcPr>
            <w:tcW w:w="2979" w:type="dxa"/>
            <w:vMerge w:val="restart"/>
            <w:tcBorders>
              <w:top w:val="single" w:sz="15" w:space="0" w:color="000000"/>
              <w:left w:val="single" w:sz="4" w:space="0" w:color="000000"/>
              <w:right w:val="single" w:sz="4" w:space="0" w:color="000000"/>
            </w:tcBorders>
            <w:shd w:val="clear" w:color="auto" w:fill="D2D2D2"/>
          </w:tcPr>
          <w:p>
            <w:pPr/>
          </w:p>
        </w:tc>
        <w:tc>
          <w:tcPr>
            <w:tcW w:w="11025"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9"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22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single" w:sz="14" w:space="0" w:color="FFFFFF"/>
              <w:right w:val="single" w:sz="4" w:space="0" w:color="000000"/>
            </w:tcBorders>
            <w:shd w:val="clear" w:color="auto" w:fill="D2D2D2"/>
          </w:tcPr>
          <w:p>
            <w:pPr/>
          </w:p>
        </w:tc>
        <w:tc>
          <w:tcPr>
            <w:tcW w:w="2222" w:type="dxa"/>
            <w:gridSpan w:val="3"/>
            <w:vMerge/>
            <w:tcBorders>
              <w:left w:val="single" w:sz="4" w:space="0" w:color="000000"/>
              <w:bottom w:val="single" w:sz="14" w:space="0" w:color="FFFFFF"/>
              <w:right w:val="single" w:sz="4" w:space="0" w:color="000000"/>
            </w:tcBorders>
            <w:shd w:val="clear" w:color="auto" w:fill="D2D2D2"/>
          </w:tcPr>
          <w:p>
            <w:pPr/>
          </w:p>
        </w:tc>
        <w:tc>
          <w:tcPr>
            <w:tcW w:w="1317" w:type="dxa"/>
            <w:vMerge/>
            <w:tcBorders>
              <w:left w:val="single" w:sz="4" w:space="0" w:color="000000"/>
              <w:bottom w:val="single" w:sz="14" w:space="0" w:color="FFFFFF"/>
              <w:right w:val="single" w:sz="4" w:space="0" w:color="000000"/>
            </w:tcBorders>
            <w:shd w:val="clear" w:color="auto" w:fill="D2D2D2"/>
          </w:tcPr>
          <w:p>
            <w:pPr/>
          </w:p>
        </w:tc>
        <w:tc>
          <w:tcPr>
            <w:tcW w:w="1091" w:type="dxa"/>
            <w:vMerge/>
            <w:tcBorders>
              <w:left w:val="single" w:sz="4" w:space="0" w:color="000000"/>
              <w:bottom w:val="single" w:sz="14" w:space="0" w:color="FFFFFF"/>
              <w:right w:val="single" w:sz="4" w:space="0" w:color="000000"/>
            </w:tcBorders>
            <w:shd w:val="clear" w:color="auto" w:fill="D2D2D2"/>
          </w:tcPr>
          <w:p>
            <w:pPr/>
          </w:p>
        </w:tc>
        <w:tc>
          <w:tcPr>
            <w:tcW w:w="9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9" w:right="10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36"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31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979"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979"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949"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2979"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541,491,950.00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1,012,874,910.87</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61,567,741.04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323,701,828.80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1,939,636,430.71</w:t>
            </w:r>
          </w:p>
        </w:tc>
      </w:tr>
      <w:tr>
        <w:trPr>
          <w:trHeight w:val="714"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169,235,467.00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-118,866,535.52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82,113,497.63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254,886,375.48</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109,279,633.99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109,279,633.99</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43,515,193.48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161,844,914.45</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6,853,738.00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36,276,461.98</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43,130,199.98</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154,607,862.97</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7,238,731.50</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7,238,731.50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-27,166,136.36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-16,238,172.96</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10,927,963.40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-10,927,963.40</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-16,238,172.96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-16,238,172.96</w:t>
            </w: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162,381,729.00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990"/>
        <w:gridCol w:w="1182"/>
        <w:gridCol w:w="521"/>
        <w:gridCol w:w="521"/>
        <w:gridCol w:w="1181"/>
        <w:gridCol w:w="1317"/>
        <w:gridCol w:w="1091"/>
        <w:gridCol w:w="949"/>
        <w:gridCol w:w="664"/>
        <w:gridCol w:w="1091"/>
        <w:gridCol w:w="1181"/>
        <w:gridCol w:w="1316"/>
      </w:tblGrid>
      <w:tr>
        <w:trPr>
          <w:trHeight w:val="412" w:hRule="exact"/>
        </w:trPr>
        <w:tc>
          <w:tcPr>
            <w:tcW w:w="2990" w:type="dxa"/>
            <w:vMerge w:val="restart"/>
            <w:tcBorders>
              <w:top w:val="single" w:sz="15" w:space="0" w:color="000000"/>
              <w:left w:val="single" w:sz="4" w:space="0" w:color="000000"/>
              <w:right w:val="single" w:sz="4" w:space="0" w:color="000000"/>
            </w:tcBorders>
            <w:shd w:val="clear" w:color="auto" w:fill="D2D2D2"/>
          </w:tcPr>
          <w:p>
            <w:pPr/>
          </w:p>
        </w:tc>
        <w:tc>
          <w:tcPr>
            <w:tcW w:w="11013"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9" w:hRule="exact"/>
        </w:trPr>
        <w:tc>
          <w:tcPr>
            <w:tcW w:w="2990"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22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FFFFFF"/>
            </w:tcBorders>
            <w:shd w:val="clear" w:color="auto" w:fill="D2D2D2"/>
          </w:tcPr>
          <w:p>
            <w:pPr/>
          </w:p>
        </w:tc>
        <w:tc>
          <w:tcPr>
            <w:tcW w:w="1091" w:type="dxa"/>
            <w:vMerge w:val="restart"/>
            <w:tcBorders>
              <w:top w:val="single" w:sz="4" w:space="0" w:color="000000"/>
              <w:left w:val="single" w:sz="4" w:space="0" w:color="FFFFFF"/>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182" w:type="dxa"/>
            <w:vMerge/>
            <w:tcBorders>
              <w:left w:val="single" w:sz="4" w:space="0" w:color="000000"/>
              <w:bottom w:val="single" w:sz="14" w:space="0" w:color="FFFFFF"/>
              <w:right w:val="single" w:sz="4" w:space="0" w:color="000000"/>
            </w:tcBorders>
            <w:shd w:val="clear" w:color="auto" w:fill="D2D2D2"/>
          </w:tcPr>
          <w:p>
            <w:pPr/>
          </w:p>
        </w:tc>
        <w:tc>
          <w:tcPr>
            <w:tcW w:w="2222" w:type="dxa"/>
            <w:gridSpan w:val="3"/>
            <w:vMerge/>
            <w:tcBorders>
              <w:left w:val="single" w:sz="4" w:space="0" w:color="000000"/>
              <w:bottom w:val="single" w:sz="14" w:space="0" w:color="FFFFFF"/>
              <w:right w:val="single" w:sz="4" w:space="0" w:color="000000"/>
            </w:tcBorders>
            <w:shd w:val="clear" w:color="auto" w:fill="D2D2D2"/>
          </w:tcPr>
          <w:p>
            <w:pPr/>
          </w:p>
        </w:tc>
        <w:tc>
          <w:tcPr>
            <w:tcW w:w="1317" w:type="dxa"/>
            <w:vMerge/>
            <w:tcBorders>
              <w:left w:val="single" w:sz="4" w:space="0" w:color="000000"/>
              <w:bottom w:val="single" w:sz="14" w:space="0" w:color="FFFFFF"/>
              <w:right w:val="single" w:sz="4" w:space="0" w:color="000000"/>
            </w:tcBorders>
            <w:shd w:val="clear" w:color="auto" w:fill="D2D2D2"/>
          </w:tcPr>
          <w:p>
            <w:pPr/>
          </w:p>
        </w:tc>
        <w:tc>
          <w:tcPr>
            <w:tcW w:w="1091" w:type="dxa"/>
            <w:vMerge/>
            <w:tcBorders>
              <w:left w:val="single" w:sz="4" w:space="0" w:color="000000"/>
              <w:bottom w:val="single" w:sz="14" w:space="0" w:color="FFFFFF"/>
              <w:right w:val="single" w:sz="4" w:space="0" w:color="000000"/>
            </w:tcBorders>
            <w:shd w:val="clear" w:color="auto" w:fill="D2D2D2"/>
          </w:tcPr>
          <w:p>
            <w:pPr/>
          </w:p>
        </w:tc>
        <w:tc>
          <w:tcPr>
            <w:tcW w:w="9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9" w:right="10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64"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74"/>
              <w:ind w:left="236"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2990"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65"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31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FFFFFF"/>
            </w:tcBorders>
            <w:shd w:val="clear" w:color="auto" w:fill="D2D2D2"/>
          </w:tcPr>
          <w:p>
            <w:pPr/>
          </w:p>
        </w:tc>
        <w:tc>
          <w:tcPr>
            <w:tcW w:w="1091"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4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990" w:type="dxa"/>
            <w:vMerge w:val="restart"/>
            <w:tcBorders>
              <w:top w:val="nil" w:sz="6" w:space="0" w:color="auto"/>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949"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FFFFFF"/>
            </w:tcBorders>
            <w:shd w:val="clear" w:color="auto" w:fill="D2D2D2"/>
          </w:tcPr>
          <w:p>
            <w:pPr/>
          </w:p>
        </w:tc>
        <w:tc>
          <w:tcPr>
            <w:tcW w:w="1091"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990"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949"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FFFFFF"/>
            </w:tcBorders>
            <w:shd w:val="clear" w:color="auto" w:fill="D2D2D2"/>
          </w:tcPr>
          <w:p>
            <w:pPr/>
          </w:p>
        </w:tc>
        <w:tc>
          <w:tcPr>
            <w:tcW w:w="1091" w:type="dxa"/>
            <w:vMerge w:val="restart"/>
            <w:tcBorders>
              <w:top w:val="nil" w:sz="6" w:space="0" w:color="auto"/>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2990"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FFFFFF"/>
            </w:tcBorders>
            <w:shd w:val="clear" w:color="auto" w:fill="D2D2D2"/>
          </w:tcPr>
          <w:p>
            <w:pPr/>
          </w:p>
        </w:tc>
        <w:tc>
          <w:tcPr>
            <w:tcW w:w="1091" w:type="dxa"/>
            <w:vMerge/>
            <w:tcBorders>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FFFFFF"/>
            </w:tcBorders>
          </w:tcPr>
          <w:p>
            <w:pPr/>
          </w:p>
        </w:tc>
        <w:tc>
          <w:tcPr>
            <w:tcW w:w="1091"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FFFFFF"/>
            </w:tcBorders>
          </w:tcPr>
          <w:p>
            <w:pPr/>
          </w:p>
        </w:tc>
        <w:tc>
          <w:tcPr>
            <w:tcW w:w="1091"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FFFFFF"/>
            </w:tcBorders>
          </w:tcPr>
          <w:p>
            <w:pPr/>
          </w:p>
        </w:tc>
        <w:tc>
          <w:tcPr>
            <w:tcW w:w="1091"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13" w:space="0" w:color="D2D2D2"/>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FFFFFF"/>
            </w:tcBorders>
          </w:tcPr>
          <w:p>
            <w:pPr/>
          </w:p>
        </w:tc>
        <w:tc>
          <w:tcPr>
            <w:tcW w:w="1091"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710,727,417.00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154,607,862.97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894,008,375.35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43,131,880.00</w:t>
            </w:r>
          </w:p>
        </w:tc>
        <w:tc>
          <w:tcPr>
            <w:tcW w:w="949"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FFFFFF"/>
            </w:tcBorders>
          </w:tcPr>
          <w:p>
            <w:pPr/>
          </w:p>
        </w:tc>
        <w:tc>
          <w:tcPr>
            <w:tcW w:w="10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72,495,704.44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405,815,326.43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2,194,522,806.19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44"/>
        <w:ind w:left="140" w:right="0"/>
        <w:jc w:val="left"/>
      </w:pPr>
      <w:r>
        <w:rPr/>
        <w:t>上期金额</w:t>
      </w:r>
    </w:p>
    <w:p>
      <w:pPr>
        <w:pStyle w:val="BodyText"/>
        <w:spacing w:line="240" w:lineRule="auto" w:before="117"/>
        <w:ind w:left="0" w:right="1436"/>
        <w:jc w:val="right"/>
      </w:pPr>
      <w:r>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520"/>
        <w:gridCol w:w="1192"/>
        <w:gridCol w:w="586"/>
        <w:gridCol w:w="584"/>
        <w:gridCol w:w="410"/>
        <w:gridCol w:w="1317"/>
        <w:gridCol w:w="938"/>
        <w:gridCol w:w="1109"/>
        <w:gridCol w:w="758"/>
        <w:gridCol w:w="1091"/>
        <w:gridCol w:w="1181"/>
        <w:gridCol w:w="1316"/>
      </w:tblGrid>
      <w:tr>
        <w:trPr>
          <w:trHeight w:val="397" w:hRule="exact"/>
        </w:trPr>
        <w:tc>
          <w:tcPr>
            <w:tcW w:w="3520" w:type="dxa"/>
            <w:vMerge w:val="restart"/>
            <w:tcBorders>
              <w:top w:val="single" w:sz="4" w:space="0" w:color="000000"/>
              <w:left w:val="single" w:sz="4" w:space="0" w:color="000000"/>
              <w:right w:val="single" w:sz="4" w:space="0" w:color="000000"/>
            </w:tcBorders>
            <w:shd w:val="clear" w:color="auto" w:fill="D2D2D2"/>
          </w:tcPr>
          <w:p>
            <w:pPr/>
          </w:p>
        </w:tc>
        <w:tc>
          <w:tcPr>
            <w:tcW w:w="1048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8" w:hRule="exact"/>
        </w:trPr>
        <w:tc>
          <w:tcPr>
            <w:tcW w:w="3520"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58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35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bottom w:val="single" w:sz="14" w:space="0" w:color="FFFFFF"/>
              <w:right w:val="single" w:sz="4" w:space="0" w:color="000000"/>
            </w:tcBorders>
            <w:shd w:val="clear" w:color="auto" w:fill="D2D2D2"/>
          </w:tcPr>
          <w:p>
            <w:pPr/>
          </w:p>
        </w:tc>
        <w:tc>
          <w:tcPr>
            <w:tcW w:w="1580" w:type="dxa"/>
            <w:gridSpan w:val="3"/>
            <w:vMerge/>
            <w:tcBorders>
              <w:left w:val="single" w:sz="4" w:space="0" w:color="000000"/>
              <w:bottom w:val="single" w:sz="14" w:space="0" w:color="FFFFFF"/>
              <w:right w:val="single" w:sz="4" w:space="0" w:color="000000"/>
            </w:tcBorders>
            <w:shd w:val="clear" w:color="auto" w:fill="D2D2D2"/>
          </w:tcPr>
          <w:p>
            <w:pPr/>
          </w:p>
        </w:tc>
        <w:tc>
          <w:tcPr>
            <w:tcW w:w="1317" w:type="dxa"/>
            <w:vMerge/>
            <w:tcBorders>
              <w:left w:val="single" w:sz="4" w:space="0" w:color="000000"/>
              <w:bottom w:val="single" w:sz="14" w:space="0" w:color="FFFFFF"/>
              <w:right w:val="single" w:sz="4" w:space="0" w:color="000000"/>
            </w:tcBorders>
            <w:shd w:val="clear" w:color="auto" w:fill="D2D2D2"/>
          </w:tcPr>
          <w:p>
            <w:pPr/>
          </w:p>
        </w:tc>
        <w:tc>
          <w:tcPr>
            <w:tcW w:w="938" w:type="dxa"/>
            <w:vMerge/>
            <w:tcBorders>
              <w:left w:val="single" w:sz="4" w:space="0" w:color="000000"/>
              <w:bottom w:val="single" w:sz="14" w:space="0" w:color="FFFFFF"/>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58" w:right="9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4" w:right="10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3520"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86"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97" w:right="10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84"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96" w:right="10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0"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10"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31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pacing w:val="-4"/>
                <w:sz w:val="18"/>
                <w:szCs w:val="18"/>
              </w:rPr>
              <w:t>减：库存股</w:t>
            </w:r>
          </w:p>
        </w:tc>
        <w:tc>
          <w:tcPr>
            <w:tcW w:w="1109" w:type="dxa"/>
            <w:vMerge/>
            <w:tcBorders>
              <w:left w:val="single" w:sz="4" w:space="0" w:color="000000"/>
              <w:right w:val="single" w:sz="4" w:space="0" w:color="000000"/>
            </w:tcBorders>
            <w:shd w:val="clear" w:color="auto" w:fill="D2D2D2"/>
          </w:tcPr>
          <w:p>
            <w:pPr/>
          </w:p>
        </w:tc>
        <w:tc>
          <w:tcPr>
            <w:tcW w:w="758"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3520"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75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520"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938" w:type="dxa"/>
            <w:vMerge w:val="restart"/>
            <w:tcBorders>
              <w:top w:val="nil" w:sz="6" w:space="0" w:color="auto"/>
              <w:left w:val="single" w:sz="4" w:space="0" w:color="000000"/>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520"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410"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216,596,780.00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1,337,770,080.87</w:t>
            </w: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51,561,214.62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255,302,769.02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1,861,230,844.51</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216,596,780.00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1,337,770,080.87</w:t>
            </w: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51,561,214.62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255,302,769.02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1,861,230,844.51</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45"/>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r>
              <w:rPr>
                <w:rFonts w:ascii="宋体" w:hAnsi="宋体" w:cs="宋体" w:eastAsia="宋体" w:hint="default"/>
                <w:sz w:val="18"/>
                <w:szCs w:val="18"/>
              </w:rPr>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324,895,170.00</w:t>
            </w:r>
          </w:p>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57.45pt;height:20.8pt;mso-position-horizontal-relative:char;mso-position-vertical-relative:line" coordorigin="0,0" coordsize="1149,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1126;height:393" coordorigin="23,11" coordsize="1126,393">
                    <v:shape style="position:absolute;left:23;top:11;width:1126;height:393" coordorigin="23,11" coordsize="1126,393" path="m23,404l1148,404,1148,11,23,11,23,404xe" filled="true" fillcolor="#ffffff" stroked="false">
                      <v:path arrowok="t"/>
                      <v:fill type="solid"/>
                    </v:shape>
                  </v:group>
                </v:group>
              </w:pict>
            </w:r>
            <w:r>
              <w:rPr>
                <w:rFonts w:ascii="宋体" w:hAnsi="宋体" w:cs="宋体" w:eastAsia="宋体" w:hint="default"/>
                <w:position w:val="-7"/>
                <w:sz w:val="20"/>
                <w:szCs w:val="20"/>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-324,895,170.00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10,006,526.42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68,399,059.78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78,405,586.20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100,065,264.20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100,065,264.20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520"/>
        <w:gridCol w:w="1192"/>
        <w:gridCol w:w="586"/>
        <w:gridCol w:w="584"/>
        <w:gridCol w:w="410"/>
        <w:gridCol w:w="1317"/>
        <w:gridCol w:w="938"/>
        <w:gridCol w:w="1109"/>
        <w:gridCol w:w="758"/>
        <w:gridCol w:w="1091"/>
        <w:gridCol w:w="1181"/>
        <w:gridCol w:w="1316"/>
      </w:tblGrid>
      <w:tr>
        <w:trPr>
          <w:trHeight w:val="412" w:hRule="exact"/>
        </w:trPr>
        <w:tc>
          <w:tcPr>
            <w:tcW w:w="3520" w:type="dxa"/>
            <w:vMerge w:val="restart"/>
            <w:tcBorders>
              <w:top w:val="single" w:sz="15" w:space="0" w:color="000000"/>
              <w:left w:val="single" w:sz="4" w:space="0" w:color="000000"/>
              <w:right w:val="single" w:sz="4" w:space="0" w:color="000000"/>
            </w:tcBorders>
            <w:shd w:val="clear" w:color="auto" w:fill="D2D2D2"/>
          </w:tcPr>
          <w:p>
            <w:pPr/>
          </w:p>
        </w:tc>
        <w:tc>
          <w:tcPr>
            <w:tcW w:w="10483"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9" w:hRule="exact"/>
        </w:trPr>
        <w:tc>
          <w:tcPr>
            <w:tcW w:w="3520"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58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35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tcBorders>
              <w:left w:val="single" w:sz="4" w:space="0" w:color="000000"/>
              <w:bottom w:val="single" w:sz="14" w:space="0" w:color="FFFFFF"/>
              <w:right w:val="single" w:sz="4" w:space="0" w:color="000000"/>
            </w:tcBorders>
            <w:shd w:val="clear" w:color="auto" w:fill="D2D2D2"/>
          </w:tcPr>
          <w:p>
            <w:pPr/>
          </w:p>
        </w:tc>
        <w:tc>
          <w:tcPr>
            <w:tcW w:w="1580" w:type="dxa"/>
            <w:gridSpan w:val="3"/>
            <w:vMerge/>
            <w:tcBorders>
              <w:left w:val="single" w:sz="4" w:space="0" w:color="000000"/>
              <w:bottom w:val="single" w:sz="14" w:space="0" w:color="FFFFFF"/>
              <w:right w:val="single" w:sz="4" w:space="0" w:color="000000"/>
            </w:tcBorders>
            <w:shd w:val="clear" w:color="auto" w:fill="D2D2D2"/>
          </w:tcPr>
          <w:p>
            <w:pPr/>
          </w:p>
        </w:tc>
        <w:tc>
          <w:tcPr>
            <w:tcW w:w="1317" w:type="dxa"/>
            <w:vMerge/>
            <w:tcBorders>
              <w:left w:val="single" w:sz="4" w:space="0" w:color="000000"/>
              <w:bottom w:val="single" w:sz="14" w:space="0" w:color="FFFFFF"/>
              <w:right w:val="single" w:sz="4" w:space="0" w:color="000000"/>
            </w:tcBorders>
            <w:shd w:val="clear" w:color="auto" w:fill="D2D2D2"/>
          </w:tcPr>
          <w:p>
            <w:pPr/>
          </w:p>
        </w:tc>
        <w:tc>
          <w:tcPr>
            <w:tcW w:w="938" w:type="dxa"/>
            <w:vMerge/>
            <w:tcBorders>
              <w:left w:val="single" w:sz="4" w:space="0" w:color="000000"/>
              <w:bottom w:val="single" w:sz="14" w:space="0" w:color="FFFFFF"/>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458" w:right="9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4" w:right="10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3520"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86"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97" w:right="10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84"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96" w:right="10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0"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9"/>
              <w:ind w:left="110"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31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pacing w:val="-4"/>
                <w:sz w:val="18"/>
                <w:szCs w:val="18"/>
              </w:rPr>
              <w:t>减：库存股</w:t>
            </w:r>
          </w:p>
        </w:tc>
        <w:tc>
          <w:tcPr>
            <w:tcW w:w="1109" w:type="dxa"/>
            <w:vMerge/>
            <w:tcBorders>
              <w:left w:val="single" w:sz="4" w:space="0" w:color="000000"/>
              <w:right w:val="single" w:sz="4" w:space="0" w:color="000000"/>
            </w:tcBorders>
            <w:shd w:val="clear" w:color="auto" w:fill="D2D2D2"/>
          </w:tcPr>
          <w:p>
            <w:pPr/>
          </w:p>
        </w:tc>
        <w:tc>
          <w:tcPr>
            <w:tcW w:w="758"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3520"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right w:val="single" w:sz="4" w:space="0" w:color="000000"/>
            </w:tcBorders>
            <w:shd w:val="clear" w:color="auto" w:fill="D2D2D2"/>
          </w:tcPr>
          <w:p>
            <w:pPr/>
          </w:p>
        </w:tc>
        <w:tc>
          <w:tcPr>
            <w:tcW w:w="75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520"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410" w:type="dxa"/>
            <w:vMerge/>
            <w:tcBorders>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938" w:type="dxa"/>
            <w:vMerge w:val="restart"/>
            <w:tcBorders>
              <w:top w:val="nil" w:sz="6" w:space="0" w:color="auto"/>
              <w:left w:val="single" w:sz="4" w:space="0" w:color="000000"/>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520"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410"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10,006,526.42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-31,666,204.42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-21,659,678.00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10,006,526.42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-10,006,526.42</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-21,659,678.00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-21,659,678.00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324,895,170.00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-324,895,170.00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324,895,170.00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-324,895,170.00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541,491,950.00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1,012,874,910.87</w:t>
            </w:r>
          </w:p>
        </w:tc>
        <w:tc>
          <w:tcPr>
            <w:tcW w:w="93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61,567,741.04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323,701,828.80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1,939,636,430.71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983"/>
        <w:jc w:val="left"/>
        <w:rPr>
          <w:b w:val="0"/>
          <w:bCs w:val="0"/>
        </w:rPr>
      </w:pPr>
      <w:bookmarkStart w:name="三、公司基本情况" w:id="179"/>
      <w:bookmarkEnd w:id="17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8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公司概况</w:t>
      </w:r>
      <w:r>
        <w:rPr>
          <w:w w:val="99"/>
        </w:rPr>
        <w:t> </w:t>
      </w:r>
      <w:r>
        <w:rPr/>
        <w:t>北京久其软件股份有限公司（以下简称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）系北京久其软件股份有限公司（以下简称公司）成立于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 </w:t>
      </w:r>
      <w:r>
        <w:rPr>
          <w:spacing w:val="-2"/>
        </w:rPr>
        <w:t>月</w:t>
      </w:r>
      <w:r>
        <w:rPr>
          <w:rFonts w:ascii="Times New Roman" w:hAnsi="Times New Roman" w:cs="Times New Roman" w:eastAsia="Times New Roman" w:hint="default"/>
          <w:spacing w:val="-2"/>
        </w:rPr>
        <w:t>16</w:t>
      </w:r>
      <w:r>
        <w:rPr>
          <w:spacing w:val="-2"/>
        </w:rPr>
        <w:t>日，原名为北京久其北方软件技术有限公司，是经北京市工商行政管理局批准，由自然人董泰湘出资</w:t>
      </w:r>
      <w:r>
        <w:rPr>
          <w:rFonts w:ascii="Times New Roman" w:hAnsi="Times New Roman" w:cs="Times New Roman" w:eastAsia="Times New Roman" w:hint="default"/>
          <w:spacing w:val="-2"/>
        </w:rPr>
        <w:t>25</w:t>
      </w:r>
      <w:r>
        <w:rPr>
          <w:spacing w:val="-2"/>
        </w:rPr>
        <w:t>万元，自然人赵</w:t>
      </w:r>
      <w:r>
        <w:rPr>
          <w:spacing w:val="-62"/>
        </w:rPr>
        <w:t> </w:t>
      </w:r>
      <w:r>
        <w:rPr>
          <w:spacing w:val="-62"/>
        </w:rPr>
      </w:r>
      <w:r>
        <w:rPr>
          <w:spacing w:val="-2"/>
        </w:rPr>
        <w:t>福君出资</w:t>
      </w:r>
      <w:r>
        <w:rPr>
          <w:rFonts w:ascii="Times New Roman" w:hAnsi="Times New Roman" w:cs="Times New Roman" w:eastAsia="Times New Roman" w:hint="default"/>
          <w:spacing w:val="-2"/>
        </w:rPr>
        <w:t>20</w:t>
      </w:r>
      <w:r>
        <w:rPr>
          <w:spacing w:val="-2"/>
        </w:rPr>
        <w:t>万元，自然人欧阳曜出资</w:t>
      </w:r>
      <w:r>
        <w:rPr>
          <w:rFonts w:ascii="Times New Roman" w:hAnsi="Times New Roman" w:cs="Times New Roman" w:eastAsia="Times New Roman" w:hint="default"/>
          <w:spacing w:val="-2"/>
        </w:rPr>
        <w:t>5</w:t>
      </w:r>
      <w:r>
        <w:rPr>
          <w:spacing w:val="-2"/>
        </w:rPr>
        <w:t>万元设立的有限责任公司。上述出资业经北京中之光会计师事务所审验，并出具（</w:t>
      </w:r>
      <w:r>
        <w:rPr>
          <w:rFonts w:ascii="Times New Roman" w:hAnsi="Times New Roman" w:cs="Times New Roman" w:eastAsia="Times New Roman" w:hint="default"/>
          <w:spacing w:val="-2"/>
        </w:rPr>
        <w:t>99</w:t>
      </w:r>
      <w:r>
        <w:rPr>
          <w:spacing w:val="-2"/>
        </w:rPr>
        <w:t>）</w:t>
      </w:r>
      <w:r>
        <w:rPr>
          <w:spacing w:val="-61"/>
        </w:rPr>
        <w:t> </w:t>
      </w:r>
      <w:r>
        <w:rPr/>
        <w:t>京之验字第</w:t>
      </w:r>
      <w:r>
        <w:rPr>
          <w:rFonts w:ascii="Times New Roman" w:hAnsi="Times New Roman" w:cs="Times New Roman" w:eastAsia="Times New Roman" w:hint="default"/>
        </w:rPr>
        <w:t>606</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日，公司增加注册资本</w:t>
      </w:r>
      <w:r>
        <w:rPr>
          <w:rFonts w:ascii="Times New Roman" w:hAnsi="Times New Roman" w:cs="Times New Roman" w:eastAsia="Times New Roman" w:hint="default"/>
        </w:rPr>
        <w:t>450</w:t>
      </w:r>
      <w:r>
        <w:rPr/>
        <w:t>万元，分别由原股东董泰湘以货币形式追加投资</w:t>
      </w:r>
      <w:r>
        <w:rPr>
          <w:rFonts w:ascii="Times New Roman" w:hAnsi="Times New Roman" w:cs="Times New Roman" w:eastAsia="Times New Roman" w:hint="default"/>
        </w:rPr>
        <w:t>225</w:t>
      </w:r>
      <w:r>
        <w:rPr/>
        <w:t>万元，原股东赵福君以货币形式 追加投资</w:t>
      </w:r>
      <w:r>
        <w:rPr>
          <w:rFonts w:ascii="Times New Roman" w:hAnsi="Times New Roman" w:cs="Times New Roman" w:eastAsia="Times New Roman" w:hint="default"/>
        </w:rPr>
        <w:t>160</w:t>
      </w:r>
      <w:r>
        <w:rPr/>
        <w:t>万元，原股东欧阳曜以货币形式追加投资</w:t>
      </w:r>
      <w:r>
        <w:rPr>
          <w:rFonts w:ascii="Times New Roman" w:hAnsi="Times New Roman" w:cs="Times New Roman" w:eastAsia="Times New Roman" w:hint="default"/>
        </w:rPr>
        <w:t>45</w:t>
      </w:r>
      <w:r>
        <w:rPr/>
        <w:t>万元，新股东李坤奇以货币形式投资</w:t>
      </w:r>
      <w:r>
        <w:rPr>
          <w:rFonts w:ascii="Times New Roman" w:hAnsi="Times New Roman" w:cs="Times New Roman" w:eastAsia="Times New Roman" w:hint="default"/>
        </w:rPr>
        <w:t>10</w:t>
      </w:r>
      <w:r>
        <w:rPr/>
        <w:t>万元，新股东施瑞丰以货币 形式投资</w:t>
      </w:r>
      <w:r>
        <w:rPr>
          <w:rFonts w:ascii="Times New Roman" w:hAnsi="Times New Roman" w:cs="Times New Roman" w:eastAsia="Times New Roman" w:hint="default"/>
        </w:rPr>
        <w:t>10</w:t>
      </w:r>
      <w:r>
        <w:rPr/>
        <w:t>万元，公司的注册资本由</w:t>
      </w:r>
      <w:r>
        <w:rPr>
          <w:rFonts w:ascii="Times New Roman" w:hAnsi="Times New Roman" w:cs="Times New Roman" w:eastAsia="Times New Roman" w:hint="default"/>
        </w:rPr>
        <w:t>50</w:t>
      </w:r>
      <w:r>
        <w:rPr/>
        <w:t>万元变更为</w:t>
      </w:r>
      <w:r>
        <w:rPr>
          <w:rFonts w:ascii="Times New Roman" w:hAnsi="Times New Roman" w:cs="Times New Roman" w:eastAsia="Times New Roman" w:hint="default"/>
        </w:rPr>
        <w:t>500</w:t>
      </w:r>
      <w:r>
        <w:rPr/>
        <w:t>万元。上述出资业经中科华会计师事务所有限公司审验，并出具中科 华验字（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1420</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日，公司再次增加注册资金，新增的</w:t>
      </w:r>
      <w:r>
        <w:rPr>
          <w:rFonts w:ascii="Times New Roman" w:hAnsi="Times New Roman" w:cs="Times New Roman" w:eastAsia="Times New Roman" w:hint="default"/>
        </w:rPr>
        <w:t>260</w:t>
      </w:r>
      <w:r>
        <w:rPr/>
        <w:t>万元，全部由新股东北京久其科技投资有限公司以无形资产（非专利 技术）</w:t>
      </w:r>
      <w:r>
        <w:rPr>
          <w:rFonts w:ascii="Times New Roman" w:hAnsi="Times New Roman" w:cs="Times New Roman" w:eastAsia="Times New Roman" w:hint="default"/>
        </w:rPr>
        <w:t>——“</w:t>
      </w:r>
      <w:r>
        <w:rPr/>
        <w:t>久其报表数据管理系统</w:t>
      </w:r>
      <w:r>
        <w:rPr>
          <w:rFonts w:ascii="Times New Roman" w:hAnsi="Times New Roman" w:cs="Times New Roman" w:eastAsia="Times New Roman" w:hint="default"/>
        </w:rPr>
        <w:t>V2.0”</w:t>
      </w:r>
      <w:r>
        <w:rPr/>
        <w:t>软件技术的形式追加投入。公司的注册资本由原来的</w:t>
      </w:r>
      <w:r>
        <w:rPr>
          <w:rFonts w:ascii="Times New Roman" w:hAnsi="Times New Roman" w:cs="Times New Roman" w:eastAsia="Times New Roman" w:hint="default"/>
        </w:rPr>
        <w:t>500</w:t>
      </w:r>
      <w:r>
        <w:rPr/>
        <w:t>万元变更为</w:t>
      </w:r>
      <w:r>
        <w:rPr>
          <w:rFonts w:ascii="Times New Roman" w:hAnsi="Times New Roman" w:cs="Times New Roman" w:eastAsia="Times New Roman" w:hint="default"/>
        </w:rPr>
        <w:t>760</w:t>
      </w:r>
      <w:r>
        <w:rPr/>
        <w:t>万元。上述 增资业经中鸿信建元会计师事务所有限公司审验，并出具中鸿信建元验字（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56</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日，经京政体改股函</w:t>
      </w:r>
      <w:r>
        <w:rPr>
          <w:rFonts w:ascii="Times New Roman" w:hAnsi="Times New Roman" w:cs="Times New Roman" w:eastAsia="Times New Roman" w:hint="default"/>
        </w:rPr>
        <w:t>[2001]65</w:t>
      </w:r>
      <w:r>
        <w:rPr/>
        <w:t>号文批准，公司整体改制为北京久其软件股份有限公司，并以截至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 </w:t>
      </w:r>
      <w:r>
        <w:rPr/>
        <w:t>日止经中鸿信建元会计师事务所有限公司审计的净资产</w:t>
      </w:r>
      <w:r>
        <w:rPr>
          <w:rFonts w:ascii="Times New Roman" w:hAnsi="Times New Roman" w:cs="Times New Roman" w:eastAsia="Times New Roman" w:hint="default"/>
        </w:rPr>
        <w:t>45,740,037.00</w:t>
      </w:r>
      <w:r>
        <w:rPr/>
        <w:t>元为基准，按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的比例折股，改制后公司注册资本 </w:t>
      </w:r>
      <w:r>
        <w:rPr>
          <w:rFonts w:ascii="Times New Roman" w:hAnsi="Times New Roman" w:cs="Times New Roman" w:eastAsia="Times New Roman" w:hint="default"/>
        </w:rPr>
        <w:t>45,740,037.00</w:t>
      </w:r>
      <w:r>
        <w:rPr/>
        <w:t>元，其中北京久其科技投资有限公司出资人民币</w:t>
      </w:r>
      <w:r>
        <w:rPr>
          <w:rFonts w:ascii="Times New Roman" w:hAnsi="Times New Roman" w:cs="Times New Roman" w:eastAsia="Times New Roman" w:hint="default"/>
        </w:rPr>
        <w:t>15,643,093.00</w:t>
      </w:r>
      <w:r>
        <w:rPr/>
        <w:t>元，占注册资本的</w:t>
      </w:r>
      <w:r>
        <w:rPr>
          <w:rFonts w:ascii="Times New Roman" w:hAnsi="Times New Roman" w:cs="Times New Roman" w:eastAsia="Times New Roman" w:hint="default"/>
        </w:rPr>
        <w:t>34.20%</w:t>
      </w:r>
      <w:r>
        <w:rPr/>
        <w:t>；董泰湘出资人民币</w:t>
      </w:r>
    </w:p>
    <w:p>
      <w:pPr>
        <w:pStyle w:val="BodyText"/>
        <w:spacing w:line="240" w:lineRule="auto" w:before="13"/>
        <w:ind w:right="983"/>
        <w:jc w:val="left"/>
      </w:pPr>
      <w:r>
        <w:rPr>
          <w:rFonts w:ascii="Times New Roman" w:hAnsi="Times New Roman" w:cs="Times New Roman" w:eastAsia="Times New Roman" w:hint="default"/>
        </w:rPr>
        <w:t>15,048,472.00</w:t>
      </w:r>
      <w:r>
        <w:rPr/>
        <w:t>元，占注册资本的</w:t>
      </w:r>
      <w:r>
        <w:rPr>
          <w:rFonts w:ascii="Times New Roman" w:hAnsi="Times New Roman" w:cs="Times New Roman" w:eastAsia="Times New Roman" w:hint="default"/>
        </w:rPr>
        <w:t>32.90%</w:t>
      </w:r>
      <w:r>
        <w:rPr/>
        <w:t>；赵福君出资人民币</w:t>
      </w:r>
      <w:r>
        <w:rPr>
          <w:rFonts w:ascii="Times New Roman" w:hAnsi="Times New Roman" w:cs="Times New Roman" w:eastAsia="Times New Roman" w:hint="default"/>
        </w:rPr>
        <w:t>10,840,390.00</w:t>
      </w:r>
      <w:r>
        <w:rPr/>
        <w:t>元，占注册资本的</w:t>
      </w:r>
      <w:r>
        <w:rPr>
          <w:rFonts w:ascii="Times New Roman" w:hAnsi="Times New Roman" w:cs="Times New Roman" w:eastAsia="Times New Roman" w:hint="default"/>
        </w:rPr>
        <w:t>23.70%</w:t>
      </w:r>
      <w:r>
        <w:rPr/>
        <w:t>；欧阳曜出资人民币</w:t>
      </w:r>
    </w:p>
    <w:p>
      <w:pPr>
        <w:pStyle w:val="BodyText"/>
        <w:spacing w:line="302" w:lineRule="auto" w:before="63"/>
        <w:ind w:right="1042"/>
        <w:jc w:val="left"/>
      </w:pPr>
      <w:r>
        <w:rPr>
          <w:rFonts w:ascii="Times New Roman" w:hAnsi="Times New Roman" w:cs="Times New Roman" w:eastAsia="Times New Roman" w:hint="default"/>
        </w:rPr>
        <w:t>3,018,842.00</w:t>
      </w:r>
      <w:r>
        <w:rPr/>
        <w:t>元，占注册资本的</w:t>
      </w:r>
      <w:r>
        <w:rPr>
          <w:rFonts w:ascii="Times New Roman" w:hAnsi="Times New Roman" w:cs="Times New Roman" w:eastAsia="Times New Roman" w:hint="default"/>
        </w:rPr>
        <w:t>6.60%</w:t>
      </w:r>
      <w:r>
        <w:rPr/>
        <w:t>；李坤奇出资人民币</w:t>
      </w:r>
      <w:r>
        <w:rPr>
          <w:rFonts w:ascii="Times New Roman" w:hAnsi="Times New Roman" w:cs="Times New Roman" w:eastAsia="Times New Roman" w:hint="default"/>
        </w:rPr>
        <w:t>594,620.00</w:t>
      </w:r>
      <w:r>
        <w:rPr/>
        <w:t>元，占注册资本的</w:t>
      </w:r>
      <w:r>
        <w:rPr>
          <w:rFonts w:ascii="Times New Roman" w:hAnsi="Times New Roman" w:cs="Times New Roman" w:eastAsia="Times New Roman" w:hint="default"/>
        </w:rPr>
        <w:t>1.30%</w:t>
      </w:r>
      <w:r>
        <w:rPr/>
        <w:t>；施瑞丰出资人民币</w:t>
      </w:r>
      <w:r>
        <w:rPr>
          <w:rFonts w:ascii="Times New Roman" w:hAnsi="Times New Roman" w:cs="Times New Roman" w:eastAsia="Times New Roman" w:hint="default"/>
        </w:rPr>
        <w:t>594,620.00 </w:t>
      </w:r>
      <w:r>
        <w:rPr/>
        <w:t>元，占注册资本的</w:t>
      </w:r>
      <w:r>
        <w:rPr>
          <w:rFonts w:ascii="Times New Roman" w:hAnsi="Times New Roman" w:cs="Times New Roman" w:eastAsia="Times New Roman" w:hint="default"/>
        </w:rPr>
        <w:t>1.30%</w:t>
      </w:r>
      <w:r>
        <w:rPr/>
        <w:t>。上述行为业经中鸿信建元会计师事务所有限责任公司审验，并出具中鸿信建元验字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61</w:t>
      </w:r>
      <w:r>
        <w:rPr/>
        <w:t>号 验资报告予以验证。 根据本公司</w:t>
      </w:r>
      <w:r>
        <w:rPr>
          <w:rFonts w:ascii="Times New Roman" w:hAnsi="Times New Roman" w:cs="Times New Roman" w:eastAsia="Times New Roman" w:hint="default"/>
        </w:rPr>
        <w:t>2007</w:t>
      </w:r>
      <w:r>
        <w:rPr/>
        <w:t>年度和</w:t>
      </w:r>
      <w:r>
        <w:rPr>
          <w:rFonts w:ascii="Times New Roman" w:hAnsi="Times New Roman" w:cs="Times New Roman" w:eastAsia="Times New Roman" w:hint="default"/>
        </w:rPr>
        <w:t>2008</w:t>
      </w:r>
      <w:r>
        <w:rPr/>
        <w:t>年度股东大会决议和中国证券监督管理委员会证监许可</w:t>
      </w:r>
      <w:r>
        <w:rPr>
          <w:rFonts w:ascii="Times New Roman" w:hAnsi="Times New Roman" w:cs="Times New Roman" w:eastAsia="Times New Roman" w:hint="default"/>
        </w:rPr>
        <w:t>[2009]671</w:t>
      </w:r>
      <w:r>
        <w:rPr/>
        <w:t>号</w:t>
      </w:r>
      <w:r>
        <w:rPr>
          <w:rFonts w:ascii="Times New Roman" w:hAnsi="Times New Roman" w:cs="Times New Roman" w:eastAsia="Times New Roman" w:hint="default"/>
        </w:rPr>
        <w:t>“</w:t>
      </w:r>
      <w:r>
        <w:rPr/>
        <w:t>关于核准北京久其软件股 份有限公司首次公开发行股票的批复</w:t>
      </w:r>
      <w:r>
        <w:rPr>
          <w:rFonts w:ascii="Times New Roman" w:hAnsi="Times New Roman" w:cs="Times New Roman" w:eastAsia="Times New Roman" w:hint="default"/>
        </w:rPr>
        <w:t>”</w:t>
      </w:r>
      <w:r>
        <w:rPr/>
        <w:t>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日前向不特定对象公开募集股份（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1,530</w:t>
      </w:r>
      <w:r>
        <w:rPr/>
        <w:t>万股，增加 注册资本</w:t>
      </w:r>
      <w:r>
        <w:rPr>
          <w:rFonts w:ascii="Times New Roman" w:hAnsi="Times New Roman" w:cs="Times New Roman" w:eastAsia="Times New Roman" w:hint="default"/>
        </w:rPr>
        <w:t>1,530</w:t>
      </w:r>
      <w:r>
        <w:rPr/>
        <w:t>万元，变更后的注册资本为人民币</w:t>
      </w:r>
      <w:r>
        <w:rPr>
          <w:rFonts w:ascii="Times New Roman" w:hAnsi="Times New Roman" w:cs="Times New Roman" w:eastAsia="Times New Roman" w:hint="default"/>
        </w:rPr>
        <w:t>6,104.0037</w:t>
      </w:r>
      <w:r>
        <w:rPr/>
        <w:t>万元，上述募集资金到位情况业经大信会计师事务有限公司予以 验证，并出具大信验字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1-0021</w:t>
      </w:r>
      <w:r>
        <w:rPr/>
        <w:t>号《验资报告》。 </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5</w:t>
      </w:r>
      <w:r>
        <w:rPr>
          <w:spacing w:val="-6"/>
        </w:rPr>
        <w:t>月，根据</w:t>
      </w:r>
      <w:r>
        <w:rPr>
          <w:rFonts w:ascii="Times New Roman" w:hAnsi="Times New Roman" w:cs="Times New Roman" w:eastAsia="Times New Roman" w:hint="default"/>
          <w:spacing w:val="-6"/>
        </w:rPr>
        <w:t>2009</w:t>
      </w:r>
      <w:r>
        <w:rPr>
          <w:spacing w:val="-6"/>
        </w:rPr>
        <w:t>年度股东大会通过的有关决议，公司以</w:t>
      </w:r>
      <w:r>
        <w:rPr>
          <w:rFonts w:ascii="Times New Roman" w:hAnsi="Times New Roman" w:cs="Times New Roman" w:eastAsia="Times New Roman" w:hint="default"/>
          <w:spacing w:val="-6"/>
        </w:rPr>
        <w:t>2009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日总股本为基数，每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5</w:t>
      </w:r>
      <w:r>
        <w:rPr>
          <w:spacing w:val="-6"/>
        </w:rPr>
        <w:t>元（含税），</w:t>
      </w:r>
      <w:r>
        <w:rPr>
          <w:spacing w:val="-49"/>
        </w:rPr>
        <w:t> </w:t>
      </w:r>
      <w:r>
        <w:rPr>
          <w:spacing w:val="-49"/>
        </w:rPr>
      </w:r>
      <w:r>
        <w:rPr>
          <w:spacing w:val="-2"/>
        </w:rPr>
        <w:t>共计派送现金</w:t>
      </w:r>
      <w:r>
        <w:rPr>
          <w:rFonts w:ascii="Times New Roman" w:hAnsi="Times New Roman" w:cs="Times New Roman" w:eastAsia="Times New Roman" w:hint="default"/>
          <w:spacing w:val="-2"/>
        </w:rPr>
        <w:t>30,520,018.50</w:t>
      </w:r>
      <w:r>
        <w:rPr>
          <w:spacing w:val="-2"/>
        </w:rPr>
        <w:t>元；并以资本公积向全体股东每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股，共计转增</w:t>
      </w:r>
      <w:r>
        <w:rPr>
          <w:rFonts w:ascii="Times New Roman" w:hAnsi="Times New Roman" w:cs="Times New Roman" w:eastAsia="Times New Roman" w:hint="default"/>
          <w:spacing w:val="-2"/>
        </w:rPr>
        <w:t>48,832,029.00</w:t>
      </w:r>
      <w:r>
        <w:rPr>
          <w:spacing w:val="-2"/>
        </w:rPr>
        <w:t>股，转增后公司注册资本变</w:t>
      </w:r>
      <w:r>
        <w:rPr>
          <w:spacing w:val="-38"/>
        </w:rPr>
        <w:t> </w:t>
      </w:r>
      <w:r>
        <w:rPr>
          <w:spacing w:val="-38"/>
        </w:rPr>
      </w:r>
      <w:r>
        <w:rPr/>
        <w:t>更为</w:t>
      </w:r>
      <w:r>
        <w:rPr>
          <w:rFonts w:ascii="Times New Roman" w:hAnsi="Times New Roman" w:cs="Times New Roman" w:eastAsia="Times New Roman" w:hint="default"/>
        </w:rPr>
        <w:t>10,987.2066</w:t>
      </w:r>
      <w:r>
        <w:rPr/>
        <w:t>万元，上述变更业经大信会计师事务有限公司出具大信验资</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1-0030</w:t>
      </w:r>
      <w:r>
        <w:rPr/>
        <w:t>号验资报告予以验证。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2011</w:t>
      </w:r>
      <w:r>
        <w:rPr/>
        <w:t>年度股东大会通过的有关决议，公司以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109,872,066.00</w:t>
      </w:r>
      <w:r>
        <w:rPr/>
        <w:t>股为基数，每</w:t>
      </w:r>
      <w:r>
        <w:rPr>
          <w:rFonts w:ascii="Times New Roman" w:hAnsi="Times New Roman" w:cs="Times New Roman" w:eastAsia="Times New Roman" w:hint="default"/>
        </w:rPr>
        <w:t>10</w:t>
      </w:r>
      <w:r>
        <w:rPr/>
        <w:t>股派发现金股利</w:t>
      </w:r>
    </w:p>
    <w:p>
      <w:pPr>
        <w:pStyle w:val="BodyText"/>
        <w:spacing w:line="302" w:lineRule="auto" w:before="11"/>
        <w:ind w:right="1040"/>
        <w:jc w:val="left"/>
      </w:pP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w:t>
      </w:r>
      <w:r>
        <w:rPr>
          <w:rFonts w:ascii="Times New Roman" w:hAnsi="Times New Roman" w:cs="Times New Roman" w:eastAsia="Times New Roman" w:hint="default"/>
        </w:rPr>
        <w:t>21,974,413.20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65,923,239.00</w:t>
      </w:r>
      <w:r>
        <w:rPr/>
        <w:t>股，经转 </w:t>
      </w:r>
      <w:r>
        <w:rPr>
          <w:spacing w:val="-2"/>
        </w:rPr>
        <w:t>增后，公司的注册资本由原来的</w:t>
      </w:r>
      <w:r>
        <w:rPr>
          <w:rFonts w:ascii="Times New Roman" w:hAnsi="Times New Roman" w:cs="Times New Roman" w:eastAsia="Times New Roman" w:hint="default"/>
          <w:spacing w:val="-2"/>
        </w:rPr>
        <w:t>10,987.2066</w:t>
      </w:r>
      <w:r>
        <w:rPr>
          <w:spacing w:val="-2"/>
        </w:rPr>
        <w:t>万元变更为</w:t>
      </w:r>
      <w:r>
        <w:rPr>
          <w:rFonts w:ascii="Times New Roman" w:hAnsi="Times New Roman" w:cs="Times New Roman" w:eastAsia="Times New Roman" w:hint="default"/>
          <w:spacing w:val="-2"/>
        </w:rPr>
        <w:t>17,579.5305</w:t>
      </w:r>
      <w:r>
        <w:rPr>
          <w:spacing w:val="-2"/>
        </w:rPr>
        <w:t>万元，上述变更业经大信会计师事务有限公司出具大信验</w:t>
      </w:r>
      <w:r>
        <w:rPr>
          <w:spacing w:val="-44"/>
        </w:rPr>
        <w:t> </w:t>
      </w:r>
      <w:r>
        <w:rPr>
          <w:spacing w:val="-44"/>
        </w:rPr>
      </w:r>
      <w:r>
        <w:rPr/>
        <w:t>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1-0056</w:t>
      </w:r>
      <w:r>
        <w:rPr/>
        <w:t>号验资报告予以验证。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月，根据</w:t>
      </w:r>
      <w:r>
        <w:rPr>
          <w:rFonts w:ascii="Times New Roman" w:hAnsi="Times New Roman" w:cs="Times New Roman" w:eastAsia="Times New Roman" w:hint="default"/>
        </w:rPr>
        <w:t>2014</w:t>
      </w:r>
      <w:r>
        <w:rPr/>
        <w:t>年度第二次临时股东大会有关决议、中国证券监督管理委员会证监许可〔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1400</w:t>
      </w:r>
      <w:r>
        <w:rPr/>
        <w:t>号《关于核准北 </w:t>
      </w:r>
      <w:r>
        <w:rPr>
          <w:spacing w:val="-2"/>
        </w:rPr>
        <w:t>京久其软件股份有限公司向王新等发行股份购买资产并募集配套资金的批复》核准，公司增加注册资本人民币</w:t>
      </w:r>
      <w:r>
        <w:rPr>
          <w:rFonts w:ascii="Times New Roman" w:hAnsi="Times New Roman" w:cs="Times New Roman" w:eastAsia="Times New Roman" w:hint="default"/>
          <w:spacing w:val="-2"/>
        </w:rPr>
        <w:t>22,403,432</w:t>
      </w:r>
      <w:r>
        <w:rPr>
          <w:spacing w:val="-2"/>
        </w:rPr>
        <w:t>元，</w:t>
      </w:r>
      <w:r>
        <w:rPr>
          <w:spacing w:val="-53"/>
        </w:rPr>
        <w:t> </w:t>
      </w:r>
      <w:r>
        <w:rPr/>
        <w:t>变更后注册资本为人民币</w:t>
      </w:r>
      <w:r>
        <w:rPr>
          <w:rFonts w:ascii="Times New Roman" w:hAnsi="Times New Roman" w:cs="Times New Roman" w:eastAsia="Times New Roman" w:hint="default"/>
        </w:rPr>
        <w:t>198,198,737</w:t>
      </w:r>
      <w:r>
        <w:rPr/>
        <w:t>元。上述变更业经立信会计师事务所（特殊普通合伙）出具信会师报字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710009 </w:t>
      </w:r>
      <w:r>
        <w:rPr/>
        <w:t>号验资报告予以验证。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月，经</w:t>
      </w:r>
      <w:r>
        <w:rPr>
          <w:rFonts w:ascii="Times New Roman" w:hAnsi="Times New Roman" w:cs="Times New Roman" w:eastAsia="Times New Roman" w:hint="default"/>
        </w:rPr>
        <w:t>2014</w:t>
      </w:r>
      <w:r>
        <w:rPr/>
        <w:t>年度股东大会决议通过《关于定向回购王新、李勇</w:t>
      </w:r>
      <w:r>
        <w:rPr>
          <w:rFonts w:ascii="Times New Roman" w:hAnsi="Times New Roman" w:cs="Times New Roman" w:eastAsia="Times New Roman" w:hint="default"/>
        </w:rPr>
        <w:t>2014</w:t>
      </w:r>
      <w:r>
        <w:rPr/>
        <w:t>年度应补偿股份的议案》，公司于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 </w:t>
      </w:r>
      <w:r>
        <w:rPr>
          <w:spacing w:val="-2"/>
        </w:rPr>
        <w:t>完成了对业绩补偿股份的定向回购和注销事宜，致使公司总股本减至</w:t>
      </w:r>
      <w:r>
        <w:rPr>
          <w:rFonts w:ascii="Times New Roman" w:hAnsi="Times New Roman" w:cs="Times New Roman" w:eastAsia="Times New Roman" w:hint="default"/>
          <w:spacing w:val="-2"/>
        </w:rPr>
        <w:t>197,810,840</w:t>
      </w:r>
      <w:r>
        <w:rPr>
          <w:spacing w:val="-2"/>
        </w:rPr>
        <w:t>股。上述变更业经立信会计师事务所（特殊</w:t>
      </w:r>
      <w:r>
        <w:rPr>
          <w:spacing w:val="-55"/>
        </w:rPr>
        <w:t> </w:t>
      </w:r>
      <w:r>
        <w:rPr>
          <w:spacing w:val="-55"/>
        </w:rPr>
      </w:r>
      <w:r>
        <w:rPr/>
        <w:t>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711263</w:t>
      </w:r>
      <w:r>
        <w:rPr/>
        <w:t>号验资报告予以验证。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月，根据</w:t>
      </w:r>
      <w:r>
        <w:rPr>
          <w:rFonts w:ascii="Times New Roman" w:hAnsi="Times New Roman" w:cs="Times New Roman" w:eastAsia="Times New Roman" w:hint="default"/>
        </w:rPr>
        <w:t>2015</w:t>
      </w:r>
      <w:r>
        <w:rPr/>
        <w:t>年第二次临时股东大会有关决议、中国证监会证监许可</w:t>
      </w:r>
      <w:r>
        <w:rPr>
          <w:rFonts w:ascii="Times New Roman" w:hAnsi="Times New Roman" w:cs="Times New Roman" w:eastAsia="Times New Roman" w:hint="default"/>
        </w:rPr>
        <w:t>[2015]2490</w:t>
      </w:r>
      <w:r>
        <w:rPr/>
        <w:t>号《关于核准北京久其软件股份有 限公司向栗军等发行股份购买资产并募集配套资金的批复》核准，公司增加注册资本人民币</w:t>
      </w:r>
      <w:r>
        <w:rPr>
          <w:rFonts w:ascii="Times New Roman" w:hAnsi="Times New Roman" w:cs="Times New Roman" w:eastAsia="Times New Roman" w:hint="default"/>
        </w:rPr>
        <w:t>18,785,940</w:t>
      </w:r>
      <w:r>
        <w:rPr/>
        <w:t>元，变更后的注册资 本为人民币</w:t>
      </w:r>
      <w:r>
        <w:rPr>
          <w:rFonts w:ascii="Times New Roman" w:hAnsi="Times New Roman" w:cs="Times New Roman" w:eastAsia="Times New Roman" w:hint="default"/>
        </w:rPr>
        <w:t>216,596,780</w:t>
      </w:r>
      <w:r>
        <w:rPr/>
        <w:t>元。上述变更业经立信会计师事务所（特殊普通合伙）出具信会师报字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711575</w:t>
      </w:r>
      <w:r>
        <w:rPr/>
        <w:t>号验资报告予 以验证。 </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5</w:t>
      </w:r>
      <w:r>
        <w:rPr>
          <w:spacing w:val="-6"/>
        </w:rPr>
        <w:t>月，根据</w:t>
      </w:r>
      <w:r>
        <w:rPr>
          <w:rFonts w:ascii="Times New Roman" w:hAnsi="Times New Roman" w:cs="Times New Roman" w:eastAsia="Times New Roman" w:hint="default"/>
          <w:spacing w:val="-6"/>
        </w:rPr>
        <w:t>2015</w:t>
      </w:r>
      <w:r>
        <w:rPr>
          <w:spacing w:val="-6"/>
        </w:rPr>
        <w:t>年度股东大会通过的有关决议，公司以</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日总股本为基数，每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1</w:t>
      </w:r>
      <w:r>
        <w:rPr>
          <w:spacing w:val="-6"/>
        </w:rPr>
        <w:t>元（含税），</w:t>
      </w:r>
    </w:p>
    <w:p>
      <w:pPr>
        <w:spacing w:after="0" w:line="302" w:lineRule="auto"/>
        <w:jc w:val="left"/>
        <w:sectPr>
          <w:headerReference w:type="default" r:id="rId36"/>
          <w:footerReference w:type="default" r:id="rId37"/>
          <w:pgSz w:w="11910" w:h="16840"/>
          <w:pgMar w:header="877" w:footer="979" w:top="1060" w:bottom="1160" w:left="980" w:right="0"/>
          <w:pgNumType w:start="107"/>
        </w:sectPr>
      </w:pPr>
    </w:p>
    <w:p>
      <w:pPr>
        <w:spacing w:line="240" w:lineRule="auto" w:before="12"/>
        <w:rPr>
          <w:rFonts w:ascii="宋体" w:hAnsi="宋体" w:cs="宋体" w:eastAsia="宋体" w:hint="default"/>
          <w:sz w:val="21"/>
          <w:szCs w:val="21"/>
        </w:rPr>
      </w:pPr>
    </w:p>
    <w:p>
      <w:pPr>
        <w:pStyle w:val="BodyText"/>
        <w:spacing w:line="302" w:lineRule="auto" w:before="44"/>
        <w:ind w:right="983"/>
        <w:jc w:val="left"/>
      </w:pPr>
      <w:r>
        <w:rPr/>
        <w:t>共计派送现金</w:t>
      </w:r>
      <w:r>
        <w:rPr>
          <w:rFonts w:ascii="Times New Roman" w:hAnsi="Times New Roman" w:cs="Times New Roman" w:eastAsia="Times New Roman" w:hint="default"/>
        </w:rPr>
        <w:t>21,659,678.00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股，转增后公司注册资本变更为</w:t>
      </w:r>
      <w:r>
        <w:rPr>
          <w:rFonts w:ascii="Times New Roman" w:hAnsi="Times New Roman" w:cs="Times New Roman" w:eastAsia="Times New Roman" w:hint="default"/>
        </w:rPr>
        <w:t>541,491,950.00</w:t>
      </w:r>
      <w:r>
        <w:rPr/>
        <w:t>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月，根据</w:t>
      </w:r>
      <w:r>
        <w:rPr>
          <w:rFonts w:ascii="Times New Roman" w:hAnsi="Times New Roman" w:cs="Times New Roman" w:eastAsia="Times New Roman" w:hint="default"/>
        </w:rPr>
        <w:t>2016</w:t>
      </w:r>
      <w:r>
        <w:rPr/>
        <w:t>年度股东大会决议通过的《关于定向回购王新、李勇</w:t>
      </w:r>
      <w:r>
        <w:rPr>
          <w:rFonts w:ascii="Times New Roman" w:hAnsi="Times New Roman" w:cs="Times New Roman" w:eastAsia="Times New Roman" w:hint="default"/>
        </w:rPr>
        <w:t>2016</w:t>
      </w:r>
      <w:r>
        <w:rPr/>
        <w:t>年度应补偿股份暨关联交易的议案》，公司 </w:t>
      </w:r>
      <w:r>
        <w:rPr>
          <w:spacing w:val="-2"/>
        </w:rPr>
        <w:t>以</w:t>
      </w:r>
      <w:r>
        <w:rPr>
          <w:rFonts w:ascii="Times New Roman" w:hAnsi="Times New Roman" w:cs="Times New Roman" w:eastAsia="Times New Roman" w:hint="default"/>
          <w:spacing w:val="-2"/>
        </w:rPr>
        <w:t>1</w:t>
      </w:r>
      <w:r>
        <w:rPr>
          <w:spacing w:val="-2"/>
        </w:rPr>
        <w:t>元总价回购股东王新</w:t>
      </w:r>
      <w:r>
        <w:rPr>
          <w:rFonts w:ascii="Times New Roman" w:hAnsi="Times New Roman" w:cs="Times New Roman" w:eastAsia="Times New Roman" w:hint="default"/>
          <w:spacing w:val="-2"/>
        </w:rPr>
        <w:t>125,125</w:t>
      </w:r>
      <w:r>
        <w:rPr>
          <w:spacing w:val="-2"/>
        </w:rPr>
        <w:t>股，股东李勇</w:t>
      </w:r>
      <w:r>
        <w:rPr>
          <w:rFonts w:ascii="Times New Roman" w:hAnsi="Times New Roman" w:cs="Times New Roman" w:eastAsia="Times New Roman" w:hint="default"/>
          <w:spacing w:val="-2"/>
        </w:rPr>
        <w:t>94,393</w:t>
      </w:r>
      <w:r>
        <w:rPr>
          <w:spacing w:val="-2"/>
        </w:rPr>
        <w:t>股并予以注销，本次回购的股份已于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日在中国证券登记结算</w:t>
      </w:r>
      <w:r>
        <w:rPr>
          <w:spacing w:val="-46"/>
        </w:rPr>
        <w:t> </w:t>
      </w:r>
      <w:r>
        <w:rPr/>
        <w:t>有限责任公司深圳分公司完成注销手续，回购后公司注册资本变更为</w:t>
      </w:r>
      <w:r>
        <w:rPr>
          <w:rFonts w:ascii="Times New Roman" w:hAnsi="Times New Roman" w:cs="Times New Roman" w:eastAsia="Times New Roman" w:hint="default"/>
        </w:rPr>
        <w:t>541,272,432.00</w:t>
      </w:r>
      <w:r>
        <w:rPr/>
        <w:t>元。</w:t>
      </w:r>
      <w:r>
        <w:rPr>
          <w:spacing w:val="-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2016</w:t>
      </w:r>
      <w:r>
        <w:rPr/>
        <w:t>年度股东大会通过的有关决议，公司以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日总股本为基数，每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0.30</w:t>
      </w:r>
      <w:r>
        <w:rPr/>
        <w:t>元（含 税），共计派送现金</w:t>
      </w:r>
      <w:r>
        <w:rPr>
          <w:rFonts w:ascii="Times New Roman" w:hAnsi="Times New Roman" w:cs="Times New Roman" w:eastAsia="Times New Roman" w:hint="default"/>
        </w:rPr>
        <w:t>16,238,172.96</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股，转增后公司注册资本变更为</w:t>
      </w:r>
      <w:r>
        <w:rPr>
          <w:rFonts w:ascii="Times New Roman" w:hAnsi="Times New Roman" w:cs="Times New Roman" w:eastAsia="Times New Roman" w:hint="default"/>
        </w:rPr>
        <w:t>703,654,161.00 </w:t>
      </w:r>
      <w:r>
        <w:rPr/>
        <w:t>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月，公司召开的第六届董事会第十四次会议审议通过了《关于向公司</w:t>
      </w:r>
      <w:r>
        <w:rPr>
          <w:rFonts w:ascii="Times New Roman" w:hAnsi="Times New Roman" w:cs="Times New Roman" w:eastAsia="Times New Roman" w:hint="default"/>
        </w:rPr>
        <w:t>2017</w:t>
      </w:r>
      <w:r>
        <w:rPr/>
        <w:t>年度限制性股票激励计划激励对象首次授</w:t>
      </w:r>
      <w:r>
        <w:rPr>
          <w:spacing w:val="-83"/>
        </w:rPr>
        <w:t> </w:t>
      </w:r>
      <w:r>
        <w:rPr>
          <w:spacing w:val="-83"/>
        </w:rPr>
      </w:r>
      <w:r>
        <w:rPr>
          <w:spacing w:val="-2"/>
        </w:rPr>
        <w:t>予限制性股票的议案》，授予日为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日，授予</w:t>
      </w:r>
      <w:r>
        <w:rPr>
          <w:rFonts w:ascii="Times New Roman" w:hAnsi="Times New Roman" w:cs="Times New Roman" w:eastAsia="Times New Roman" w:hint="default"/>
          <w:spacing w:val="-2"/>
        </w:rPr>
        <w:t>347</w:t>
      </w:r>
      <w:r>
        <w:rPr>
          <w:spacing w:val="-2"/>
        </w:rPr>
        <w:t>名激励对象</w:t>
      </w:r>
      <w:r>
        <w:rPr>
          <w:rFonts w:ascii="Times New Roman" w:hAnsi="Times New Roman" w:cs="Times New Roman" w:eastAsia="Times New Roman" w:hint="default"/>
          <w:spacing w:val="-2"/>
        </w:rPr>
        <w:t>720</w:t>
      </w:r>
      <w:r>
        <w:rPr>
          <w:spacing w:val="-2"/>
        </w:rPr>
        <w:t>万股限制性股票，在资金缴纳、股份登记过程中，</w:t>
      </w:r>
      <w:r>
        <w:rPr>
          <w:spacing w:val="-52"/>
        </w:rPr>
        <w:t> </w:t>
      </w:r>
      <w:r>
        <w:rPr>
          <w:spacing w:val="-52"/>
        </w:rPr>
      </w:r>
      <w:r>
        <w:rPr/>
        <w:t>有</w:t>
      </w:r>
      <w:r>
        <w:rPr>
          <w:rFonts w:ascii="Times New Roman" w:hAnsi="Times New Roman" w:cs="Times New Roman" w:eastAsia="Times New Roman" w:hint="default"/>
        </w:rPr>
        <w:t>21</w:t>
      </w:r>
      <w:r>
        <w:rPr/>
        <w:t>名激励对象因个人原因放弃认购，因此，公司激励计划实际授予</w:t>
      </w:r>
      <w:r>
        <w:rPr>
          <w:rFonts w:ascii="Times New Roman" w:hAnsi="Times New Roman" w:cs="Times New Roman" w:eastAsia="Times New Roman" w:hint="default"/>
        </w:rPr>
        <w:t>326</w:t>
      </w:r>
      <w:r>
        <w:rPr/>
        <w:t>名激励对象共计</w:t>
      </w:r>
      <w:r>
        <w:rPr>
          <w:rFonts w:ascii="Times New Roman" w:hAnsi="Times New Roman" w:cs="Times New Roman" w:eastAsia="Times New Roman" w:hint="default"/>
        </w:rPr>
        <w:t>707.08</w:t>
      </w:r>
      <w:r>
        <w:rPr/>
        <w:t>万股限制性股票，本次激励</w:t>
      </w:r>
      <w:r>
        <w:rPr>
          <w:spacing w:val="-46"/>
        </w:rPr>
        <w:t> </w:t>
      </w:r>
      <w:r>
        <w:rPr>
          <w:spacing w:val="-46"/>
        </w:rPr>
      </w:r>
      <w:r>
        <w:rPr/>
        <w:t>计划授予完成后，公司增加注册资本人民币</w:t>
      </w:r>
      <w:r>
        <w:rPr>
          <w:rFonts w:ascii="Times New Roman" w:hAnsi="Times New Roman" w:cs="Times New Roman" w:eastAsia="Times New Roman" w:hint="default"/>
        </w:rPr>
        <w:t>7,070,800.00</w:t>
      </w:r>
      <w:r>
        <w:rPr/>
        <w:t>元，变更后的注册资本为人民币</w:t>
      </w:r>
      <w:r>
        <w:rPr>
          <w:rFonts w:ascii="Times New Roman" w:hAnsi="Times New Roman" w:cs="Times New Roman" w:eastAsia="Times New Roman" w:hint="default"/>
        </w:rPr>
        <w:t>710,724,961.00</w:t>
      </w:r>
      <w:r>
        <w:rPr/>
        <w:t>元。上述变更经立信</w:t>
      </w:r>
      <w:r>
        <w:rPr>
          <w:spacing w:val="-86"/>
        </w:rPr>
        <w:t> </w:t>
      </w:r>
      <w:r>
        <w:rPr/>
        <w:t>会计师事务所（特殊普通合伙）出具信会师报字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ZG12200</w:t>
      </w:r>
      <w:r>
        <w:rPr/>
        <w:t>号验资报告予以验证。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月，久其转债因转股减少</w:t>
      </w:r>
      <w:r>
        <w:rPr>
          <w:rFonts w:ascii="Times New Roman" w:hAnsi="Times New Roman" w:cs="Times New Roman" w:eastAsia="Times New Roman" w:hint="default"/>
          <w:spacing w:val="2"/>
        </w:rPr>
        <w:t>31,700</w:t>
      </w:r>
      <w:r>
        <w:rPr>
          <w:spacing w:val="2"/>
        </w:rPr>
        <w:t>元（</w:t>
      </w:r>
      <w:r>
        <w:rPr>
          <w:rFonts w:ascii="Times New Roman" w:hAnsi="Times New Roman" w:cs="Times New Roman" w:eastAsia="Times New Roman" w:hint="default"/>
          <w:spacing w:val="2"/>
        </w:rPr>
        <w:t>317</w:t>
      </w:r>
      <w:r>
        <w:rPr>
          <w:spacing w:val="2"/>
        </w:rPr>
        <w:t>张），转股数量为</w:t>
      </w:r>
      <w:r>
        <w:rPr>
          <w:rFonts w:ascii="Times New Roman" w:hAnsi="Times New Roman" w:cs="Times New Roman" w:eastAsia="Times New Roman" w:hint="default"/>
          <w:spacing w:val="2"/>
        </w:rPr>
        <w:t>2,456</w:t>
      </w:r>
      <w:r>
        <w:rPr>
          <w:spacing w:val="2"/>
        </w:rPr>
        <w:t>股，可转债公司债券转股后，公司总股本变更为</w:t>
      </w:r>
    </w:p>
    <w:p>
      <w:pPr>
        <w:pStyle w:val="BodyText"/>
        <w:spacing w:line="300" w:lineRule="auto" w:before="11"/>
        <w:ind w:right="6028"/>
        <w:jc w:val="left"/>
      </w:pPr>
      <w:r>
        <w:rPr>
          <w:rFonts w:ascii="Times New Roman" w:hAnsi="Times New Roman" w:cs="Times New Roman" w:eastAsia="Times New Roman" w:hint="default"/>
        </w:rPr>
        <w:t>710,727,417.00</w:t>
      </w:r>
      <w:r>
        <w:rPr/>
        <w:t>元，尚未完成注册资本的工商变更登记手续。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日，本公司的股本结构如下：</w:t>
      </w:r>
    </w:p>
    <w:tbl>
      <w:tblPr>
        <w:tblW w:w="0" w:type="auto"/>
        <w:jc w:val="left"/>
        <w:tblInd w:w="139" w:type="dxa"/>
        <w:tblLayout w:type="fixed"/>
        <w:tblCellMar>
          <w:top w:w="0" w:type="dxa"/>
          <w:left w:w="0" w:type="dxa"/>
          <w:bottom w:w="0" w:type="dxa"/>
          <w:right w:w="0" w:type="dxa"/>
        </w:tblCellMar>
        <w:tblLook w:val="01E0"/>
      </w:tblPr>
      <w:tblGrid>
        <w:gridCol w:w="4497"/>
        <w:gridCol w:w="2744"/>
        <w:gridCol w:w="2418"/>
      </w:tblGrid>
      <w:tr>
        <w:trPr>
          <w:trHeight w:val="337"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826" w:right="0"/>
              <w:jc w:val="left"/>
              <w:rPr>
                <w:rFonts w:ascii="宋体" w:hAnsi="宋体" w:cs="宋体" w:eastAsia="宋体" w:hint="default"/>
                <w:sz w:val="18"/>
                <w:szCs w:val="18"/>
              </w:rPr>
            </w:pPr>
            <w:r>
              <w:rPr>
                <w:rFonts w:ascii="宋体" w:hAnsi="宋体" w:cs="宋体" w:eastAsia="宋体" w:hint="default"/>
                <w:sz w:val="18"/>
                <w:szCs w:val="18"/>
              </w:rPr>
              <w:t>持股数（股）</w:t>
            </w:r>
          </w:p>
        </w:tc>
        <w:tc>
          <w:tcPr>
            <w:tcW w:w="2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8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170,133,271.00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23.94</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107,610,093.00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15.14</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78,265,507.00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11.01</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21,882,428.00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3.08</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18,657,347.00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2.63</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17,783,301.00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2.50</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15,104,477.00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2.13</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姚立生</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6,375,047.00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0.90</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5,731,251.00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0.81</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其他社会公众股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269,184,695.00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37.86</w:t>
            </w:r>
          </w:p>
        </w:tc>
      </w:tr>
      <w:tr>
        <w:trPr>
          <w:trHeight w:val="342" w:hRule="exact"/>
        </w:trPr>
        <w:tc>
          <w:tcPr>
            <w:tcW w:w="4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710,727,417.00</w:t>
            </w:r>
          </w:p>
        </w:tc>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21"/>
          <w:szCs w:val="21"/>
        </w:rPr>
      </w:pPr>
    </w:p>
    <w:p>
      <w:pPr>
        <w:pStyle w:val="BodyText"/>
        <w:spacing w:line="300" w:lineRule="auto" w:before="44"/>
        <w:ind w:right="6883"/>
        <w:jc w:val="left"/>
      </w:pPr>
      <w:r>
        <w:rPr/>
        <w:t>公司统一社会信用代码：</w:t>
      </w:r>
      <w:r>
        <w:rPr>
          <w:rFonts w:ascii="Times New Roman" w:hAnsi="Times New Roman" w:cs="Times New Roman" w:eastAsia="Times New Roman" w:hint="default"/>
        </w:rPr>
        <w:t>911100007177242684 </w:t>
      </w:r>
      <w:r>
        <w:rPr/>
        <w:t>公司注册地址：北京市海淀区文慧园甲</w:t>
      </w:r>
      <w:r>
        <w:rPr>
          <w:rFonts w:ascii="Times New Roman" w:hAnsi="Times New Roman" w:cs="Times New Roman" w:eastAsia="Times New Roman" w:hint="default"/>
        </w:rPr>
        <w:t>12</w:t>
      </w:r>
      <w:r>
        <w:rPr/>
        <w:t>号楼</w:t>
      </w:r>
      <w:r>
        <w:rPr>
          <w:rFonts w:ascii="Times New Roman" w:hAnsi="Times New Roman" w:cs="Times New Roman" w:eastAsia="Times New Roman" w:hint="default"/>
        </w:rPr>
        <w:t>1</w:t>
      </w:r>
      <w:r>
        <w:rPr/>
        <w:t>层 公司注册资本：</w:t>
      </w:r>
      <w:r>
        <w:rPr>
          <w:rFonts w:ascii="Times New Roman" w:hAnsi="Times New Roman" w:cs="Times New Roman" w:eastAsia="Times New Roman" w:hint="default"/>
        </w:rPr>
        <w:t>71,072.4961</w:t>
      </w:r>
      <w:r>
        <w:rPr/>
        <w:t>万元 公司法定代表人：赵福君</w:t>
      </w:r>
    </w:p>
    <w:p>
      <w:pPr>
        <w:pStyle w:val="BodyText"/>
        <w:spacing w:line="316" w:lineRule="auto" w:before="31"/>
        <w:ind w:left="154" w:right="1032"/>
        <w:jc w:val="left"/>
      </w:pPr>
      <w:r>
        <w:rPr>
          <w:spacing w:val="-2"/>
        </w:rPr>
        <w:t>公司行业性质：公司隶属于软件信息服务业，主要从事电子政务领域、集团管控领域、大数据领域和移动互联领域的软件研</w:t>
      </w:r>
      <w:r>
        <w:rPr>
          <w:spacing w:val="-66"/>
        </w:rPr>
        <w:t> </w:t>
      </w:r>
      <w:r>
        <w:rPr>
          <w:spacing w:val="-66"/>
        </w:rPr>
      </w:r>
      <w:r>
        <w:rPr/>
        <w:t>发和管理咨询服务，利用大数据技术和资源为客户创造价值。 </w:t>
      </w:r>
      <w:r>
        <w:rPr>
          <w:spacing w:val="-4"/>
        </w:rPr>
        <w:t>公司经营范围：电子计算机软件、硬件及外部设备的技术开发、技术咨询、技术转让、技术服务、技术培训；经济贸易咨询、</w:t>
      </w:r>
      <w:r>
        <w:rPr>
          <w:spacing w:val="-48"/>
        </w:rPr>
        <w:t> </w:t>
      </w:r>
      <w:r>
        <w:rPr>
          <w:spacing w:val="-48"/>
        </w:rPr>
      </w:r>
      <w:r>
        <w:rPr>
          <w:spacing w:val="-2"/>
        </w:rPr>
        <w:t>企业管理咨询；计算机系统服务；销售（含网上销售）电子计算机软硬件及外部设备、打印纸及计算机耗材；计算机及外部</w:t>
      </w:r>
      <w:r>
        <w:rPr>
          <w:spacing w:val="-68"/>
        </w:rPr>
        <w:t> </w:t>
      </w:r>
      <w:r>
        <w:rPr>
          <w:spacing w:val="-68"/>
        </w:rPr>
      </w:r>
      <w:r>
        <w:rPr/>
        <w:t>设备租赁；技术进出口、货物进出口、代理进出口；互联网信息服务业务；第一类增值电信业务中的因特网数据中心业务。</w:t>
      </w:r>
    </w:p>
    <w:p>
      <w:pPr>
        <w:pStyle w:val="BodyText"/>
        <w:spacing w:line="316" w:lineRule="auto" w:before="19"/>
        <w:ind w:left="154" w:right="1032"/>
        <w:jc w:val="left"/>
      </w:pPr>
      <w:r>
        <w:rPr/>
        <w:t>（第一类增值电信业务中的因特网数据中心业务以及依法须经批准的项目，经相关部门批准后依批准的内容开展经营活动； 不得从事本市产业政策禁止和限制类项目的经营活动。）</w:t>
      </w:r>
    </w:p>
    <w:p>
      <w:pPr>
        <w:spacing w:line="240" w:lineRule="auto" w:before="4"/>
        <w:rPr>
          <w:rFonts w:ascii="宋体" w:hAnsi="宋体" w:cs="宋体" w:eastAsia="宋体" w:hint="default"/>
          <w:sz w:val="25"/>
          <w:szCs w:val="25"/>
        </w:rPr>
      </w:pPr>
    </w:p>
    <w:p>
      <w:pPr>
        <w:pStyle w:val="BodyText"/>
        <w:spacing w:line="300" w:lineRule="auto"/>
        <w:ind w:left="154" w:right="553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合并财务报表范围</w:t>
      </w:r>
      <w:r>
        <w:rPr>
          <w:w w:val="99"/>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05707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4" w:type="dxa"/>
        <w:tblLayout w:type="fixed"/>
        <w:tblCellMar>
          <w:top w:w="0" w:type="dxa"/>
          <w:left w:w="0" w:type="dxa"/>
          <w:bottom w:w="0" w:type="dxa"/>
          <w:right w:w="0" w:type="dxa"/>
        </w:tblCellMar>
        <w:tblLook w:val="01E0"/>
      </w:tblPr>
      <w:tblGrid>
        <w:gridCol w:w="9659"/>
      </w:tblGrid>
      <w:tr>
        <w:trPr>
          <w:trHeight w:val="682"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r>
      <w:tr>
        <w:trPr>
          <w:trHeight w:val="348"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r>
      <w:tr>
        <w:trPr>
          <w:trHeight w:val="348"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北京久其龙信数据科技有限公司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r>
      <w:tr>
        <w:trPr>
          <w:trHeight w:val="348"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海南久其互联网产业研究院有限公司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深圳市久金保商业保理有限公司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r>
      <w:tr>
        <w:trPr>
          <w:trHeight w:val="347"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r>
      <w:tr>
        <w:trPr>
          <w:trHeight w:val="348" w:hRule="exact"/>
        </w:trPr>
        <w:tc>
          <w:tcPr>
            <w:tcW w:w="965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r>
    </w:tbl>
    <w:p>
      <w:pPr>
        <w:spacing w:line="240" w:lineRule="auto" w:before="3"/>
        <w:rPr>
          <w:rFonts w:ascii="宋体" w:hAnsi="宋体" w:cs="宋体" w:eastAsia="宋体" w:hint="default"/>
          <w:sz w:val="21"/>
          <w:szCs w:val="21"/>
        </w:rPr>
      </w:pPr>
    </w:p>
    <w:p>
      <w:pPr>
        <w:pStyle w:val="BodyText"/>
        <w:spacing w:line="240" w:lineRule="auto" w:before="44"/>
        <w:ind w:left="154" w:right="0"/>
        <w:jc w:val="both"/>
      </w:pPr>
      <w:r>
        <w:rPr/>
        <w:t>本期合并财务报表范围及其变化情况详见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80"/>
      <w:bookmarkEnd w:id="18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编制基础" w:id="181"/>
      <w:bookmarkEnd w:id="18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7"/>
        </w:rPr>
        <w:t> </w:t>
      </w:r>
      <w:r>
        <w:rPr>
          <w:spacing w:val="-47"/>
        </w:rPr>
      </w:r>
      <w:r>
        <w:rPr/>
        <w:t>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2、持续经营" w:id="182"/>
      <w:bookmarkEnd w:id="18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对公司自报告期末起</w:t>
      </w:r>
      <w:r>
        <w:rPr>
          <w:rFonts w:ascii="Times New Roman" w:hAnsi="Times New Roman" w:cs="Times New Roman" w:eastAsia="Times New Roman" w:hint="default"/>
        </w:rPr>
        <w:t>12</w:t>
      </w:r>
      <w:r>
        <w:rPr/>
        <w:t>个月的持续经营能力进行评估，无异常情况表明存在对持续经营能力产生重大怀疑的情形。</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83"/>
      <w:bookmarkEnd w:id="183"/>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6"/>
        <w:ind w:left="154" w:right="0"/>
        <w:jc w:val="both"/>
      </w:pPr>
      <w:r>
        <w:rPr/>
        <w:t>具体会计政策和会计估计提示：</w:t>
      </w:r>
    </w:p>
    <w:p>
      <w:pPr>
        <w:spacing w:after="0" w:line="240" w:lineRule="auto"/>
        <w:jc w:val="both"/>
        <w:sectPr>
          <w:pgSz w:w="11910" w:h="16840"/>
          <w:pgMar w:header="87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right="1133"/>
        <w:jc w:val="left"/>
      </w:pPr>
      <w:r>
        <w:rPr/>
        <w:t>以下披露内容已涵盖了本公司根据实际生产经营特点制定的具体会计政策和会计估计。详见本节</w:t>
      </w:r>
      <w:r>
        <w:rPr>
          <w:rFonts w:ascii="Times New Roman" w:hAnsi="Times New Roman" w:cs="Times New Roman" w:eastAsia="Times New Roman" w:hint="default"/>
        </w:rPr>
        <w:t>“</w:t>
      </w:r>
      <w:r>
        <w:rPr/>
        <w:t>五、重要会计政策及会计 估计 </w:t>
      </w:r>
      <w:r>
        <w:rPr>
          <w:rFonts w:ascii="Times New Roman" w:hAnsi="Times New Roman" w:cs="Times New Roman" w:eastAsia="Times New Roman" w:hint="default"/>
        </w:rPr>
        <w:t>25</w:t>
      </w:r>
      <w:r>
        <w:rPr/>
        <w:t>、收入</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983"/>
        <w:jc w:val="left"/>
        <w:rPr>
          <w:b w:val="0"/>
          <w:bCs w:val="0"/>
        </w:rPr>
      </w:pPr>
      <w:bookmarkStart w:name="1、遵循企业会计准则的声明" w:id="184"/>
      <w:bookmarkEnd w:id="18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83"/>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47" w:lineRule="auto" w:before="0"/>
        <w:ind w:left="153" w:right="7153" w:firstLine="0"/>
        <w:jc w:val="left"/>
        <w:rPr>
          <w:rFonts w:ascii="宋体" w:hAnsi="宋体" w:cs="宋体" w:eastAsia="宋体" w:hint="default"/>
          <w:sz w:val="21"/>
          <w:szCs w:val="21"/>
        </w:rPr>
      </w:pPr>
      <w:bookmarkStart w:name="2、会计期间" w:id="185"/>
      <w:bookmarkEnd w:id="1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86"/>
      <w:bookmarkEnd w:id="18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49"/>
        <w:ind w:left="154" w:right="8052"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bookmarkStart w:name="4、记账本位币" w:id="187"/>
      <w:bookmarkEnd w:id="18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18"/>
          <w:szCs w:val="18"/>
        </w:rPr>
        <w:t>本公司采用人民币为记账本位币。</w:t>
      </w:r>
    </w:p>
    <w:p>
      <w:pPr>
        <w:pStyle w:val="Heading3"/>
        <w:spacing w:line="240" w:lineRule="auto" w:before="122"/>
        <w:ind w:right="983"/>
        <w:jc w:val="left"/>
        <w:rPr>
          <w:b w:val="0"/>
          <w:bCs w:val="0"/>
        </w:rPr>
      </w:pPr>
      <w:bookmarkStart w:name="5、同一控制下和非同一控制下企业合并的会计处理方法" w:id="188"/>
      <w:bookmarkEnd w:id="18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3"/>
        <w:jc w:val="left"/>
      </w:pPr>
      <w:r>
        <w:rPr>
          <w:spacing w:val="-2"/>
        </w:rPr>
        <w:t>同一控制下企业合并：本公司在企业合并中取得的资产和负债，按照合并日被合并方资产、负债（包括最终控制方收购被合</w:t>
      </w:r>
      <w:r>
        <w:rPr>
          <w:spacing w:val="-66"/>
        </w:rPr>
        <w:t> </w:t>
      </w:r>
      <w:r>
        <w:rPr>
          <w:spacing w:val="-66"/>
        </w:rPr>
      </w:r>
      <w:r>
        <w:rPr>
          <w:spacing w:val="-2"/>
        </w:rPr>
        <w:t>并方而形成的商誉）在最终控制方合并财务报表中的账面价值计量。在合并中取得的净资产账面价值与支付的合并对价账面</w:t>
      </w:r>
      <w:r>
        <w:rPr>
          <w:spacing w:val="-64"/>
        </w:rPr>
        <w:t> </w:t>
      </w:r>
      <w:r>
        <w:rPr>
          <w:spacing w:val="-64"/>
        </w:rPr>
      </w:r>
      <w:r>
        <w:rPr/>
        <w:t>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6"/>
        </w:rPr>
        <w:t> </w:t>
      </w:r>
      <w:r>
        <w:rPr>
          <w:spacing w:val="-66"/>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left="153" w:right="983"/>
        <w:jc w:val="left"/>
        <w:rPr>
          <w:b w:val="0"/>
          <w:bCs w:val="0"/>
        </w:rPr>
      </w:pPr>
      <w:bookmarkStart w:name="6、合并财务报表的编制方法" w:id="189"/>
      <w:bookmarkEnd w:id="18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983"/>
        <w:jc w:val="left"/>
      </w:pPr>
      <w:r>
        <w:rPr>
          <w:rFonts w:ascii="Times New Roman" w:hAnsi="Times New Roman" w:cs="Times New Roman" w:eastAsia="Times New Roman" w:hint="default"/>
        </w:rPr>
        <w:t>1</w:t>
      </w:r>
      <w:r>
        <w:rPr/>
        <w:t>、</w:t>
      </w:r>
      <w:r>
        <w:rPr>
          <w:spacing w:val="60"/>
        </w:rPr>
        <w:t> </w:t>
      </w:r>
      <w:r>
        <w:rPr/>
        <w:t>合并范围</w:t>
      </w:r>
      <w:r>
        <w:rPr/>
        <w:t>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spacing w:line="240" w:lineRule="auto" w:before="9"/>
        <w:rPr>
          <w:rFonts w:ascii="宋体" w:hAnsi="宋体" w:cs="宋体" w:eastAsia="宋体" w:hint="default"/>
          <w:sz w:val="25"/>
          <w:szCs w:val="25"/>
        </w:rPr>
      </w:pPr>
    </w:p>
    <w:p>
      <w:pPr>
        <w:pStyle w:val="BodyText"/>
        <w:spacing w:line="314" w:lineRule="auto"/>
        <w:ind w:right="983"/>
        <w:jc w:val="left"/>
      </w:pPr>
      <w:r>
        <w:rPr>
          <w:rFonts w:ascii="Times New Roman" w:hAnsi="Times New Roman" w:cs="Times New Roman" w:eastAsia="Times New Roman" w:hint="default"/>
        </w:rPr>
        <w:t>2</w:t>
      </w:r>
      <w:r>
        <w:rPr/>
        <w:t>、</w:t>
      </w:r>
      <w:r>
        <w:rPr>
          <w:spacing w:val="60"/>
        </w:rPr>
        <w:t> </w:t>
      </w:r>
      <w:r>
        <w:rPr/>
        <w:t>合并程序</w:t>
      </w:r>
      <w:r>
        <w:rPr/>
        <w:t> </w:t>
      </w:r>
      <w:r>
        <w:rPr>
          <w:spacing w:val="-2"/>
        </w:rPr>
        <w:t>本公司以自身和各子公司的财务报表为基础，根据其他有关资料，编制合并财务报表。本公司编制合并财务报表，将整个企</w:t>
      </w:r>
      <w:r>
        <w:rPr>
          <w:spacing w:val="-65"/>
        </w:rPr>
        <w:t> </w:t>
      </w:r>
      <w:r>
        <w:rPr>
          <w:spacing w:val="-65"/>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p>
    <w:p>
      <w:pPr>
        <w:spacing w:after="0" w:line="314"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983"/>
        <w:jc w:val="left"/>
      </w:pP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right="1033"/>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3"/>
        </w:rPr>
        <w:t> </w:t>
      </w:r>
      <w:r>
        <w:rPr>
          <w:spacing w:val="-63"/>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left="154" w:right="983"/>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right="983"/>
        <w:jc w:val="left"/>
      </w:pPr>
      <w:r>
        <w:rPr/>
        <w:t>①一般处理方法 </w:t>
      </w:r>
      <w:r>
        <w:rPr>
          <w:spacing w:val="-2"/>
        </w:rPr>
        <w:t>在报告期内，本公司处置子公司或业务，则该子公司或业务期初至处置日的收入、费用、利润纳入合并利润表；该子公司或</w:t>
      </w:r>
      <w:r>
        <w:rPr>
          <w:spacing w:val="-66"/>
        </w:rPr>
        <w:t> </w:t>
      </w:r>
      <w:r>
        <w:rPr>
          <w:spacing w:val="-66"/>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right="983"/>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316" w:lineRule="auto" w:before="19"/>
        <w:ind w:left="154" w:right="4992"/>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19"/>
        <w:ind w:right="983"/>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09" w:lineRule="auto" w:before="17"/>
        <w:ind w:left="154" w:right="983"/>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p>
    <w:p>
      <w:pPr>
        <w:spacing w:after="0" w:line="309"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983"/>
        <w:jc w:val="left"/>
      </w:pPr>
      <w:r>
        <w:rPr/>
        <w:t>益。</w:t>
      </w:r>
    </w:p>
    <w:p>
      <w:pPr>
        <w:pStyle w:val="BodyText"/>
        <w:spacing w:line="312" w:lineRule="auto" w:before="76"/>
        <w:ind w:left="154" w:right="983"/>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983"/>
        <w:jc w:val="left"/>
        <w:rPr>
          <w:b w:val="0"/>
          <w:bCs w:val="0"/>
        </w:rPr>
      </w:pPr>
      <w:bookmarkStart w:name="7、合营安排分类及共同经营会计处理方法" w:id="190"/>
      <w:bookmarkEnd w:id="19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83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right="98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98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98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154" w:right="98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right="472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本公司对合营企业投资的会计政策见本节</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3" w:right="983"/>
        <w:jc w:val="left"/>
        <w:rPr>
          <w:b w:val="0"/>
          <w:bCs w:val="0"/>
        </w:rPr>
      </w:pPr>
      <w:bookmarkStart w:name="8、现金及现金等价物的确定标准" w:id="191"/>
      <w:bookmarkEnd w:id="19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3"/>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line="240" w:lineRule="auto" w:before="5"/>
        <w:rPr>
          <w:rFonts w:ascii="宋体" w:hAnsi="宋体" w:cs="宋体" w:eastAsia="宋体" w:hint="default"/>
          <w:sz w:val="22"/>
          <w:szCs w:val="22"/>
        </w:rPr>
      </w:pPr>
    </w:p>
    <w:p>
      <w:pPr>
        <w:pStyle w:val="Heading3"/>
        <w:spacing w:line="240" w:lineRule="auto"/>
        <w:ind w:left="153" w:right="983"/>
        <w:jc w:val="left"/>
        <w:rPr>
          <w:b w:val="0"/>
          <w:bCs w:val="0"/>
        </w:rPr>
      </w:pPr>
      <w:bookmarkStart w:name="9、外币业务和外币报表折算" w:id="192"/>
      <w:bookmarkEnd w:id="19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4273"/>
        <w:jc w:val="left"/>
      </w:pPr>
      <w:r>
        <w:rPr>
          <w:rFonts w:ascii="Times New Roman" w:hAnsi="Times New Roman" w:cs="Times New Roman" w:eastAsia="Times New Roman" w:hint="default"/>
        </w:rPr>
        <w:t>1</w:t>
      </w:r>
      <w:r>
        <w:rPr/>
        <w:t>、</w:t>
      </w:r>
      <w:r>
        <w:rPr>
          <w:spacing w:val="60"/>
        </w:rPr>
        <w:t> </w:t>
      </w:r>
      <w:r>
        <w:rPr/>
        <w:t>外币业务</w:t>
      </w:r>
      <w:r>
        <w:rPr/>
        <w:t> 外币业务采用交易发生日的即期汇率作为折算汇率将外币金额折合成人民币记账。</w:t>
      </w:r>
    </w:p>
    <w:p>
      <w:pPr>
        <w:pStyle w:val="BodyText"/>
        <w:spacing w:line="316" w:lineRule="auto" w:before="31"/>
        <w:ind w:right="983"/>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07" w:lineRule="auto"/>
        <w:ind w:right="983"/>
        <w:jc w:val="left"/>
      </w:pPr>
      <w:r>
        <w:rPr>
          <w:rFonts w:ascii="Times New Roman" w:hAnsi="Times New Roman" w:cs="Times New Roman" w:eastAsia="Times New Roman" w:hint="default"/>
        </w:rPr>
        <w:t>2</w:t>
      </w:r>
      <w:r>
        <w:rPr/>
        <w:t>、</w:t>
      </w:r>
      <w:r>
        <w:rPr>
          <w:spacing w:val="60"/>
        </w:rPr>
        <w:t> </w:t>
      </w:r>
      <w:r>
        <w:rPr/>
        <w:t>外币财务报表的折算</w:t>
      </w:r>
      <w:r>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
        <w:rPr>
          <w:rFonts w:ascii="宋体" w:hAnsi="宋体" w:cs="宋体" w:eastAsia="宋体" w:hint="default"/>
          <w:sz w:val="23"/>
          <w:szCs w:val="23"/>
        </w:rPr>
      </w:pPr>
    </w:p>
    <w:p>
      <w:pPr>
        <w:pStyle w:val="Heading3"/>
        <w:spacing w:line="240" w:lineRule="auto"/>
        <w:ind w:left="153" w:right="983"/>
        <w:jc w:val="left"/>
        <w:rPr>
          <w:b w:val="0"/>
          <w:bCs w:val="0"/>
        </w:rPr>
      </w:pPr>
      <w:bookmarkStart w:name="10、金融工具" w:id="193"/>
      <w:bookmarkEnd w:id="19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金融工具包括金融资产、金融负债和权益工具。</w:t>
      </w:r>
    </w:p>
    <w:p>
      <w:pPr>
        <w:pStyle w:val="BodyText"/>
        <w:spacing w:line="312" w:lineRule="auto" w:before="76"/>
        <w:ind w:left="154" w:right="1032"/>
        <w:jc w:val="left"/>
      </w:pPr>
      <w:r>
        <w:rPr>
          <w:rFonts w:ascii="Times New Roman" w:hAnsi="Times New Roman" w:cs="Times New Roman" w:eastAsia="Times New Roman" w:hint="default"/>
        </w:rPr>
        <w:t>1</w:t>
      </w:r>
      <w:r>
        <w:rPr/>
        <w:t>、</w:t>
      </w:r>
      <w:r>
        <w:rPr>
          <w:spacing w:val="60"/>
        </w:rPr>
        <w:t> </w:t>
      </w:r>
      <w:r>
        <w:rPr/>
        <w:t>金融工具的分类</w:t>
      </w:r>
      <w:r>
        <w:rPr/>
        <w:t> </w:t>
      </w:r>
      <w:r>
        <w:rPr>
          <w:spacing w:val="-2"/>
        </w:rPr>
        <w:t>金融资产和金融负债于初始确认时分类为：以公允价值计量且其变动计入当期损益的金融资产或金融负债，包括交易性金融</w:t>
      </w:r>
      <w:r>
        <w:rPr>
          <w:spacing w:val="-63"/>
        </w:rPr>
        <w:t> </w:t>
      </w:r>
      <w:r>
        <w:rPr>
          <w:spacing w:val="-63"/>
        </w:rPr>
      </w:r>
      <w:r>
        <w:rPr/>
        <w:t>资产或金融负债和直接指定为以公允价值计量且其变动计入当期损益的金融资产或金融负债；持有至到期投资；应收款项； 可供出售金融资产；其他金融负债等。</w:t>
      </w:r>
    </w:p>
    <w:p>
      <w:pPr>
        <w:spacing w:line="240" w:lineRule="auto" w:before="7"/>
        <w:rPr>
          <w:rFonts w:ascii="宋体" w:hAnsi="宋体" w:cs="宋体" w:eastAsia="宋体" w:hint="default"/>
          <w:sz w:val="25"/>
          <w:szCs w:val="25"/>
        </w:rPr>
      </w:pPr>
    </w:p>
    <w:p>
      <w:pPr>
        <w:pStyle w:val="BodyText"/>
        <w:spacing w:line="240" w:lineRule="auto"/>
        <w:ind w:left="154" w:right="983"/>
        <w:jc w:val="left"/>
      </w:pPr>
      <w:r>
        <w:rPr>
          <w:rFonts w:ascii="Times New Roman" w:hAnsi="Times New Roman" w:cs="Times New Roman" w:eastAsia="Times New Roman" w:hint="default"/>
        </w:rPr>
        <w:t>2</w:t>
      </w:r>
      <w:r>
        <w:rPr/>
        <w:t>、</w:t>
      </w:r>
      <w:r>
        <w:rPr>
          <w:spacing w:val="60"/>
        </w:rPr>
        <w:t> </w:t>
      </w:r>
      <w:r>
        <w:rPr/>
        <w:t>金融工具的确认依据和计量方法</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983"/>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9" w:lineRule="auto" w:before="24"/>
        <w:ind w:right="319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17"/>
        <w:ind w:right="983"/>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22"/>
        <w:ind w:right="983"/>
        <w:jc w:val="left"/>
      </w:pPr>
      <w:r>
        <w:rPr/>
        <w:t>处置时，将所取得价款与该投资账面价值之间的差额计入投资收益。</w:t>
      </w:r>
    </w:p>
    <w:p>
      <w:pPr>
        <w:pStyle w:val="BodyText"/>
        <w:spacing w:line="312" w:lineRule="auto" w:before="76"/>
        <w:ind w:right="1033"/>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22"/>
        <w:ind w:left="154" w:right="983"/>
        <w:jc w:val="left"/>
      </w:pPr>
      <w:r>
        <w:rPr/>
        <w:t>收回或处置时，将取得的价款与该应收款项账面价值之间的差额计入当期损益。</w:t>
      </w:r>
    </w:p>
    <w:p>
      <w:pPr>
        <w:pStyle w:val="BodyText"/>
        <w:spacing w:line="314" w:lineRule="auto" w:before="76"/>
        <w:ind w:right="983"/>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3"/>
        </w:rPr>
        <w:t> </w:t>
      </w:r>
      <w:r>
        <w:rPr>
          <w:spacing w:val="-63"/>
        </w:rPr>
      </w: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00" w:lineRule="auto" w:before="20"/>
        <w:ind w:right="409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pStyle w:val="BodyText"/>
        <w:spacing w:line="314" w:lineRule="auto"/>
        <w:ind w:right="983"/>
        <w:jc w:val="left"/>
      </w:pPr>
      <w:r>
        <w:rPr>
          <w:rFonts w:ascii="Times New Roman" w:hAnsi="Times New Roman" w:cs="Times New Roman" w:eastAsia="Times New Roman" w:hint="default"/>
        </w:rPr>
        <w:t>3</w:t>
      </w:r>
      <w:r>
        <w:rPr/>
        <w:t>、</w:t>
      </w:r>
      <w:r>
        <w:rPr>
          <w:spacing w:val="60"/>
        </w:rPr>
        <w:t> </w:t>
      </w:r>
      <w:r>
        <w:rPr/>
        <w:t>金融资产转移的确认依据和计量方法</w:t>
      </w:r>
      <w:r>
        <w:rPr/>
        <w:t> </w:t>
      </w: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20"/>
        <w:ind w:right="983"/>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2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w:t>
      </w:r>
    </w:p>
    <w:p>
      <w:pPr>
        <w:spacing w:line="240" w:lineRule="auto" w:before="3"/>
        <w:rPr>
          <w:rFonts w:ascii="宋体" w:hAnsi="宋体" w:cs="宋体" w:eastAsia="宋体" w:hint="default"/>
          <w:sz w:val="26"/>
          <w:szCs w:val="26"/>
        </w:rPr>
      </w:pPr>
    </w:p>
    <w:p>
      <w:pPr>
        <w:pStyle w:val="BodyText"/>
        <w:spacing w:line="316" w:lineRule="auto"/>
        <w:ind w:right="983"/>
        <w:jc w:val="left"/>
      </w:pP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19"/>
        <w:ind w:right="983"/>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left="154"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 金融资产转移不满足终止确认条件的，继续确认该金融资产，所收到的对价确认为一项金融负债。</w:t>
      </w:r>
    </w:p>
    <w:p>
      <w:pPr>
        <w:spacing w:line="240" w:lineRule="auto" w:before="9"/>
        <w:rPr>
          <w:rFonts w:ascii="宋体" w:hAnsi="宋体" w:cs="宋体" w:eastAsia="宋体" w:hint="default"/>
          <w:sz w:val="25"/>
          <w:szCs w:val="25"/>
        </w:rPr>
      </w:pPr>
    </w:p>
    <w:p>
      <w:pPr>
        <w:pStyle w:val="BodyText"/>
        <w:spacing w:line="300" w:lineRule="auto"/>
        <w:ind w:left="154" w:right="983"/>
        <w:jc w:val="left"/>
      </w:pPr>
      <w:r>
        <w:rPr>
          <w:rFonts w:ascii="Times New Roman" w:hAnsi="Times New Roman" w:cs="Times New Roman" w:eastAsia="Times New Roman" w:hint="default"/>
        </w:rPr>
        <w:t>4</w:t>
      </w:r>
      <w:r>
        <w:rPr/>
        <w:t>、</w:t>
      </w:r>
      <w:r>
        <w:rPr>
          <w:spacing w:val="60"/>
        </w:rPr>
        <w:t> </w:t>
      </w:r>
      <w:r>
        <w:rPr/>
        <w:t>金融负债终止确认条件</w:t>
      </w:r>
      <w:r>
        <w:rPr/>
        <w:t> </w:t>
      </w:r>
      <w:r>
        <w:rPr>
          <w:spacing w:val="-2"/>
        </w:rPr>
        <w:t>金融负债的现时义务全部或部分已经解除的，则终止确认该金融负债或其一部分；本公司若与债权人签定协议，以承担新金</w:t>
      </w:r>
    </w:p>
    <w:p>
      <w:pPr>
        <w:spacing w:after="0" w:line="30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融负债方式替换现存金融负债，且新金融负债与现存金融负债的合同条款实质上不同的，则终止确认现存金融负债，并同时</w:t>
      </w:r>
      <w:r>
        <w:rPr>
          <w:spacing w:val="-65"/>
        </w:rPr>
        <w:t> </w:t>
      </w:r>
      <w:r>
        <w:rPr>
          <w:spacing w:val="-65"/>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spacing w:line="240" w:lineRule="auto" w:before="4"/>
        <w:rPr>
          <w:rFonts w:ascii="宋体" w:hAnsi="宋体" w:cs="宋体" w:eastAsia="宋体" w:hint="default"/>
          <w:sz w:val="25"/>
          <w:szCs w:val="25"/>
        </w:rPr>
      </w:pPr>
    </w:p>
    <w:p>
      <w:pPr>
        <w:pStyle w:val="BodyText"/>
        <w:spacing w:line="314" w:lineRule="auto"/>
        <w:ind w:left="154" w:right="983"/>
        <w:jc w:val="left"/>
      </w:pPr>
      <w:r>
        <w:rPr>
          <w:rFonts w:ascii="Times New Roman" w:hAnsi="Times New Roman" w:cs="Times New Roman" w:eastAsia="Times New Roman" w:hint="default"/>
        </w:rPr>
        <w:t>5</w:t>
      </w:r>
      <w:r>
        <w:rPr/>
        <w:t>、</w:t>
      </w:r>
      <w:r>
        <w:rPr>
          <w:spacing w:val="60"/>
        </w:rPr>
        <w:t> </w:t>
      </w:r>
      <w:r>
        <w:rPr/>
        <w:t>金融资产和金融负债的公允价值的确定方法</w:t>
      </w:r>
      <w:r>
        <w:rPr/>
        <w:t>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240" w:lineRule="auto" w:before="6"/>
        <w:rPr>
          <w:rFonts w:ascii="宋体" w:hAnsi="宋体" w:cs="宋体" w:eastAsia="宋体" w:hint="default"/>
          <w:sz w:val="25"/>
          <w:szCs w:val="25"/>
        </w:rPr>
      </w:pPr>
    </w:p>
    <w:p>
      <w:pPr>
        <w:pStyle w:val="BodyText"/>
        <w:spacing w:line="309" w:lineRule="auto"/>
        <w:ind w:left="154" w:right="983"/>
        <w:jc w:val="left"/>
      </w:pPr>
      <w:r>
        <w:rPr>
          <w:rFonts w:ascii="Times New Roman" w:hAnsi="Times New Roman" w:cs="Times New Roman" w:eastAsia="Times New Roman" w:hint="default"/>
        </w:rPr>
        <w:t>6</w:t>
      </w:r>
      <w:r>
        <w:rPr/>
        <w:t>、</w:t>
      </w:r>
      <w:r>
        <w:rPr>
          <w:spacing w:val="60"/>
        </w:rPr>
        <w:t> </w:t>
      </w:r>
      <w:r>
        <w:rPr/>
        <w:t>金融资产（不含应收款项）减值的测试方法及会计处理方法</w:t>
      </w:r>
      <w:r>
        <w:rPr/>
        <w:t>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14" w:lineRule="auto" w:before="24"/>
        <w:ind w:right="1033"/>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0"/>
        <w:ind w:left="154" w:right="983"/>
        <w:jc w:val="left"/>
      </w:pPr>
      <w:r>
        <w:rPr/>
        <w:t>可供出售权益工具投资发生的减值损失，不通过损益转回。</w:t>
      </w:r>
    </w:p>
    <w:p>
      <w:pPr>
        <w:pStyle w:val="BodyText"/>
        <w:spacing w:line="300" w:lineRule="auto" w:before="76"/>
        <w:ind w:right="517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3"/>
          <w:szCs w:val="23"/>
        </w:rPr>
      </w:pPr>
    </w:p>
    <w:p>
      <w:pPr>
        <w:pStyle w:val="Heading3"/>
        <w:spacing w:line="240" w:lineRule="auto"/>
        <w:ind w:left="153" w:right="983"/>
        <w:jc w:val="left"/>
        <w:rPr>
          <w:b w:val="0"/>
          <w:bCs w:val="0"/>
        </w:rPr>
      </w:pPr>
      <w:bookmarkStart w:name="11、应收款项" w:id="194"/>
      <w:bookmarkEnd w:id="19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单项金额重大并单独计提坏账准备的应收款项" w:id="195"/>
      <w:bookmarkEnd w:id="19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期末单项余额在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 据其未来现金流量低于其账面价值的差额确认减值损失。</w:t>
            </w:r>
          </w:p>
        </w:tc>
      </w:tr>
    </w:tbl>
    <w:p>
      <w:pPr>
        <w:spacing w:line="240" w:lineRule="auto" w:before="2"/>
        <w:rPr>
          <w:rFonts w:ascii="宋体" w:hAnsi="宋体" w:cs="宋体" w:eastAsia="宋体" w:hint="default"/>
          <w:b/>
          <w:bCs/>
          <w:sz w:val="19"/>
          <w:szCs w:val="19"/>
        </w:rPr>
      </w:pPr>
    </w:p>
    <w:p>
      <w:pPr>
        <w:pStyle w:val="Heading3"/>
        <w:spacing w:line="240" w:lineRule="auto" w:before="35"/>
        <w:ind w:right="983"/>
        <w:jc w:val="left"/>
        <w:rPr>
          <w:b w:val="0"/>
          <w:bCs w:val="0"/>
        </w:rPr>
      </w:pPr>
      <w:bookmarkStart w:name="（2）按信用风险特征组合计提坏账准备的应收款项" w:id="196"/>
      <w:bookmarkEnd w:id="19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内部及关联方应收款项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983"/>
        <w:jc w:val="left"/>
      </w:pPr>
      <w:r>
        <w:rPr/>
        <w:t>组合中，采用账龄分析法计提坏账准备的：</w:t>
      </w:r>
    </w:p>
    <w:p>
      <w:pPr>
        <w:pStyle w:val="BodyText"/>
        <w:spacing w:line="240" w:lineRule="auto" w:before="116"/>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983"/>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3）单项金额不重大但单独计提坏账准备的应收款项" w:id="197"/>
      <w:bookmarkEnd w:id="19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涉及诉讼或对应收款项金额存在争议的应收款项。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 据其未来现金流量低于其账面价值的差额确认减值损失。</w:t>
            </w:r>
          </w:p>
        </w:tc>
      </w:tr>
    </w:tbl>
    <w:p>
      <w:pPr>
        <w:spacing w:line="240" w:lineRule="auto" w:before="2"/>
        <w:rPr>
          <w:rFonts w:ascii="宋体" w:hAnsi="宋体" w:cs="宋体" w:eastAsia="宋体" w:hint="default"/>
          <w:b/>
          <w:bCs/>
          <w:sz w:val="19"/>
          <w:szCs w:val="19"/>
        </w:rPr>
      </w:pPr>
    </w:p>
    <w:p>
      <w:pPr>
        <w:pStyle w:val="Heading3"/>
        <w:spacing w:line="240" w:lineRule="auto" w:before="35"/>
        <w:ind w:right="983"/>
        <w:jc w:val="left"/>
        <w:rPr>
          <w:b w:val="0"/>
          <w:bCs w:val="0"/>
        </w:rPr>
      </w:pPr>
      <w:bookmarkStart w:name="12、存货" w:id="198"/>
      <w:bookmarkEnd w:id="19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8"/>
        <w:ind w:right="3193"/>
        <w:jc w:val="left"/>
      </w:pPr>
      <w:r>
        <w:rPr>
          <w:rFonts w:ascii="Times New Roman" w:hAnsi="Times New Roman" w:cs="Times New Roman" w:eastAsia="Times New Roman" w:hint="default"/>
        </w:rPr>
        <w:t>1</w:t>
      </w:r>
      <w:r>
        <w:rPr/>
        <w:t>、</w:t>
      </w:r>
      <w:r>
        <w:rPr>
          <w:spacing w:val="60"/>
        </w:rPr>
        <w:t> </w:t>
      </w:r>
      <w:r>
        <w:rPr/>
        <w:t>存货的分类</w:t>
      </w:r>
      <w:r>
        <w:rPr/>
        <w:t> 存货分类为：在途物资、原材料、周转材料、库存商品、在产品、发出商品、委托加工物资等。</w:t>
      </w:r>
    </w:p>
    <w:p>
      <w:pPr>
        <w:spacing w:line="240" w:lineRule="auto" w:before="3"/>
        <w:rPr>
          <w:rFonts w:ascii="宋体" w:hAnsi="宋体" w:cs="宋体" w:eastAsia="宋体" w:hint="default"/>
          <w:sz w:val="26"/>
          <w:szCs w:val="26"/>
        </w:rPr>
      </w:pPr>
    </w:p>
    <w:p>
      <w:pPr>
        <w:pStyle w:val="BodyText"/>
        <w:spacing w:line="300" w:lineRule="auto"/>
        <w:ind w:left="154" w:right="8232"/>
        <w:jc w:val="left"/>
      </w:pPr>
      <w:r>
        <w:rPr>
          <w:rFonts w:ascii="Times New Roman" w:hAnsi="Times New Roman" w:cs="Times New Roman" w:eastAsia="Times New Roman" w:hint="default"/>
        </w:rPr>
        <w:t>2</w:t>
      </w:r>
      <w:r>
        <w:rPr/>
        <w:t>、</w:t>
      </w:r>
      <w:r>
        <w:rPr>
          <w:spacing w:val="60"/>
        </w:rPr>
        <w:t> </w:t>
      </w:r>
      <w:r>
        <w:rPr/>
        <w:t>发出存货的计价方法</w:t>
      </w:r>
      <w:r>
        <w:rPr/>
        <w:t> 存货发出时按加权平均法计价。</w:t>
      </w:r>
    </w:p>
    <w:p>
      <w:pPr>
        <w:spacing w:line="240" w:lineRule="auto" w:before="3"/>
        <w:rPr>
          <w:rFonts w:ascii="宋体" w:hAnsi="宋体" w:cs="宋体" w:eastAsia="宋体" w:hint="default"/>
          <w:sz w:val="26"/>
          <w:szCs w:val="26"/>
        </w:rPr>
      </w:pPr>
    </w:p>
    <w:p>
      <w:pPr>
        <w:pStyle w:val="BodyText"/>
        <w:spacing w:line="316" w:lineRule="auto"/>
        <w:ind w:left="154" w:right="983"/>
        <w:jc w:val="left"/>
      </w:pPr>
      <w:r>
        <w:rPr>
          <w:rFonts w:ascii="Times New Roman" w:hAnsi="Times New Roman" w:cs="Times New Roman" w:eastAsia="Times New Roman" w:hint="default"/>
        </w:rPr>
        <w:t>3</w:t>
      </w:r>
      <w:r>
        <w:rPr/>
        <w:t>、</w:t>
      </w:r>
      <w:r>
        <w:rPr>
          <w:spacing w:val="60"/>
        </w:rPr>
        <w:t> </w:t>
      </w:r>
      <w:r>
        <w:rPr/>
        <w:t>不同类别存货可变现净值的确定依据</w:t>
      </w:r>
      <w:r>
        <w:rPr/>
        <w:t>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5"/>
        </w:rPr>
        <w:t> </w:t>
      </w:r>
      <w:r>
        <w:rPr>
          <w:spacing w:val="-65"/>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16" w:lineRule="auto" w:before="19"/>
        <w:ind w:left="154" w:right="193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240" w:lineRule="auto"/>
        <w:ind w:left="154" w:right="983"/>
        <w:jc w:val="left"/>
      </w:pPr>
      <w:r>
        <w:rPr>
          <w:rFonts w:ascii="Times New Roman" w:hAnsi="Times New Roman" w:cs="Times New Roman" w:eastAsia="Times New Roman" w:hint="default"/>
        </w:rPr>
        <w:t>4</w:t>
      </w:r>
      <w:r>
        <w:rPr/>
        <w:t>、</w:t>
      </w:r>
      <w:r>
        <w:rPr>
          <w:spacing w:val="60"/>
        </w:rPr>
        <w:t> </w:t>
      </w:r>
      <w:r>
        <w:rPr/>
        <w:t>存货的盘存制度</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983"/>
        <w:jc w:val="left"/>
      </w:pPr>
      <w:r>
        <w:rPr/>
        <w:t>采用永续盘存制。</w:t>
      </w:r>
    </w:p>
    <w:p>
      <w:pPr>
        <w:spacing w:line="240" w:lineRule="auto" w:before="0"/>
        <w:rPr>
          <w:rFonts w:ascii="宋体" w:hAnsi="宋体" w:cs="宋体" w:eastAsia="宋体" w:hint="default"/>
          <w:sz w:val="18"/>
          <w:szCs w:val="18"/>
        </w:rPr>
      </w:pPr>
    </w:p>
    <w:p>
      <w:pPr>
        <w:pStyle w:val="BodyText"/>
        <w:spacing w:line="240" w:lineRule="auto" w:before="153"/>
        <w:ind w:right="983"/>
        <w:jc w:val="left"/>
      </w:pPr>
      <w:r>
        <w:rPr>
          <w:rFonts w:ascii="Times New Roman" w:hAnsi="Times New Roman" w:cs="Times New Roman" w:eastAsia="Times New Roman" w:hint="default"/>
        </w:rPr>
        <w:t>5</w:t>
      </w:r>
      <w:r>
        <w:rPr/>
        <w:t>、</w:t>
      </w:r>
      <w:r>
        <w:rPr>
          <w:spacing w:val="60"/>
        </w:rPr>
        <w:t> </w:t>
      </w:r>
      <w:r>
        <w:rPr/>
        <w:t>低值易耗品和包装物的摊销方法</w:t>
      </w:r>
    </w:p>
    <w:p>
      <w:pPr>
        <w:pStyle w:val="BodyText"/>
        <w:spacing w:line="240" w:lineRule="auto" w:before="63"/>
        <w:ind w:right="98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983"/>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983"/>
        <w:jc w:val="left"/>
        <w:rPr>
          <w:b w:val="0"/>
          <w:bCs w:val="0"/>
        </w:rPr>
      </w:pPr>
      <w:bookmarkStart w:name="13、持有待售资产" w:id="199"/>
      <w:bookmarkEnd w:id="19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本公司将同时满足下列条件的非流动资产或处置组划分为持有待售类别：</w:t>
      </w:r>
    </w:p>
    <w:p>
      <w:pPr>
        <w:pStyle w:val="BodyText"/>
        <w:spacing w:line="240" w:lineRule="auto" w:before="76"/>
        <w:ind w:right="98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left="154" w:right="1122"/>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）出售极可能发生，即本公司已经就一项出售计划作出决议且获得确定的购买承诺，预计出售将在一年内完成。有关规 定要求本公司相关权力机构或者监管部门批准后方可出售的，已经获得批准。</w:t>
      </w:r>
    </w:p>
    <w:p>
      <w:pPr>
        <w:spacing w:line="240" w:lineRule="auto" w:before="6"/>
        <w:rPr>
          <w:rFonts w:ascii="宋体" w:hAnsi="宋体" w:cs="宋体" w:eastAsia="宋体" w:hint="default"/>
          <w:sz w:val="23"/>
          <w:szCs w:val="23"/>
        </w:rPr>
      </w:pPr>
    </w:p>
    <w:p>
      <w:pPr>
        <w:pStyle w:val="Heading3"/>
        <w:spacing w:line="240" w:lineRule="auto"/>
        <w:ind w:left="153" w:right="983"/>
        <w:jc w:val="left"/>
        <w:rPr>
          <w:b w:val="0"/>
          <w:bCs w:val="0"/>
        </w:rPr>
      </w:pPr>
      <w:bookmarkStart w:name="14、长期股权投资" w:id="200"/>
      <w:bookmarkEnd w:id="20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83"/>
        <w:jc w:val="left"/>
      </w:pPr>
      <w:r>
        <w:rPr>
          <w:rFonts w:ascii="Times New Roman" w:hAnsi="Times New Roman" w:cs="Times New Roman" w:eastAsia="Times New Roman" w:hint="default"/>
        </w:rPr>
        <w:t>1</w:t>
      </w:r>
      <w:r>
        <w:rPr/>
        <w:t>、</w:t>
      </w:r>
      <w:r>
        <w:rPr>
          <w:spacing w:val="60"/>
        </w:rPr>
        <w:t> </w:t>
      </w:r>
      <w:r>
        <w:rPr/>
        <w:t>共同控制、重大影响的判断标准</w:t>
      </w:r>
      <w:r>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spacing w:line="240" w:lineRule="auto" w:before="6"/>
        <w:rPr>
          <w:rFonts w:ascii="宋体" w:hAnsi="宋体" w:cs="宋体" w:eastAsia="宋体" w:hint="default"/>
          <w:sz w:val="25"/>
          <w:szCs w:val="25"/>
        </w:rPr>
      </w:pPr>
    </w:p>
    <w:p>
      <w:pPr>
        <w:pStyle w:val="BodyText"/>
        <w:spacing w:line="240" w:lineRule="auto"/>
        <w:ind w:right="983"/>
        <w:jc w:val="left"/>
      </w:pPr>
      <w:r>
        <w:rPr>
          <w:rFonts w:ascii="Times New Roman" w:hAnsi="Times New Roman" w:cs="Times New Roman" w:eastAsia="Times New Roman" w:hint="default"/>
        </w:rPr>
        <w:t>2</w:t>
      </w:r>
      <w:r>
        <w:rPr/>
        <w:t>、</w:t>
      </w:r>
      <w:r>
        <w:rPr>
          <w:spacing w:val="60"/>
        </w:rPr>
        <w:t> </w:t>
      </w:r>
      <w:r>
        <w:rPr/>
        <w:t>初始投资成本的确定</w:t>
      </w:r>
    </w:p>
    <w:p>
      <w:pPr>
        <w:pStyle w:val="BodyText"/>
        <w:spacing w:line="316" w:lineRule="auto" w:before="63"/>
        <w:ind w:right="983"/>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5"/>
        </w:rPr>
        <w:t> </w:t>
      </w:r>
      <w:r>
        <w:rPr>
          <w:spacing w:val="-65"/>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6"/>
        </w:rPr>
        <w:t> </w:t>
      </w:r>
      <w:r>
        <w:rPr>
          <w:spacing w:val="-66"/>
        </w:rPr>
      </w:r>
      <w:r>
        <w:rPr>
          <w:spacing w:val="-2"/>
        </w:rPr>
        <w:t>股权投资账面价值加上合并日进一步取得股份新支付对价的账面价值之和的差额，调整股本溢价，股本溢价不足冲减的，冲</w:t>
      </w:r>
      <w:r>
        <w:rPr>
          <w:spacing w:val="-66"/>
        </w:rPr>
        <w:t> </w:t>
      </w:r>
      <w:r>
        <w:rPr>
          <w:spacing w:val="-66"/>
        </w:rPr>
      </w:r>
      <w:r>
        <w:rPr/>
        <w:t>减留存收益。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09" w:lineRule="auto" w:before="19"/>
        <w:ind w:right="337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24"/>
        <w:ind w:right="1131"/>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17"/>
        <w:ind w:left="154" w:right="983"/>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right="983"/>
        <w:jc w:val="left"/>
      </w:pPr>
      <w:r>
        <w:rPr>
          <w:rFonts w:ascii="Times New Roman" w:hAnsi="Times New Roman" w:cs="Times New Roman" w:eastAsia="Times New Roman" w:hint="default"/>
        </w:rPr>
        <w:t>3</w:t>
      </w:r>
      <w:r>
        <w:rPr/>
        <w:t>、</w:t>
      </w:r>
      <w:r>
        <w:rPr>
          <w:spacing w:val="60"/>
        </w:rPr>
        <w:t> </w:t>
      </w:r>
      <w:r>
        <w:rPr/>
        <w:t>后续计量及损益确认方法</w:t>
      </w:r>
    </w:p>
    <w:p>
      <w:pPr>
        <w:pStyle w:val="BodyText"/>
        <w:spacing w:line="240" w:lineRule="auto" w:before="63"/>
        <w:ind w:left="154" w:right="983"/>
        <w:jc w:val="left"/>
      </w:pPr>
      <w:r>
        <w:rPr/>
        <w:t>（</w:t>
      </w:r>
      <w:r>
        <w:rPr>
          <w:rFonts w:ascii="Times New Roman" w:hAnsi="Times New Roman" w:cs="Times New Roman" w:eastAsia="Times New Roman" w:hint="default"/>
        </w:rPr>
        <w:t>1</w:t>
      </w:r>
      <w:r>
        <w:rPr/>
        <w:t>）成本法核算的长期股权投资</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983"/>
        <w:jc w:val="left"/>
      </w:pP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14" w:lineRule="auto" w:before="19"/>
        <w:ind w:right="983"/>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 </w:t>
      </w:r>
      <w:r>
        <w:rPr>
          <w:spacing w:val="-2"/>
        </w:rPr>
        <w:t>公司与联营企业、合营企业之间发生的未实现内部交易损益按照应享有的比例计算归属于公司的部分，予以抵销，在此基础</w:t>
      </w:r>
      <w:r>
        <w:rPr>
          <w:spacing w:val="-65"/>
        </w:rPr>
        <w:t> </w:t>
      </w:r>
      <w:r>
        <w:rPr>
          <w:spacing w:val="-65"/>
        </w:rPr>
      </w:r>
      <w:r>
        <w:rPr>
          <w:spacing w:val="-2"/>
        </w:rPr>
        <w:t>上确认投资收益。与被投资单位发生的未实现内部交易损失，属于资产减值损失的，全额确认。公司与联营企业、合营企业</w:t>
      </w:r>
      <w:r>
        <w:rPr>
          <w:spacing w:val="-66"/>
        </w:rPr>
        <w:t> </w:t>
      </w:r>
      <w:r>
        <w:rPr>
          <w:spacing w:val="-66"/>
        </w:rPr>
      </w:r>
      <w:r>
        <w:rPr/>
        <w:t>之间发生投出或出售资产的交易，该资产构成业务的，按照本附注</w:t>
      </w:r>
      <w:r>
        <w:rPr>
          <w:rFonts w:ascii="Times New Roman" w:hAnsi="Times New Roman" w:cs="Times New Roman" w:eastAsia="Times New Roman" w:hint="default"/>
        </w:rPr>
        <w:t>“</w:t>
      </w:r>
      <w:r>
        <w:rPr/>
        <w:t>五、重要会计政策及会计估计</w:t>
      </w:r>
      <w:r>
        <w:rPr>
          <w:spacing w:val="-18"/>
        </w:rPr>
        <w:t> </w:t>
      </w:r>
      <w:r>
        <w:rPr>
          <w:rFonts w:ascii="Times New Roman" w:hAnsi="Times New Roman" w:cs="Times New Roman" w:eastAsia="Times New Roman" w:hint="default"/>
        </w:rPr>
        <w:t>5</w:t>
      </w:r>
      <w:r>
        <w:rPr/>
        <w:t>、同一控制下和非同一 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五、重要会计政策及会计估计</w:t>
      </w:r>
      <w:r>
        <w:rPr>
          <w:spacing w:val="-19"/>
        </w:rPr>
        <w:t> </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 计处理。 </w:t>
      </w: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6"/>
        </w:rPr>
        <w:t> </w:t>
      </w:r>
      <w:r>
        <w:rPr>
          <w:spacing w:val="-66"/>
        </w:rPr>
      </w:r>
      <w:r>
        <w:rPr/>
        <w:t>认预计负债，计入当期投资损失。</w:t>
      </w:r>
    </w:p>
    <w:p>
      <w:pPr>
        <w:pStyle w:val="BodyText"/>
        <w:spacing w:line="300" w:lineRule="auto" w:before="21"/>
        <w:ind w:left="154" w:right="49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983"/>
        <w:jc w:val="left"/>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3"/>
        </w:rPr>
        <w:t> </w:t>
      </w:r>
      <w:r>
        <w:rPr>
          <w:spacing w:val="-63"/>
        </w:rPr>
      </w:r>
      <w:r>
        <w:rPr/>
        <w:t>转入当期损益。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left="153" w:right="983"/>
        <w:jc w:val="left"/>
        <w:rPr>
          <w:b w:val="0"/>
          <w:bCs w:val="0"/>
        </w:rPr>
      </w:pPr>
      <w:bookmarkStart w:name="15、投资性房地产" w:id="201"/>
      <w:bookmarkEnd w:id="20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投资性房地产计量模式</w:t>
      </w:r>
    </w:p>
    <w:p>
      <w:pPr>
        <w:spacing w:after="0" w:line="240" w:lineRule="auto"/>
        <w:jc w:val="left"/>
        <w:sectPr>
          <w:footerReference w:type="default" r:id="rId38"/>
          <w:pgSz w:w="11910" w:h="16840"/>
          <w:pgMar w:footer="1449" w:header="877" w:top="1060" w:bottom="1640" w:left="980" w:right="0"/>
          <w:pgNumType w:start="117"/>
        </w:sectPr>
      </w:pPr>
    </w:p>
    <w:p>
      <w:pPr>
        <w:spacing w:line="240" w:lineRule="auto" w:before="13"/>
        <w:rPr>
          <w:rFonts w:ascii="宋体" w:hAnsi="宋体" w:cs="宋体" w:eastAsia="宋体" w:hint="default"/>
          <w:sz w:val="25"/>
          <w:szCs w:val="25"/>
        </w:rPr>
      </w:pPr>
    </w:p>
    <w:p>
      <w:pPr>
        <w:pStyle w:val="BodyText"/>
        <w:spacing w:line="357" w:lineRule="auto" w:before="44"/>
        <w:ind w:right="9493"/>
        <w:jc w:val="left"/>
      </w:pPr>
      <w:r>
        <w:rPr/>
        <w:t>成本法计量 折旧或摊销方法</w:t>
      </w:r>
    </w:p>
    <w:p>
      <w:pPr>
        <w:pStyle w:val="BodyText"/>
        <w:spacing w:line="319" w:lineRule="auto" w:before="28"/>
        <w:ind w:right="983"/>
        <w:jc w:val="left"/>
      </w:pP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的土地使用权、已出租的建筑物（含自行建造或开发活动完成后用于出租的建筑物以及正在建造或开发过程中将来用于出租</w:t>
      </w:r>
      <w:r>
        <w:rPr>
          <w:spacing w:val="-63"/>
        </w:rPr>
        <w:t> </w:t>
      </w:r>
      <w:r>
        <w:rPr>
          <w:spacing w:val="-63"/>
        </w:rPr>
      </w:r>
      <w:r>
        <w:rPr/>
        <w:t>的建筑物）。 </w:t>
      </w:r>
      <w:r>
        <w:rPr>
          <w:spacing w:val="-2"/>
        </w:rPr>
        <w:t>公司对现有投资性房地产采用成本模式计量。对按照成本模式计量的投资性房地产－出租用建筑物采用与本公司固定资产相</w:t>
      </w:r>
      <w:r>
        <w:rPr>
          <w:spacing w:val="-64"/>
        </w:rPr>
        <w:t> </w:t>
      </w:r>
      <w:r>
        <w:rPr>
          <w:spacing w:val="-64"/>
        </w:rPr>
      </w:r>
      <w:r>
        <w:rPr/>
        <w:t>同的折旧政策，出租用土地使用权按与无形资产相同的摊销政策执行。</w:t>
      </w:r>
    </w:p>
    <w:p>
      <w:pPr>
        <w:spacing w:line="240" w:lineRule="auto" w:before="5"/>
        <w:rPr>
          <w:rFonts w:ascii="宋体" w:hAnsi="宋体" w:cs="宋体" w:eastAsia="宋体" w:hint="default"/>
          <w:sz w:val="22"/>
          <w:szCs w:val="22"/>
        </w:rPr>
      </w:pPr>
    </w:p>
    <w:p>
      <w:pPr>
        <w:pStyle w:val="Heading3"/>
        <w:spacing w:line="240" w:lineRule="auto"/>
        <w:ind w:left="153" w:right="983"/>
        <w:jc w:val="left"/>
        <w:rPr>
          <w:b w:val="0"/>
          <w:bCs w:val="0"/>
        </w:rPr>
      </w:pPr>
      <w:bookmarkStart w:name="16、固定资产" w:id="202"/>
      <w:bookmarkEnd w:id="20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确认条件" w:id="203"/>
      <w:bookmarkEnd w:id="20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83"/>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left="153" w:right="983"/>
        <w:jc w:val="left"/>
        <w:rPr>
          <w:b w:val="0"/>
          <w:bCs w:val="0"/>
        </w:rPr>
      </w:pPr>
      <w:bookmarkStart w:name="（2）折旧方法" w:id="204"/>
      <w:bookmarkEnd w:id="20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办公家具工具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11.88%-23.75%</w:t>
            </w:r>
          </w:p>
        </w:tc>
      </w:tr>
    </w:tbl>
    <w:p>
      <w:pPr>
        <w:pStyle w:val="BodyText"/>
        <w:spacing w:line="316" w:lineRule="auto" w:before="10"/>
        <w:ind w:right="1033"/>
        <w:jc w:val="left"/>
      </w:pPr>
      <w:r>
        <w:rPr>
          <w:spacing w:val="-2"/>
        </w:rPr>
        <w:t>固定资产折旧采用年限平均法分类计提，根据固定资产类别、预计使用寿命和预计净残值率确定折旧率。如固定资产各组成</w:t>
      </w:r>
      <w:r>
        <w:rPr>
          <w:spacing w:val="-66"/>
        </w:rPr>
        <w:t> </w:t>
      </w:r>
      <w:r>
        <w:rPr>
          <w:spacing w:val="-66"/>
        </w:rPr>
      </w:r>
      <w:r>
        <w:rPr/>
        <w:t>部分的使用寿命不同或者以不同方式为企业提供经济利益，则选择不同折旧率或折旧方法，分别计提折旧。 </w:t>
      </w:r>
      <w:r>
        <w:rPr>
          <w:spacing w:val="-4"/>
        </w:rPr>
        <w:t>融资租赁方式租入的固定资产，能合理确定租赁期届满时将会取得租赁资产所有权的，在租赁资产尚可使用年限内计提折旧；</w:t>
      </w:r>
      <w:r>
        <w:rPr>
          <w:spacing w:val="-44"/>
        </w:rPr>
        <w:t> </w:t>
      </w:r>
      <w:r>
        <w:rPr>
          <w:spacing w:val="-44"/>
        </w:rPr>
      </w:r>
      <w:r>
        <w:rPr/>
        <w:t>无法合理确定租赁期届满时能够取得租赁资产所有权的，在租赁期与租赁资产尚可使用年限两者中较短的期间内计提折旧。</w:t>
      </w:r>
    </w:p>
    <w:p>
      <w:pPr>
        <w:spacing w:line="240" w:lineRule="auto" w:before="7"/>
        <w:rPr>
          <w:rFonts w:ascii="宋体" w:hAnsi="宋体" w:cs="宋体" w:eastAsia="宋体" w:hint="default"/>
          <w:sz w:val="22"/>
          <w:szCs w:val="22"/>
        </w:rPr>
      </w:pPr>
    </w:p>
    <w:p>
      <w:pPr>
        <w:pStyle w:val="Heading3"/>
        <w:spacing w:line="240" w:lineRule="auto"/>
        <w:ind w:right="983"/>
        <w:jc w:val="left"/>
        <w:rPr>
          <w:b w:val="0"/>
          <w:bCs w:val="0"/>
        </w:rPr>
      </w:pPr>
      <w:bookmarkStart w:name="（3）融资租入固定资产的认定依据、计价和折旧方法" w:id="205"/>
      <w:bookmarkEnd w:id="20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983"/>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1"/>
        <w:rPr>
          <w:rFonts w:ascii="宋体" w:hAnsi="宋体" w:cs="宋体" w:eastAsia="宋体" w:hint="default"/>
          <w:sz w:val="23"/>
          <w:szCs w:val="23"/>
        </w:rPr>
      </w:pPr>
    </w:p>
    <w:p>
      <w:pPr>
        <w:pStyle w:val="Heading3"/>
        <w:spacing w:line="240" w:lineRule="auto"/>
        <w:ind w:right="983"/>
        <w:jc w:val="left"/>
        <w:rPr>
          <w:b w:val="0"/>
          <w:bCs w:val="0"/>
        </w:rPr>
      </w:pPr>
      <w:bookmarkStart w:name="17、在建工程" w:id="206"/>
      <w:bookmarkEnd w:id="20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16" w:lineRule="auto" w:before="25"/>
        <w:ind w:left="154" w:right="113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p>
    <w:p>
      <w:pPr>
        <w:spacing w:after="0" w:line="316" w:lineRule="auto"/>
        <w:jc w:val="both"/>
        <w:sectPr>
          <w:footerReference w:type="default" r:id="rId39"/>
          <w:pgSz w:w="11910" w:h="16840"/>
          <w:pgMar w:footer="1509" w:header="877" w:top="1060" w:bottom="1700" w:left="980" w:right="0"/>
          <w:pgNumType w:start="11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left="153" w:right="983"/>
        <w:jc w:val="left"/>
        <w:rPr>
          <w:b w:val="0"/>
          <w:bCs w:val="0"/>
        </w:rPr>
      </w:pPr>
      <w:bookmarkStart w:name="18、借款费用" w:id="207"/>
      <w:bookmarkEnd w:id="20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83"/>
        <w:jc w:val="left"/>
      </w:pPr>
      <w:r>
        <w:rPr>
          <w:rFonts w:ascii="Times New Roman" w:hAnsi="Times New Roman" w:cs="Times New Roman" w:eastAsia="Times New Roman" w:hint="default"/>
        </w:rPr>
        <w:t>1</w:t>
      </w:r>
      <w:r>
        <w:rPr/>
        <w:t>、</w:t>
      </w:r>
      <w:r>
        <w:rPr>
          <w:spacing w:val="60"/>
        </w:rPr>
        <w:t> </w:t>
      </w:r>
      <w:r>
        <w:rPr/>
        <w:t>借款费用资本化的确认原则</w:t>
      </w:r>
      <w:r>
        <w:rPr/>
        <w:t>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3"/>
        </w:rPr>
        <w:t> </w:t>
      </w:r>
      <w:r>
        <w:rPr>
          <w:spacing w:val="-63"/>
        </w:rPr>
      </w:r>
      <w:r>
        <w:rPr/>
        <w:t>资性房地产和存货等资产。</w:t>
      </w:r>
    </w:p>
    <w:p>
      <w:pPr>
        <w:pStyle w:val="BodyText"/>
        <w:spacing w:line="240" w:lineRule="auto" w:before="20"/>
        <w:ind w:left="154" w:right="983"/>
        <w:jc w:val="left"/>
      </w:pPr>
      <w:r>
        <w:rPr/>
        <w:t>借款费用同时满足下列条件时开始资本化：</w:t>
      </w:r>
    </w:p>
    <w:p>
      <w:pPr>
        <w:pStyle w:val="BodyText"/>
        <w:spacing w:line="300" w:lineRule="auto" w:before="76"/>
        <w:ind w:left="154"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left="154" w:right="983"/>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54" w:right="98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4" w:lineRule="auto" w:before="139"/>
        <w:ind w:right="983"/>
        <w:jc w:val="left"/>
      </w:pPr>
      <w:r>
        <w:rPr>
          <w:rFonts w:ascii="Times New Roman" w:hAnsi="Times New Roman" w:cs="Times New Roman" w:eastAsia="Times New Roman" w:hint="default"/>
        </w:rPr>
        <w:t>2</w:t>
      </w:r>
      <w:r>
        <w:rPr/>
        <w:t>、</w:t>
      </w:r>
      <w:r>
        <w:rPr>
          <w:spacing w:val="60"/>
        </w:rPr>
        <w:t> </w:t>
      </w:r>
      <w:r>
        <w:rPr/>
        <w:t>借款费用资本化期间</w:t>
      </w:r>
      <w:r>
        <w:rPr/>
        <w:t>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6"/>
        <w:rPr>
          <w:rFonts w:ascii="宋体" w:hAnsi="宋体" w:cs="宋体" w:eastAsia="宋体" w:hint="default"/>
          <w:sz w:val="25"/>
          <w:szCs w:val="25"/>
        </w:rPr>
      </w:pPr>
    </w:p>
    <w:p>
      <w:pPr>
        <w:pStyle w:val="BodyText"/>
        <w:spacing w:line="307" w:lineRule="auto"/>
        <w:ind w:right="1123"/>
        <w:jc w:val="left"/>
      </w:pPr>
      <w:r>
        <w:rPr>
          <w:rFonts w:ascii="Times New Roman" w:hAnsi="Times New Roman" w:cs="Times New Roman" w:eastAsia="Times New Roman" w:hint="default"/>
        </w:rPr>
        <w:t>3</w:t>
      </w:r>
      <w:r>
        <w:rPr/>
        <w:t>、</w:t>
      </w:r>
      <w:r>
        <w:rPr>
          <w:spacing w:val="60"/>
        </w:rPr>
        <w:t> </w:t>
      </w:r>
      <w:r>
        <w:rPr/>
        <w:t>暂停资本化期间</w:t>
      </w:r>
      <w:r>
        <w:rPr/>
        <w:t>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spacing w:line="240" w:lineRule="auto" w:before="11"/>
        <w:rPr>
          <w:rFonts w:ascii="宋体" w:hAnsi="宋体" w:cs="宋体" w:eastAsia="宋体" w:hint="default"/>
          <w:sz w:val="25"/>
          <w:szCs w:val="25"/>
        </w:rPr>
      </w:pPr>
    </w:p>
    <w:p>
      <w:pPr>
        <w:pStyle w:val="BodyText"/>
        <w:spacing w:line="314" w:lineRule="auto"/>
        <w:ind w:right="983"/>
        <w:jc w:val="left"/>
      </w:pPr>
      <w:r>
        <w:rPr>
          <w:rFonts w:ascii="Times New Roman" w:hAnsi="Times New Roman" w:cs="Times New Roman" w:eastAsia="Times New Roman" w:hint="default"/>
        </w:rPr>
        <w:t>4</w:t>
      </w:r>
      <w:r>
        <w:rPr/>
        <w:t>、</w:t>
      </w:r>
      <w:r>
        <w:rPr>
          <w:spacing w:val="60"/>
        </w:rPr>
        <w:t> </w:t>
      </w:r>
      <w:r>
        <w:rPr/>
        <w:t>借款费用资本化率、资本化金额的计算方法</w:t>
      </w:r>
      <w:r>
        <w:rPr/>
        <w:t>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3"/>
        </w:rPr>
        <w:t> </w:t>
      </w:r>
      <w:r>
        <w:rPr>
          <w:spacing w:val="-63"/>
        </w:rPr>
      </w:r>
      <w:r>
        <w:rPr/>
        <w:t>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left="153" w:right="983"/>
        <w:jc w:val="left"/>
        <w:rPr>
          <w:b w:val="0"/>
          <w:bCs w:val="0"/>
        </w:rPr>
      </w:pPr>
      <w:bookmarkStart w:name="19、无形资产" w:id="208"/>
      <w:bookmarkEnd w:id="20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计价方法、使用寿命、减值测试" w:id="209"/>
      <w:bookmarkEnd w:id="20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83"/>
        <w:jc w:val="left"/>
      </w:pP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w:t>
      </w:r>
    </w:p>
    <w:p>
      <w:pPr>
        <w:spacing w:after="0" w:line="314" w:lineRule="auto"/>
        <w:jc w:val="left"/>
        <w:sectPr>
          <w:footerReference w:type="default" r:id="rId40"/>
          <w:pgSz w:w="11910" w:h="16840"/>
          <w:pgMar w:footer="979" w:header="877" w:top="1060" w:bottom="1160" w:left="980" w:right="0"/>
          <w:pgNumType w:start="119"/>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spacing w:line="240" w:lineRule="auto" w:before="4"/>
        <w:rPr>
          <w:rFonts w:ascii="宋体" w:hAnsi="宋体" w:cs="宋体" w:eastAsia="宋体" w:hint="default"/>
          <w:sz w:val="25"/>
          <w:szCs w:val="25"/>
        </w:rPr>
      </w:pPr>
    </w:p>
    <w:p>
      <w:pPr>
        <w:pStyle w:val="BodyText"/>
        <w:spacing w:line="300" w:lineRule="auto"/>
        <w:ind w:right="7513"/>
        <w:jc w:val="left"/>
      </w:pP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1132"/>
        <w:jc w:val="both"/>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240" w:lineRule="auto" w:before="19"/>
        <w:ind w:right="0"/>
        <w:jc w:val="both"/>
      </w:pPr>
      <w:r>
        <w:rPr/>
        <w:t>（</w:t>
      </w:r>
      <w:r>
        <w:rPr>
          <w:rFonts w:ascii="Times New Roman" w:hAnsi="Times New Roman" w:cs="Times New Roman" w:eastAsia="Times New Roman" w:hint="default"/>
        </w:rPr>
        <w:t>2</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777"/>
        <w:gridCol w:w="2364"/>
        <w:gridCol w:w="3518"/>
      </w:tblGrid>
      <w:tr>
        <w:trPr>
          <w:trHeight w:val="342" w:hRule="exact"/>
        </w:trPr>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2" w:hRule="exact"/>
        </w:trPr>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法定年限</w:t>
            </w:r>
          </w:p>
        </w:tc>
      </w:tr>
    </w:tbl>
    <w:p>
      <w:pPr>
        <w:pStyle w:val="BodyText"/>
        <w:spacing w:line="316" w:lineRule="auto" w:before="10"/>
        <w:ind w:right="4813"/>
        <w:jc w:val="left"/>
      </w:pPr>
      <w:r>
        <w:rPr/>
        <w:t>每年度终了，对使用寿命有限的无形资产的使用寿命及摊销方法进行复核。 经复核，本年期末无形资产的使用寿命及摊销方法与以前估计未有不同。</w:t>
      </w:r>
    </w:p>
    <w:p>
      <w:pPr>
        <w:pStyle w:val="BodyText"/>
        <w:spacing w:line="300" w:lineRule="auto" w:before="19"/>
        <w:ind w:right="4543"/>
        <w:jc w:val="left"/>
      </w:pPr>
      <w:r>
        <w:rPr/>
        <w:t>（</w:t>
      </w:r>
      <w:r>
        <w:rPr>
          <w:rFonts w:ascii="Times New Roman" w:hAnsi="Times New Roman" w:cs="Times New Roman" w:eastAsia="Times New Roman" w:hint="default"/>
        </w:rPr>
        <w:t>3</w:t>
      </w:r>
      <w:r>
        <w:rPr/>
        <w:t>）使用寿命不确定的无形资产的判断依据以及对其使用寿命进行复核的程序 截至资产负债表日，本公司没有使用寿命不确定的无形资产。</w:t>
      </w:r>
    </w:p>
    <w:p>
      <w:pPr>
        <w:spacing w:line="240" w:lineRule="auto" w:before="6"/>
        <w:rPr>
          <w:rFonts w:ascii="宋体" w:hAnsi="宋体" w:cs="宋体" w:eastAsia="宋体" w:hint="default"/>
          <w:sz w:val="23"/>
          <w:szCs w:val="23"/>
        </w:rPr>
      </w:pPr>
    </w:p>
    <w:p>
      <w:pPr>
        <w:pStyle w:val="Heading3"/>
        <w:spacing w:line="240" w:lineRule="auto"/>
        <w:ind w:right="983"/>
        <w:jc w:val="left"/>
        <w:rPr>
          <w:b w:val="0"/>
          <w:bCs w:val="0"/>
        </w:rPr>
      </w:pPr>
      <w:bookmarkStart w:name="（2）内部研究开发支出会计政策" w:id="210"/>
      <w:bookmarkEnd w:id="21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3013"/>
        <w:jc w:val="left"/>
      </w:pPr>
      <w:r>
        <w:rPr>
          <w:rFonts w:ascii="Times New Roman" w:hAnsi="Times New Roman" w:cs="Times New Roman" w:eastAsia="Times New Roman" w:hint="default"/>
        </w:rPr>
        <w:t>1</w:t>
      </w:r>
      <w:r>
        <w:rPr/>
        <w:t>、</w:t>
      </w:r>
      <w:r>
        <w:rPr>
          <w:spacing w:val="60"/>
        </w:rPr>
        <w:t> </w:t>
      </w:r>
      <w:r>
        <w:rPr/>
        <w:t>划分研究阶段和开发阶段的具体标准</w:t>
      </w:r>
      <w:r>
        <w:rPr/>
        <w:t>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983"/>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spacing w:line="240" w:lineRule="auto" w:before="4"/>
        <w:rPr>
          <w:rFonts w:ascii="宋体" w:hAnsi="宋体" w:cs="宋体" w:eastAsia="宋体" w:hint="default"/>
          <w:sz w:val="25"/>
          <w:szCs w:val="25"/>
        </w:rPr>
      </w:pPr>
    </w:p>
    <w:p>
      <w:pPr>
        <w:pStyle w:val="BodyText"/>
        <w:spacing w:line="300" w:lineRule="auto"/>
        <w:ind w:right="4813"/>
        <w:jc w:val="left"/>
      </w:pPr>
      <w:r>
        <w:rPr>
          <w:rFonts w:ascii="Times New Roman" w:hAnsi="Times New Roman" w:cs="Times New Roman" w:eastAsia="Times New Roman" w:hint="default"/>
        </w:rPr>
        <w:t>2</w:t>
      </w:r>
      <w:r>
        <w:rPr/>
        <w:t>、</w:t>
      </w:r>
      <w:r>
        <w:rPr>
          <w:spacing w:val="60"/>
        </w:rPr>
        <w:t> </w:t>
      </w:r>
      <w:r>
        <w:rPr/>
        <w:t>开发阶段支出资本化的具体条件</w:t>
      </w:r>
      <w:r>
        <w:rPr/>
        <w:t> 内部研究开发项目开发阶段的支出，同时满足下列条件时确认为无形资产：</w:t>
      </w:r>
    </w:p>
    <w:p>
      <w:pPr>
        <w:pStyle w:val="BodyText"/>
        <w:spacing w:line="240" w:lineRule="auto" w:before="31"/>
        <w:ind w:right="98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98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3733"/>
        <w:jc w:val="left"/>
      </w:pPr>
      <w:r>
        <w:rPr/>
        <w:t>（</w:t>
      </w:r>
      <w:r>
        <w:rPr>
          <w:rFonts w:ascii="Times New Roman" w:hAnsi="Times New Roman" w:cs="Times New Roman" w:eastAsia="Times New Roman" w:hint="default"/>
        </w:rPr>
        <w:t>3</w:t>
      </w:r>
      <w:r>
        <w:rPr/>
        <w:t>）无形资产产生经济利益的方式，包括能够证明运用该无形资产生产的 产品存在市场或无形资产自身存在市场，无形资产将在内部使用的，能够证明其有用性；</w:t>
      </w:r>
    </w:p>
    <w:p>
      <w:pPr>
        <w:pStyle w:val="BodyText"/>
        <w:spacing w:line="300" w:lineRule="auto" w:before="31"/>
        <w:ind w:right="4723"/>
        <w:jc w:val="left"/>
      </w:pPr>
      <w:r>
        <w:rPr/>
        <w:t>（</w:t>
      </w:r>
      <w:r>
        <w:rPr>
          <w:rFonts w:ascii="Times New Roman" w:hAnsi="Times New Roman" w:cs="Times New Roman" w:eastAsia="Times New Roman" w:hint="default"/>
        </w:rPr>
        <w:t>4</w:t>
      </w:r>
      <w:r>
        <w:rPr/>
        <w:t>）有足够的技术、财务资源和其他资源支持，以完成该无形资产的开发， 并有能力使用或出售该无形资产；</w:t>
      </w:r>
    </w:p>
    <w:p>
      <w:pPr>
        <w:pStyle w:val="BodyText"/>
        <w:spacing w:line="300" w:lineRule="auto" w:before="31"/>
        <w:ind w:right="211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left="153" w:right="983"/>
        <w:jc w:val="left"/>
        <w:rPr>
          <w:b w:val="0"/>
          <w:bCs w:val="0"/>
        </w:rPr>
      </w:pPr>
      <w:bookmarkStart w:name="20、长期资产减值" w:id="211"/>
      <w:bookmarkEnd w:id="211"/>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jc w:val="both"/>
      </w:pPr>
      <w:r>
        <w:rPr>
          <w:spacing w:val="-2"/>
        </w:rPr>
        <w:t>长期股权投资、采用成本模式计量的投资性房地产、固定资产、在建工程、使用寿命有限的无形资产等长期资产，于资产负</w:t>
      </w:r>
      <w:r>
        <w:rPr>
          <w:spacing w:val="-66"/>
        </w:rPr>
        <w:t> </w:t>
      </w:r>
      <w:r>
        <w:rPr>
          <w:spacing w:val="-66"/>
        </w:rPr>
      </w:r>
      <w:r>
        <w:rPr>
          <w:spacing w:val="-2"/>
        </w:rPr>
        <w:t>债表日存在减值迹象的，进行减值测试。减值测试结果表明资产的可收回金额低于其账面价值的，按其差额计提减值准备并</w:t>
      </w:r>
      <w:r>
        <w:rPr>
          <w:spacing w:val="-66"/>
        </w:rPr>
        <w:t> </w:t>
      </w:r>
      <w:r>
        <w:rPr>
          <w:spacing w:val="-66"/>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w:t>
      </w:r>
    </w:p>
    <w:p>
      <w:pPr>
        <w:spacing w:after="0" w:line="319"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983"/>
        <w:jc w:val="left"/>
      </w:pPr>
      <w:r>
        <w:rPr/>
        <w:t>商誉和使用寿命不确定的无形资产至少在每年年度终了进行减值测试。 </w:t>
      </w:r>
      <w:r>
        <w:rPr>
          <w:spacing w:val="-2"/>
        </w:rPr>
        <w:t>本公司进行商誉减值测试，对于因企业合并形成的商誉的账面价值，自购买日起按照合理的方法分摊至相关的资产组；难以</w:t>
      </w:r>
      <w:r>
        <w:rPr>
          <w:spacing w:val="-65"/>
        </w:rPr>
        <w:t> </w:t>
      </w:r>
      <w:r>
        <w:rPr>
          <w:spacing w:val="-65"/>
        </w:rPr>
      </w:r>
      <w:r>
        <w:rPr>
          <w:spacing w:val="-2"/>
        </w:rPr>
        <w:t>分摊至相关的资产组的，将其分摊至相关的资产组组合。在将商誉的账面价值分摊至相关的资产组或者资产组组合时，按照</w:t>
      </w:r>
      <w:r>
        <w:rPr>
          <w:spacing w:val="-66"/>
        </w:rPr>
        <w:t> </w:t>
      </w:r>
      <w:r>
        <w:rPr>
          <w:spacing w:val="-66"/>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5"/>
        </w:rPr>
        <w:t> </w:t>
      </w:r>
      <w:r>
        <w:rPr>
          <w:spacing w:val="-65"/>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2"/>
        </w:rPr>
        <w:t>账面价值部分）与其可收回金额，如相关资产组或者资产组组合的可收回金额低于其账面价值的，确认商誉的减值损失。上</w:t>
      </w:r>
      <w:r>
        <w:rPr>
          <w:spacing w:val="-66"/>
        </w:rPr>
        <w:t> </w:t>
      </w:r>
      <w:r>
        <w:rPr>
          <w:spacing w:val="-66"/>
        </w:rPr>
      </w:r>
      <w:r>
        <w:rPr/>
        <w:t>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left="153" w:right="983"/>
        <w:jc w:val="left"/>
        <w:rPr>
          <w:b w:val="0"/>
          <w:bCs w:val="0"/>
        </w:rPr>
      </w:pPr>
      <w:bookmarkStart w:name="21、长期待摊费用" w:id="212"/>
      <w:bookmarkEnd w:id="21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83"/>
        <w:jc w:val="left"/>
      </w:pPr>
      <w:r>
        <w:rPr>
          <w:spacing w:val="-4"/>
        </w:rPr>
        <w:t>本公司长期待摊费用是指已经支出，但受益期限在一年以上（不含一年）的各项费用，主要包括车位使用费、房屋装修费等。</w:t>
      </w:r>
      <w:r>
        <w:rPr>
          <w:spacing w:val="-44"/>
        </w:rPr>
        <w:t> </w:t>
      </w:r>
      <w:r>
        <w:rPr>
          <w:spacing w:val="-44"/>
        </w:rPr>
      </w:r>
      <w:r>
        <w:rPr>
          <w:spacing w:val="-2"/>
        </w:rPr>
        <w:t>长期待摊费用按费用项目的受益期限分期摊销。若长期待摊的费用项目不能使以后会计期间受益，则将尚未摊销的该项目的</w:t>
      </w:r>
      <w:r>
        <w:rPr>
          <w:spacing w:val="-63"/>
        </w:rPr>
        <w:t> </w:t>
      </w:r>
      <w:r>
        <w:rPr>
          <w:spacing w:val="-63"/>
        </w:rPr>
      </w:r>
      <w:r>
        <w:rPr/>
        <w:t>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983"/>
        <w:jc w:val="left"/>
        <w:rPr>
          <w:b w:val="0"/>
          <w:bCs w:val="0"/>
        </w:rPr>
      </w:pPr>
      <w:bookmarkStart w:name="22、职工薪酬" w:id="213"/>
      <w:bookmarkEnd w:id="213"/>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短期薪酬的会计处理方法" w:id="214"/>
      <w:bookmarkEnd w:id="21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3"/>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line="240" w:lineRule="auto" w:before="5"/>
        <w:rPr>
          <w:rFonts w:ascii="宋体" w:hAnsi="宋体" w:cs="宋体" w:eastAsia="宋体" w:hint="default"/>
          <w:sz w:val="22"/>
          <w:szCs w:val="22"/>
        </w:rPr>
      </w:pPr>
    </w:p>
    <w:p>
      <w:pPr>
        <w:pStyle w:val="Heading3"/>
        <w:spacing w:line="240" w:lineRule="auto"/>
        <w:ind w:left="153" w:right="983"/>
        <w:jc w:val="left"/>
        <w:rPr>
          <w:b w:val="0"/>
          <w:bCs w:val="0"/>
        </w:rPr>
      </w:pPr>
      <w:bookmarkStart w:name="（2）离职后福利的会计处理方法" w:id="215"/>
      <w:bookmarkEnd w:id="21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09" w:lineRule="auto"/>
        <w:ind w:right="1038"/>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 </w:t>
      </w:r>
      <w:r>
        <w:rPr>
          <w:spacing w:val="-1"/>
        </w:rPr>
        <w:t>除基本养老保险外，本公司还依据国家企业年金制度的相关政策建立了企业年金缴费制度（补充养老保险）</w:t>
      </w:r>
      <w:r>
        <w:rPr>
          <w:rFonts w:ascii="Times New Roman" w:hAnsi="Times New Roman" w:cs="Times New Roman" w:eastAsia="Times New Roman" w:hint="default"/>
          <w:spacing w:val="-1"/>
        </w:rPr>
        <w:t>/</w:t>
      </w:r>
      <w:r>
        <w:rPr>
          <w:spacing w:val="-1"/>
        </w:rPr>
        <w:t>企业年金计划。</w:t>
      </w:r>
      <w:r>
        <w:rPr>
          <w:spacing w:val="-79"/>
        </w:rPr>
        <w:t> </w:t>
      </w:r>
      <w:r>
        <w:rPr/>
        <w:t>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16" w:lineRule="auto" w:before="5"/>
        <w:ind w:right="983"/>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spacing w:after="0" w:line="316"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3）辞退福利的会计处理方法" w:id="216"/>
      <w:bookmarkEnd w:id="21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3"/>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left="153" w:right="983"/>
        <w:jc w:val="left"/>
        <w:rPr>
          <w:b w:val="0"/>
          <w:bCs w:val="0"/>
        </w:rPr>
      </w:pPr>
      <w:bookmarkStart w:name="（4）其他长期职工福利的会计处理方法" w:id="217"/>
      <w:bookmarkEnd w:id="21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23、预计负债" w:id="218"/>
      <w:bookmarkEnd w:id="21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932"/>
        <w:jc w:val="left"/>
      </w:pPr>
      <w:r>
        <w:rPr>
          <w:rFonts w:ascii="Times New Roman" w:hAnsi="Times New Roman" w:cs="Times New Roman" w:eastAsia="Times New Roman" w:hint="default"/>
        </w:rPr>
        <w:t>1</w:t>
      </w:r>
      <w:r>
        <w:rPr/>
        <w:t>、</w:t>
      </w:r>
      <w:r>
        <w:rPr>
          <w:spacing w:val="60"/>
        </w:rPr>
        <w:t> </w:t>
      </w:r>
      <w:r>
        <w:rPr/>
        <w:t>预计负债的确认标准</w:t>
      </w:r>
      <w:r>
        <w:rPr/>
        <w:t> 与诉讼、债务担保、亏损合同、重组事项等或有事项相关的义务同时满足下列条件时，本公司确认为预计负债：</w:t>
      </w:r>
    </w:p>
    <w:p>
      <w:pPr>
        <w:pStyle w:val="BodyText"/>
        <w:spacing w:line="240" w:lineRule="auto" w:before="31"/>
        <w:ind w:right="98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154" w:right="98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154" w:right="983"/>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00" w:lineRule="auto" w:before="139"/>
        <w:ind w:left="154" w:right="4632"/>
        <w:jc w:val="left"/>
      </w:pPr>
      <w:r>
        <w:rPr>
          <w:rFonts w:ascii="Times New Roman" w:hAnsi="Times New Roman" w:cs="Times New Roman" w:eastAsia="Times New Roman" w:hint="default"/>
        </w:rPr>
        <w:t>2</w:t>
      </w:r>
      <w:r>
        <w:rPr/>
        <w:t>、</w:t>
      </w:r>
      <w:r>
        <w:rPr>
          <w:spacing w:val="60"/>
        </w:rPr>
        <w:t> </w:t>
      </w:r>
      <w:r>
        <w:rPr/>
        <w:t>各类预计负债的计量方法</w:t>
      </w:r>
      <w:r>
        <w:rPr/>
        <w:t> 本公司预计负债按履行相关现时义务所需的支出的最佳估计数进行初始计量。</w:t>
      </w:r>
    </w:p>
    <w:p>
      <w:pPr>
        <w:pStyle w:val="BodyText"/>
        <w:spacing w:line="316" w:lineRule="auto" w:before="31"/>
        <w:ind w:right="983"/>
        <w:jc w:val="left"/>
      </w:pP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pStyle w:val="BodyText"/>
        <w:spacing w:line="316" w:lineRule="auto" w:before="19"/>
        <w:ind w:left="154" w:right="983"/>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6"/>
        </w:rPr>
        <w:t> </w:t>
      </w:r>
      <w:r>
        <w:rPr>
          <w:spacing w:val="-66"/>
        </w:rPr>
      </w:r>
      <w:r>
        <w:rPr/>
        <w:t>相关概率计算确定。 </w:t>
      </w: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983"/>
        <w:jc w:val="left"/>
        <w:rPr>
          <w:b w:val="0"/>
          <w:bCs w:val="0"/>
        </w:rPr>
      </w:pPr>
      <w:bookmarkStart w:name="24、股份支付" w:id="219"/>
      <w:bookmarkEnd w:id="219"/>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83"/>
        <w:jc w:val="left"/>
      </w:pPr>
      <w:r>
        <w:rPr>
          <w:spacing w:val="-2"/>
        </w:rPr>
        <w:t>本公司的股份支付是为了获取职工提供服务而授予权益工具或者承担以权益工具为基础确定的负债的交易。本公司的股份支</w:t>
      </w:r>
      <w:r>
        <w:rPr>
          <w:spacing w:val="-64"/>
        </w:rPr>
        <w:t> </w:t>
      </w:r>
      <w:r>
        <w:rPr>
          <w:spacing w:val="-64"/>
        </w:rPr>
      </w:r>
      <w:r>
        <w:rPr/>
        <w:t>付分为以权益结算的股份支付和以现金结算的股份支付。</w:t>
      </w:r>
    </w:p>
    <w:p>
      <w:pPr>
        <w:pStyle w:val="BodyText"/>
        <w:spacing w:line="316" w:lineRule="auto" w:before="19"/>
        <w:ind w:right="1033"/>
        <w:jc w:val="left"/>
      </w:pPr>
      <w:r>
        <w:rPr>
          <w:rFonts w:ascii="Times New Roman" w:hAnsi="Times New Roman" w:cs="Times New Roman" w:eastAsia="Times New Roman" w:hint="default"/>
        </w:rPr>
        <w:t>1</w:t>
      </w:r>
      <w:r>
        <w:rPr/>
        <w:t>、</w:t>
      </w:r>
      <w:r>
        <w:rPr>
          <w:spacing w:val="60"/>
        </w:rPr>
        <w:t> </w:t>
      </w:r>
      <w:r>
        <w:rPr/>
        <w:t>以权益结算的股份支付及权益工具</w:t>
      </w:r>
      <w:r>
        <w:rPr/>
        <w:t> 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w:t>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6"/>
        </w:rPr>
        <w:t> </w:t>
      </w:r>
      <w:r>
        <w:rPr>
          <w:spacing w:val="-66"/>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6"/>
        </w:rPr>
        <w:t> </w:t>
      </w:r>
      <w:r>
        <w:rPr>
          <w:spacing w:val="-66"/>
        </w:rPr>
      </w:r>
      <w:r>
        <w:rPr/>
        <w:t>和所有者权益总额进行调整。但授予后立即可行权的，在授予日按照公允价值计入相关成本或费用，相应增加资本公积。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p>
    <w:p>
      <w:pPr>
        <w:spacing w:after="0" w:line="316"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983"/>
        <w:jc w:val="left"/>
      </w:pP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left="153" w:right="983"/>
        <w:jc w:val="left"/>
        <w:rPr>
          <w:b w:val="0"/>
          <w:bCs w:val="0"/>
        </w:rPr>
      </w:pPr>
      <w:bookmarkStart w:name="25、收入" w:id="220"/>
      <w:bookmarkEnd w:id="220"/>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spacing w:line="240" w:lineRule="auto" w:before="13"/>
        <w:rPr>
          <w:rFonts w:ascii="宋体" w:hAnsi="宋体" w:cs="宋体" w:eastAsia="宋体" w:hint="default"/>
          <w:sz w:val="25"/>
          <w:szCs w:val="25"/>
        </w:rPr>
      </w:pPr>
    </w:p>
    <w:p>
      <w:pPr>
        <w:pStyle w:val="BodyText"/>
        <w:spacing w:line="240" w:lineRule="auto"/>
        <w:ind w:left="154" w:right="983"/>
        <w:jc w:val="left"/>
      </w:pPr>
      <w:r>
        <w:rPr>
          <w:rFonts w:ascii="Times New Roman" w:hAnsi="Times New Roman" w:cs="Times New Roman" w:eastAsia="Times New Roman" w:hint="default"/>
        </w:rPr>
        <w:t>1</w:t>
      </w:r>
      <w:r>
        <w:rPr/>
        <w:t>、</w:t>
      </w:r>
      <w:r>
        <w:rPr>
          <w:spacing w:val="60"/>
        </w:rPr>
        <w:t> </w:t>
      </w:r>
      <w:r>
        <w:rPr/>
        <w:t>销售商品收入确认的一般原则：</w:t>
      </w:r>
    </w:p>
    <w:p>
      <w:pPr>
        <w:pStyle w:val="BodyText"/>
        <w:spacing w:line="240" w:lineRule="auto" w:before="63"/>
        <w:ind w:right="983"/>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right="983"/>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right="983"/>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right="983"/>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left="154" w:right="983"/>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pStyle w:val="BodyText"/>
        <w:spacing w:line="240" w:lineRule="auto" w:before="139"/>
        <w:ind w:left="154" w:right="983"/>
        <w:jc w:val="left"/>
      </w:pPr>
      <w:r>
        <w:rPr>
          <w:rFonts w:ascii="Times New Roman" w:hAnsi="Times New Roman" w:cs="Times New Roman" w:eastAsia="Times New Roman" w:hint="default"/>
        </w:rPr>
        <w:t>2</w:t>
      </w:r>
      <w:r>
        <w:rPr/>
        <w:t>、</w:t>
      </w:r>
      <w:r>
        <w:rPr>
          <w:spacing w:val="60"/>
        </w:rPr>
        <w:t> </w:t>
      </w:r>
      <w:r>
        <w:rPr/>
        <w:t>具体原则</w:t>
      </w:r>
    </w:p>
    <w:p>
      <w:pPr>
        <w:pStyle w:val="BodyText"/>
        <w:spacing w:line="319" w:lineRule="auto" w:before="63"/>
        <w:ind w:left="154" w:right="983"/>
        <w:jc w:val="left"/>
      </w:pPr>
      <w:r>
        <w:rPr/>
        <w:t>①自行开发研制的软件产品销售收入确认和计量方法 </w:t>
      </w:r>
      <w:r>
        <w:rPr>
          <w:spacing w:val="-2"/>
        </w:rPr>
        <w:t>自行开发研制的软件产品是指经过信息产业部认证并获得著作权，销售时不转让所有权的软件产品，由此开发出来的软件具</w:t>
      </w:r>
      <w:r>
        <w:rPr>
          <w:spacing w:val="-64"/>
        </w:rPr>
        <w:t> </w:t>
      </w:r>
      <w:r>
        <w:rPr>
          <w:spacing w:val="-64"/>
        </w:rPr>
      </w:r>
      <w:r>
        <w:rPr/>
        <w:t>有自主知识产权、无差异化、可批量复制的特性。 </w:t>
      </w:r>
      <w:r>
        <w:rPr>
          <w:spacing w:val="-2"/>
        </w:rPr>
        <w:t>不需要安装的以产品交付并经购货方验收后确认收入；需安装调试的按合同约定在项目实施完成并经对方验收合格后确认收</w:t>
      </w:r>
      <w:r>
        <w:rPr>
          <w:spacing w:val="-64"/>
        </w:rPr>
        <w:t> </w:t>
      </w:r>
      <w:r>
        <w:rPr>
          <w:spacing w:val="-64"/>
        </w:rPr>
      </w:r>
      <w:r>
        <w:rPr/>
        <w:t>入，对合同约定完工比例的，按合同约定的完工确认条件确认收入。</w:t>
      </w:r>
    </w:p>
    <w:p>
      <w:pPr>
        <w:pStyle w:val="BodyText"/>
        <w:spacing w:line="316" w:lineRule="auto" w:before="17"/>
        <w:ind w:right="983"/>
        <w:jc w:val="left"/>
      </w:pPr>
      <w:r>
        <w:rPr/>
        <w:t>②定制软件产品销售收入确认和计量方法 </w:t>
      </w:r>
      <w:r>
        <w:rPr>
          <w:spacing w:val="-2"/>
        </w:rPr>
        <w:t>定制软件是指根据与客户签订的技术开发、技术转让合同，对用户的业务进行充分实地调查，并根据用户的实际需求进行专</w:t>
      </w:r>
      <w:r>
        <w:rPr>
          <w:spacing w:val="-66"/>
        </w:rPr>
        <w:t> </w:t>
      </w:r>
      <w:r>
        <w:rPr>
          <w:spacing w:val="-66"/>
        </w:rPr>
      </w:r>
      <w:r>
        <w:rPr/>
        <w:t>门的软件设计与开发，由此开发出来的软件不具有通用性。 </w:t>
      </w:r>
      <w:r>
        <w:rPr>
          <w:spacing w:val="-2"/>
        </w:rPr>
        <w:t>定制软件项目按合同约定在项目实施完成并经对方验收合格后确认收入，对合同约定完工比例的，按合同约定的完工确认条</w:t>
      </w:r>
      <w:r>
        <w:rPr>
          <w:spacing w:val="-64"/>
        </w:rPr>
        <w:t> </w:t>
      </w:r>
      <w:r>
        <w:rPr>
          <w:spacing w:val="-64"/>
        </w:rPr>
      </w:r>
      <w:r>
        <w:rPr/>
        <w:t>件确认收入。</w:t>
      </w:r>
    </w:p>
    <w:p>
      <w:pPr>
        <w:pStyle w:val="BodyText"/>
        <w:spacing w:line="316" w:lineRule="auto" w:before="19"/>
        <w:ind w:left="154" w:right="983"/>
        <w:jc w:val="left"/>
      </w:pPr>
      <w:r>
        <w:rPr/>
        <w:t>③系统集成收入确认和计量方法 系统集成收入是指与客户订立软件产品销售的同时，为其提供软件嵌入所需的设备配件和安装服务。 </w:t>
      </w:r>
      <w:r>
        <w:rPr>
          <w:spacing w:val="-2"/>
        </w:rPr>
        <w:t>对于系统集成业务，如果软件收入与设备配件及安装服务收入能分开核算，则硬件收入按上述商品销售的原则进行确认，软</w:t>
      </w:r>
      <w:r>
        <w:rPr>
          <w:spacing w:val="-66"/>
        </w:rPr>
        <w:t> </w:t>
      </w:r>
      <w:r>
        <w:rPr>
          <w:spacing w:val="-66"/>
        </w:rPr>
      </w:r>
      <w:r>
        <w:rPr>
          <w:spacing w:val="-2"/>
        </w:rPr>
        <w:t>件收入按上述软件产品销售的原则进行确认。如果软件收入与设备配件及安装服务收入不能分开核算，则将其一并核算，待</w:t>
      </w:r>
      <w:r>
        <w:rPr>
          <w:spacing w:val="-66"/>
        </w:rPr>
        <w:t> </w:t>
      </w:r>
      <w:r>
        <w:rPr>
          <w:spacing w:val="-66"/>
        </w:rPr>
      </w:r>
      <w:r>
        <w:rPr/>
        <w:t>系统集成于安装完成后确认收入，或根据合同约定的完工确认条件确认收入。</w:t>
      </w:r>
    </w:p>
    <w:p>
      <w:pPr>
        <w:pStyle w:val="BodyText"/>
        <w:spacing w:line="316" w:lineRule="auto" w:before="19"/>
        <w:ind w:left="154" w:right="3732"/>
        <w:jc w:val="left"/>
      </w:pPr>
      <w:r>
        <w:rPr/>
        <w:t>④技术服务收入确认和计量方法 技术服务收入，主要是指按合同要求向客户提供技术咨询、实施和产品售后服务等业务。 技术服务收入在劳务已经提供，收到价款或取得收取款项的证据时，确认劳务收入。</w:t>
      </w:r>
    </w:p>
    <w:p>
      <w:pPr>
        <w:pStyle w:val="BodyText"/>
        <w:spacing w:line="319" w:lineRule="auto" w:before="19"/>
        <w:ind w:left="154" w:right="983"/>
        <w:jc w:val="left"/>
      </w:pPr>
      <w:r>
        <w:rPr/>
        <w:t>⑤信息服务收入确认和计量方法 </w:t>
      </w:r>
      <w:r>
        <w:rPr>
          <w:spacing w:val="-2"/>
        </w:rPr>
        <w:t>信息服务收入是指利用数字营销平台、游戏发行和推广平台、互联网金融平台等信息技术，给客户提供信息或者利用信息传</w:t>
      </w:r>
      <w:r>
        <w:rPr>
          <w:spacing w:val="-66"/>
        </w:rPr>
        <w:t> </w:t>
      </w:r>
      <w:r>
        <w:rPr>
          <w:spacing w:val="-66"/>
        </w:rPr>
      </w:r>
      <w:r>
        <w:rPr>
          <w:spacing w:val="-2"/>
        </w:rPr>
        <w:t>播、交流等帮客户实现信息增值的服务收入；没有明确服务期限的，在信息服务已经提供，并获取客户确认的相关证据，确</w:t>
      </w:r>
      <w:r>
        <w:rPr>
          <w:spacing w:val="-66"/>
        </w:rPr>
        <w:t> </w:t>
      </w:r>
      <w:r>
        <w:rPr>
          <w:spacing w:val="-66"/>
        </w:rPr>
      </w:r>
      <w:r>
        <w:rPr/>
        <w:t>认收入；有明确服务期限的，根据信息服务的期限，分期确认信息服务收入。</w:t>
      </w:r>
    </w:p>
    <w:p>
      <w:pPr>
        <w:pStyle w:val="BodyText"/>
        <w:spacing w:line="316" w:lineRule="auto" w:before="17"/>
        <w:ind w:left="154" w:right="983"/>
        <w:jc w:val="left"/>
      </w:pPr>
      <w:r>
        <w:rPr/>
        <w:t>⑥应收账款保理收入确认和计量方法 </w:t>
      </w:r>
      <w:r>
        <w:rPr>
          <w:spacing w:val="-2"/>
        </w:rPr>
        <w:t>根据权责发生制原则按实际利率法确认。实际利率法是一种计算某项金融资产或负债的摊余成本以及在相关期间分摊利息收</w:t>
      </w:r>
    </w:p>
    <w:p>
      <w:pPr>
        <w:spacing w:after="0" w:line="316"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入的方法。实际利率是在金融工具预计到期日或某一恰当较短期限内，将其未来现金流量贴现为账面净额所使用的利率。本</w:t>
      </w:r>
      <w:r>
        <w:rPr>
          <w:spacing w:val="-66"/>
        </w:rPr>
        <w:t> </w:t>
      </w:r>
      <w:r>
        <w:rPr>
          <w:spacing w:val="-66"/>
        </w:rPr>
      </w:r>
      <w:r>
        <w:rPr>
          <w:spacing w:val="-2"/>
        </w:rPr>
        <w:t>公司在估计未来现金流量时考虑金融工具的所有合同条款，但不考虑未来的信用损失。计算实际利率时考虑交易成本、折溢</w:t>
      </w:r>
      <w:r>
        <w:rPr>
          <w:spacing w:val="-66"/>
        </w:rPr>
        <w:t> </w:t>
      </w:r>
      <w:r>
        <w:rPr>
          <w:spacing w:val="-66"/>
        </w:rPr>
      </w:r>
      <w:r>
        <w:rPr/>
        <w:t>价和合同各方之间收付的所有与实际利率相关的费用。</w:t>
      </w:r>
    </w:p>
    <w:p>
      <w:pPr>
        <w:spacing w:line="240" w:lineRule="auto" w:before="7"/>
        <w:rPr>
          <w:rFonts w:ascii="宋体" w:hAnsi="宋体" w:cs="宋体" w:eastAsia="宋体" w:hint="default"/>
          <w:sz w:val="22"/>
          <w:szCs w:val="22"/>
        </w:rPr>
      </w:pPr>
    </w:p>
    <w:p>
      <w:pPr>
        <w:pStyle w:val="Heading3"/>
        <w:spacing w:line="240" w:lineRule="auto"/>
        <w:ind w:left="153" w:right="983"/>
        <w:jc w:val="left"/>
        <w:rPr>
          <w:b w:val="0"/>
          <w:bCs w:val="0"/>
        </w:rPr>
      </w:pPr>
      <w:bookmarkStart w:name="26、政府补助" w:id="221"/>
      <w:bookmarkEnd w:id="221"/>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与资产相关的政府补助判断依据及会计处理方法" w:id="222"/>
      <w:bookmarkEnd w:id="22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t>本公司将政府补助划分为与资产相关的具体标准为：指本公司取得的、用于购建或以其他方式形成长期资产的政府补助。 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w:t>
      </w:r>
    </w:p>
    <w:p>
      <w:pPr>
        <w:spacing w:line="240" w:lineRule="auto" w:before="7"/>
        <w:rPr>
          <w:rFonts w:ascii="宋体" w:hAnsi="宋体" w:cs="宋体" w:eastAsia="宋体" w:hint="default"/>
          <w:sz w:val="22"/>
          <w:szCs w:val="22"/>
        </w:rPr>
      </w:pPr>
    </w:p>
    <w:p>
      <w:pPr>
        <w:pStyle w:val="Heading3"/>
        <w:spacing w:line="240" w:lineRule="auto"/>
        <w:ind w:right="983"/>
        <w:jc w:val="left"/>
        <w:rPr>
          <w:b w:val="0"/>
          <w:bCs w:val="0"/>
        </w:rPr>
      </w:pPr>
      <w:bookmarkStart w:name="（2）与收益相关的政府补助判断依据及会计处理方法" w:id="223"/>
      <w:bookmarkEnd w:id="22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3"/>
        <w:jc w:val="left"/>
      </w:pPr>
      <w:r>
        <w:rPr/>
        <w:t>本公司将政府补助划分为与收益相关的具体标准为：指除与资产相关的政府补助之外的政府补助。 </w:t>
      </w:r>
      <w:r>
        <w:rPr>
          <w:spacing w:val="-2"/>
        </w:rPr>
        <w:t>与收益相关的政府补助，用于补偿本公司以后期间的相关成本费用或损失的，确认为递延收益，并在确认相关成本费用或损</w:t>
      </w:r>
      <w:r>
        <w:rPr>
          <w:spacing w:val="-66"/>
        </w:rPr>
        <w:t> </w:t>
      </w:r>
      <w:r>
        <w:rPr>
          <w:spacing w:val="-66"/>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6"/>
        </w:rPr>
        <w:t> </w:t>
      </w:r>
      <w:r>
        <w:rPr>
          <w:spacing w:val="-66"/>
        </w:rPr>
      </w:r>
      <w:r>
        <w:rPr/>
        <w:t>入其他收益；与本公司日常活动无关的，计入营业外收入）或冲减相关成本费用或损失。 本公司取得的政策性优惠贷款贴息，区分以下两种情况，分别进行会计处理：</w:t>
      </w:r>
    </w:p>
    <w:p>
      <w:pPr>
        <w:pStyle w:val="BodyText"/>
        <w:spacing w:line="300" w:lineRule="auto" w:before="19"/>
        <w:ind w:left="154" w:right="1122"/>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）财政将贴息资金拨付给贷款银行，由贷款银行以政策性优惠利率向本公司提供贷款的，本公司以实际收到的借款金额 作为借款的入账价值，按照借款本金和该政策性优惠利率计算相关借款费用。</w:t>
      </w:r>
    </w:p>
    <w:p>
      <w:pPr>
        <w:pStyle w:val="BodyText"/>
        <w:spacing w:line="240" w:lineRule="auto" w:before="32"/>
        <w:ind w:right="983"/>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983"/>
        <w:jc w:val="left"/>
        <w:rPr>
          <w:b w:val="0"/>
          <w:bCs w:val="0"/>
        </w:rPr>
      </w:pPr>
      <w:bookmarkStart w:name="27、递延所得税资产/递延所得税负债" w:id="224"/>
      <w:bookmarkEnd w:id="224"/>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3"/>
        </w:rPr>
        <w:t> </w:t>
      </w:r>
      <w:r>
        <w:rPr>
          <w:spacing w:val="-63"/>
        </w:rPr>
      </w:r>
      <w:r>
        <w:rPr/>
        <w:t>认相应的递延所得税资产。</w:t>
      </w:r>
    </w:p>
    <w:p>
      <w:pPr>
        <w:pStyle w:val="BodyText"/>
        <w:spacing w:line="316" w:lineRule="auto" w:before="19"/>
        <w:ind w:right="983"/>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left="153" w:right="983"/>
        <w:jc w:val="left"/>
        <w:rPr>
          <w:b w:val="0"/>
          <w:bCs w:val="0"/>
        </w:rPr>
      </w:pPr>
      <w:bookmarkStart w:name="28、租赁" w:id="225"/>
      <w:bookmarkEnd w:id="225"/>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经营租赁的会计处理方法" w:id="226"/>
      <w:bookmarkEnd w:id="22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、公司租入资产所支付的租赁费，在不扣除免租期的整个租赁期内，按直线法进行分摊，计入当期费用。公司支付的与租</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23"/>
        <w:jc w:val="left"/>
      </w:pPr>
      <w:r>
        <w:rPr/>
        <w:t>赁交易相关的初始直接费用，计入当期费用。 </w:t>
      </w:r>
      <w:r>
        <w:rPr>
          <w:spacing w:val="-2"/>
        </w:rPr>
        <w:t>资产出租方承担了应由公司承担的与租赁相关的费用时，公司将该部分费用从租金总额中扣除，按扣除后的租金费用在租赁</w:t>
      </w:r>
      <w:r>
        <w:rPr>
          <w:spacing w:val="-63"/>
        </w:rPr>
        <w:t> </w:t>
      </w:r>
      <w:r>
        <w:rPr>
          <w:spacing w:val="-63"/>
        </w:rPr>
      </w:r>
      <w:r>
        <w:rPr/>
        <w:t>期内分摊，计入当期费用。 </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、公司出租资产所收取的租赁费，在不扣除免租期的整个租赁期内，按直线法进行分摊，确认为租赁相关收入。公司支付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9"/>
        <w:rPr>
          <w:rFonts w:ascii="宋体" w:hAnsi="宋体" w:cs="宋体" w:eastAsia="宋体" w:hint="default"/>
          <w:sz w:val="22"/>
          <w:szCs w:val="22"/>
        </w:rPr>
      </w:pPr>
    </w:p>
    <w:p>
      <w:pPr>
        <w:pStyle w:val="Heading3"/>
        <w:spacing w:line="240" w:lineRule="auto"/>
        <w:ind w:right="983"/>
        <w:jc w:val="left"/>
        <w:rPr>
          <w:b w:val="0"/>
          <w:bCs w:val="0"/>
        </w:rPr>
      </w:pPr>
      <w:bookmarkStart w:name="（2）融资租赁的会计处理方法" w:id="227"/>
      <w:bookmarkEnd w:id="22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33"/>
        <w:jc w:val="left"/>
      </w:pP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、融资租入资产：公司在承租开始日，将租赁资产公允价值与最低租赁付款额现值两者中较低者作为租入资产的入账价值，</w:t>
      </w:r>
      <w:r>
        <w:rPr>
          <w:spacing w:val="-64"/>
        </w:rPr>
        <w:t> </w:t>
      </w:r>
      <w:r>
        <w:rPr>
          <w:spacing w:val="-64"/>
        </w:rPr>
      </w:r>
      <w:r>
        <w:rPr/>
        <w:t>将最低租赁付款额作为长期应付款的入账价值，其差额作为未确认的融资费用。公司采用实际利率法对未确认的融资费用， 在资产租赁期间内摊销，计入财务费用。公司发生的初始直接费用，计入租入资产价值。 </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p>
    <w:p>
      <w:pPr>
        <w:spacing w:line="240" w:lineRule="auto" w:before="10"/>
        <w:rPr>
          <w:rFonts w:ascii="宋体" w:hAnsi="宋体" w:cs="宋体" w:eastAsia="宋体" w:hint="default"/>
          <w:sz w:val="22"/>
          <w:szCs w:val="22"/>
        </w:rPr>
      </w:pPr>
    </w:p>
    <w:p>
      <w:pPr>
        <w:pStyle w:val="Heading3"/>
        <w:spacing w:line="240" w:lineRule="auto"/>
        <w:ind w:right="983"/>
        <w:jc w:val="left"/>
        <w:rPr>
          <w:b w:val="0"/>
          <w:bCs w:val="0"/>
        </w:rPr>
      </w:pPr>
      <w:bookmarkStart w:name="29、其他重要的会计政策和会计估计" w:id="228"/>
      <w:bookmarkEnd w:id="228"/>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3"/>
        <w:jc w:val="left"/>
      </w:pPr>
      <w:r>
        <w:rPr/>
        <w:t>终止经营 </w:t>
      </w:r>
      <w:r>
        <w:rPr>
          <w:spacing w:val="-4"/>
        </w:rPr>
        <w:t>终止经营是满足下列条件之一的、能够单独区分的组成部分，且该组成部分已被本公司处置或被本公司划归为持有待售类别：</w:t>
      </w:r>
    </w:p>
    <w:p>
      <w:pPr>
        <w:pStyle w:val="BodyText"/>
        <w:spacing w:line="240" w:lineRule="auto" w:before="19"/>
        <w:ind w:left="154" w:right="983"/>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right="983"/>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right="983"/>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983"/>
        <w:jc w:val="left"/>
        <w:rPr>
          <w:b w:val="0"/>
          <w:bCs w:val="0"/>
        </w:rPr>
      </w:pPr>
      <w:bookmarkStart w:name="30、重要会计政策和会计估计变更" w:id="229"/>
      <w:bookmarkEnd w:id="229"/>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重要会计政策变更" w:id="230"/>
      <w:bookmarkEnd w:id="23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 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经董事会审议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343,710,897.87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元，上年金额</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211,234,087.07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与本公司日常活动相关的政府补助，计 入其他收益，不再计入营业外收入。比 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经董事会审议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25,491,366.78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5"/>
                <w:w w:val="100"/>
                <w:sz w:val="18"/>
                <w:szCs w:val="18"/>
              </w:rPr>
              <w:t>在利润表中新增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项目，将</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 </w:t>
            </w:r>
            <w:r>
              <w:rPr>
                <w:rFonts w:ascii="宋体" w:hAnsi="宋体" w:cs="宋体" w:eastAsia="宋体" w:hint="default"/>
                <w:spacing w:val="-5"/>
                <w:w w:val="100"/>
                <w:sz w:val="18"/>
                <w:szCs w:val="18"/>
              </w:rPr>
              <w:t>损益重分类至</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项目。比较</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经董事会审议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营业外收入本年减少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28,409,100.81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营业外支出本年减少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73,410.64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元重分类 至资产处置收益；营业外收入上年减少 </w:t>
            </w:r>
            <w:r>
              <w:rPr>
                <w:rFonts w:ascii="Times New Roman" w:hAnsi="Times New Roman" w:cs="Times New Roman" w:eastAsia="Times New Roman" w:hint="default"/>
                <w:sz w:val="18"/>
                <w:szCs w:val="18"/>
              </w:rPr>
              <w:t>23,879.71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元，重分类至资产处置收益</w:t>
            </w:r>
          </w:p>
        </w:tc>
      </w:tr>
    </w:tbl>
    <w:p>
      <w:pPr>
        <w:spacing w:after="0" w:line="309"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23"/>
        <w:jc w:val="left"/>
      </w:pPr>
      <w:r>
        <w:rPr>
          <w:spacing w:val="-5"/>
        </w:rPr>
        <w:t>执行《企业会计准则第</w:t>
      </w:r>
      <w:r>
        <w:rPr>
          <w:rFonts w:ascii="Times New Roman" w:hAnsi="Times New Roman" w:cs="Times New Roman" w:eastAsia="Times New Roman" w:hint="default"/>
          <w:spacing w:val="-5"/>
        </w:rPr>
        <w:t>42</w:t>
      </w:r>
      <w:r>
        <w:rPr>
          <w:spacing w:val="-5"/>
        </w:rPr>
        <w:t>号</w:t>
      </w:r>
      <w:r>
        <w:rPr>
          <w:rFonts w:ascii="Times New Roman" w:hAnsi="Times New Roman" w:cs="Times New Roman" w:eastAsia="Times New Roman" w:hint="default"/>
          <w:spacing w:val="-5"/>
        </w:rPr>
        <w:t>——</w:t>
      </w:r>
      <w:r>
        <w:rPr>
          <w:spacing w:val="-5"/>
        </w:rPr>
        <w:t>持有待售的非流动资产、处置组和终止经营》、《企业会计准则第</w:t>
      </w:r>
      <w:r>
        <w:rPr>
          <w:rFonts w:ascii="Times New Roman" w:hAnsi="Times New Roman" w:cs="Times New Roman" w:eastAsia="Times New Roman" w:hint="default"/>
          <w:spacing w:val="-5"/>
        </w:rPr>
        <w:t>16</w:t>
      </w:r>
      <w:r>
        <w:rPr>
          <w:spacing w:val="-5"/>
        </w:rPr>
        <w:t>号</w:t>
      </w:r>
      <w:r>
        <w:rPr>
          <w:rFonts w:ascii="Times New Roman" w:hAnsi="Times New Roman" w:cs="Times New Roman" w:eastAsia="Times New Roman" w:hint="default"/>
          <w:spacing w:val="-5"/>
        </w:rPr>
        <w:t>——</w:t>
      </w:r>
      <w:r>
        <w:rPr>
          <w:spacing w:val="-5"/>
        </w:rPr>
        <w:t>政府补助》和《财</w:t>
      </w:r>
      <w:r>
        <w:rPr>
          <w:spacing w:val="-72"/>
        </w:rPr>
        <w:t> </w:t>
      </w:r>
      <w:r>
        <w:rPr>
          <w:spacing w:val="-72"/>
        </w:rPr>
      </w:r>
      <w:r>
        <w:rPr/>
        <w:t>政部关于修订印发一般企业财务报表格式的通知》。 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 行，对于施行日存在的持有待售的非流动资产、处置组和终止经营，要求采用未来适用法处理。 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日至施行日新增的政府补助，也要求按照修订后的准则进行</w:t>
      </w:r>
      <w:r>
        <w:rPr>
          <w:spacing w:val="-60"/>
        </w:rPr>
        <w:t> </w:t>
      </w:r>
      <w:r>
        <w:rPr>
          <w:spacing w:val="-60"/>
        </w:rPr>
      </w:r>
      <w:r>
        <w:rPr/>
        <w:t>调整。 </w:t>
      </w:r>
      <w:r>
        <w:rPr>
          <w:spacing w:val="-2"/>
        </w:rPr>
        <w:t>财政部于</w:t>
      </w:r>
      <w:r>
        <w:rPr>
          <w:rFonts w:ascii="Times New Roman" w:hAnsi="Times New Roman" w:cs="Times New Roman" w:eastAsia="Times New Roman" w:hint="default"/>
          <w:spacing w:val="-2"/>
        </w:rPr>
        <w:t>2017</w:t>
      </w:r>
      <w:r>
        <w:rPr>
          <w:spacing w:val="-2"/>
        </w:rPr>
        <w:t>年度发布了《财政部关于修订印发一般企业财务报表格式的通知》，对一般企业财务报表格式进行了修订，适</w:t>
      </w:r>
      <w:r>
        <w:rPr>
          <w:spacing w:val="-62"/>
        </w:rPr>
        <w:t> </w:t>
      </w:r>
      <w:r>
        <w:rPr>
          <w:spacing w:val="-62"/>
        </w:rPr>
      </w:r>
      <w:r>
        <w:rPr/>
        <w:t>用于</w:t>
      </w:r>
      <w:r>
        <w:rPr>
          <w:rFonts w:ascii="Times New Roman" w:hAnsi="Times New Roman" w:cs="Times New Roman" w:eastAsia="Times New Roman" w:hint="default"/>
        </w:rPr>
        <w:t>2017</w:t>
      </w:r>
      <w:r>
        <w:rPr/>
        <w:t>年度及以后期间的财务报表。</w:t>
      </w:r>
    </w:p>
    <w:p>
      <w:pPr>
        <w:spacing w:line="240" w:lineRule="auto" w:before="8"/>
        <w:rPr>
          <w:rFonts w:ascii="宋体" w:hAnsi="宋体" w:cs="宋体" w:eastAsia="宋体" w:hint="default"/>
          <w:sz w:val="21"/>
          <w:szCs w:val="21"/>
        </w:rPr>
      </w:pPr>
    </w:p>
    <w:p>
      <w:pPr>
        <w:pStyle w:val="Heading3"/>
        <w:spacing w:line="240" w:lineRule="auto"/>
        <w:ind w:left="153" w:right="983"/>
        <w:jc w:val="left"/>
        <w:rPr>
          <w:b w:val="0"/>
          <w:bCs w:val="0"/>
        </w:rPr>
      </w:pPr>
      <w:bookmarkStart w:name="（2）重要会计估计变更" w:id="231"/>
      <w:bookmarkEnd w:id="23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31、其他" w:id="232"/>
      <w:bookmarkEnd w:id="232"/>
      <w:r>
        <w:rPr>
          <w:b w:val="0"/>
          <w:bCs w:val="0"/>
        </w:rPr>
      </w:r>
      <w:r>
        <w:rPr>
          <w:rFonts w:ascii="Times New Roman" w:hAnsi="Times New Roman" w:cs="Times New Roman" w:eastAsia="Times New Roman" w:hint="default"/>
        </w:rPr>
        <w:t>31</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本报告期未发生其他事项调整。</w:t>
      </w:r>
    </w:p>
    <w:p>
      <w:pPr>
        <w:spacing w:line="240" w:lineRule="auto" w:before="2"/>
        <w:rPr>
          <w:rFonts w:ascii="宋体" w:hAnsi="宋体" w:cs="宋体" w:eastAsia="宋体" w:hint="default"/>
          <w:sz w:val="25"/>
          <w:szCs w:val="25"/>
        </w:rPr>
      </w:pPr>
    </w:p>
    <w:p>
      <w:pPr>
        <w:pStyle w:val="Heading2"/>
        <w:spacing w:line="240" w:lineRule="auto"/>
        <w:ind w:left="154" w:right="983"/>
        <w:jc w:val="left"/>
        <w:rPr>
          <w:b w:val="0"/>
          <w:bCs w:val="0"/>
        </w:rPr>
      </w:pPr>
      <w:bookmarkStart w:name="六、税项" w:id="233"/>
      <w:bookmarkEnd w:id="23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主要税种及税率" w:id="234"/>
      <w:bookmarkEnd w:id="23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154" w:right="983"/>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北京久其软件股份有限公司武汉分公司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北京久其软件股份有限公司郑州分公司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北京久其软件股份有限公司南昌分公司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北京久其软件股份有限公司石家庄分公司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北京久其软件股份有限公司贵州分公司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北京久其软件股份有限公司杭州分公司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北京久其软件股份有限公司沈阳分公司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北京久其软件股份有限公司安徽分公司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北京久其软件股份有限公司银川分公司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北京久其软件股份有限公司兰州分公司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北京久其软件股份有限公司青岛分公司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北京久其软件股份有限公司研发中心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不独立核算</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北京久其龙信数据科技有限公司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海南久其互联网产业研究院有限公司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深圳市久金保商业保理有限公司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税收优惠" w:id="235"/>
      <w:bookmarkEnd w:id="23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983"/>
        <w:jc w:val="left"/>
      </w:pPr>
      <w:r>
        <w:rPr>
          <w:rFonts w:ascii="Times New Roman" w:hAnsi="Times New Roman" w:cs="Times New Roman" w:eastAsia="Times New Roman" w:hint="default"/>
        </w:rPr>
        <w:t>1</w:t>
      </w:r>
      <w:r>
        <w:rPr/>
        <w:t>、所得税： </w:t>
      </w:r>
      <w:r>
        <w:rPr>
          <w:spacing w:val="-2"/>
        </w:rPr>
        <w:t>北京久其软件股份有限公司、北京华夏电通科技有限公司符合财政部、国家税务总局、发展改革委、工业和信息化部《关于</w:t>
      </w:r>
      <w:r>
        <w:rPr>
          <w:spacing w:val="-66"/>
        </w:rPr>
        <w:t> </w:t>
      </w:r>
      <w:r>
        <w:rPr>
          <w:spacing w:val="-66"/>
        </w:rPr>
      </w:r>
      <w:r>
        <w:rPr/>
        <w:t>软件和集成电路产业企业所得税优惠政策有关问题的通知》（财税</w:t>
      </w:r>
      <w:r>
        <w:rPr>
          <w:rFonts w:ascii="Times New Roman" w:hAnsi="Times New Roman" w:cs="Times New Roman" w:eastAsia="Times New Roman" w:hint="default"/>
        </w:rPr>
        <w:t>[2016]49</w:t>
      </w:r>
      <w:r>
        <w:rPr/>
        <w:t>号）要求，执行</w:t>
      </w:r>
      <w:r>
        <w:rPr>
          <w:rFonts w:ascii="Times New Roman" w:hAnsi="Times New Roman" w:cs="Times New Roman" w:eastAsia="Times New Roman" w:hint="default"/>
        </w:rPr>
        <w:t>10%</w:t>
      </w:r>
      <w:r>
        <w:rPr/>
        <w:t>的所得税税率。 </w:t>
      </w:r>
      <w:r>
        <w:rPr>
          <w:spacing w:val="-2"/>
        </w:rPr>
        <w:t>北京久其政务软件股份有限公司、北京亿起联科技有限公司、广东久其软件有限公司、海南久其云计算科技有限公司、上海</w:t>
      </w:r>
      <w:r>
        <w:rPr>
          <w:spacing w:val="-66"/>
        </w:rPr>
        <w:t> </w:t>
      </w:r>
      <w:r>
        <w:rPr>
          <w:spacing w:val="-66"/>
        </w:rPr>
      </w:r>
      <w:r>
        <w:rPr>
          <w:spacing w:val="-2"/>
        </w:rPr>
        <w:t>久其软件有限公司、北京瑞意恒动科技有限公司、西安久其软件有限公司、成都久其软件有限公司、北京久其龙信数据科技</w:t>
      </w:r>
    </w:p>
    <w:p>
      <w:pPr>
        <w:spacing w:after="0" w:line="309"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8"/>
        <w:jc w:val="left"/>
      </w:pPr>
      <w:r>
        <w:rPr>
          <w:spacing w:val="-1"/>
        </w:rPr>
        <w:t>有限公司、上海移通网络有限公司系高新技术企业，执行</w:t>
      </w:r>
      <w:r>
        <w:rPr>
          <w:rFonts w:ascii="Times New Roman" w:hAnsi="Times New Roman" w:cs="Times New Roman" w:eastAsia="Times New Roman" w:hint="default"/>
          <w:spacing w:val="-1"/>
        </w:rPr>
        <w:t>15%</w:t>
      </w:r>
      <w:r>
        <w:rPr>
          <w:spacing w:val="-1"/>
        </w:rPr>
        <w:t>的企业所得税税率；新疆久其科技有限公司、北京中民颐养科</w:t>
      </w:r>
      <w:r>
        <w:rPr/>
        <w:t> 技服务有限公司系小微企业，执行</w:t>
      </w:r>
      <w:r>
        <w:rPr>
          <w:rFonts w:ascii="Times New Roman" w:hAnsi="Times New Roman" w:cs="Times New Roman" w:eastAsia="Times New Roman" w:hint="default"/>
        </w:rPr>
        <w:t>20%</w:t>
      </w:r>
      <w:r>
        <w:rPr/>
        <w:t>的企业所得税税率；其他各子公司暂执行</w:t>
      </w:r>
      <w:r>
        <w:rPr>
          <w:rFonts w:ascii="Times New Roman" w:hAnsi="Times New Roman" w:cs="Times New Roman" w:eastAsia="Times New Roman" w:hint="default"/>
        </w:rPr>
        <w:t>25%</w:t>
      </w:r>
      <w:r>
        <w:rPr/>
        <w:t>的企业所得税税率。</w:t>
      </w:r>
    </w:p>
    <w:p>
      <w:pPr>
        <w:pStyle w:val="BodyText"/>
        <w:spacing w:line="307" w:lineRule="auto" w:before="13"/>
        <w:ind w:right="1118"/>
        <w:jc w:val="left"/>
      </w:pPr>
      <w:r>
        <w:rPr>
          <w:rFonts w:ascii="Times New Roman" w:hAnsi="Times New Roman" w:cs="Times New Roman" w:eastAsia="Times New Roman" w:hint="default"/>
        </w:rPr>
        <w:t>2</w:t>
      </w:r>
      <w:r>
        <w:rPr/>
        <w:t>、增值税： </w:t>
      </w:r>
      <w:r>
        <w:rPr>
          <w:spacing w:val="-2"/>
        </w:rPr>
        <w:t>公司及其控股子公司上海久其软件有限公司、广东久其软件有限公司、北京久其政务软件股份有限公司、成都久其软件有限</w:t>
      </w:r>
      <w:r>
        <w:rPr>
          <w:spacing w:val="-66"/>
        </w:rPr>
        <w:t> </w:t>
      </w:r>
      <w:r>
        <w:rPr>
          <w:spacing w:val="-66"/>
        </w:rPr>
      </w:r>
      <w:r>
        <w:rPr>
          <w:spacing w:val="-2"/>
        </w:rPr>
        <w:t>公司、新疆久其科技有限公司、西安久其软件有限公司、北京久其智通数据科技有限公司、北京亿起联科技有限公司、北京</w:t>
      </w:r>
      <w:r>
        <w:rPr>
          <w:spacing w:val="-66"/>
        </w:rPr>
        <w:t> </w:t>
      </w:r>
      <w:r>
        <w:rPr>
          <w:spacing w:val="-66"/>
        </w:rPr>
      </w:r>
      <w:r>
        <w:rPr>
          <w:spacing w:val="-2"/>
        </w:rPr>
        <w:t>华夏电通科技有限公司、上海移通网络有限公司、北京久其龙信数据科技有限公司、北京蜂语网络科技有限公司、海南久其</w:t>
      </w:r>
      <w:r>
        <w:rPr>
          <w:spacing w:val="-66"/>
        </w:rPr>
        <w:t> </w:t>
      </w:r>
      <w:r>
        <w:rPr>
          <w:spacing w:val="-66"/>
        </w:rPr>
      </w:r>
      <w:r>
        <w:rPr>
          <w:spacing w:val="-2"/>
        </w:rPr>
        <w:t>云计算科技有限公司、北京久其金建科技有限公司、久其数字传播有限公司、北京瑞意恒动科技有限公司为增值税一般纳税</w:t>
      </w:r>
      <w:r>
        <w:rPr>
          <w:spacing w:val="-66"/>
        </w:rPr>
        <w:t> </w:t>
      </w:r>
      <w:r>
        <w:rPr>
          <w:spacing w:val="-66"/>
        </w:rPr>
      </w:r>
      <w:r>
        <w:rPr/>
        <w:t>人，安徽分公司、武汉分公司为增值税一般纳税人，分别适用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6%</w:t>
      </w:r>
      <w:r>
        <w:rPr/>
        <w:t>的增值税税率。公司其他分子公司均为小规模纳税 人，按</w:t>
      </w:r>
      <w:r>
        <w:rPr>
          <w:rFonts w:ascii="Times New Roman" w:hAnsi="Times New Roman" w:cs="Times New Roman" w:eastAsia="Times New Roman" w:hint="default"/>
        </w:rPr>
        <w:t>3%</w:t>
      </w:r>
      <w:r>
        <w:rPr/>
        <w:t>的征收率计算缴纳增值税。根据国务院国发</w:t>
      </w:r>
      <w:r>
        <w:rPr>
          <w:rFonts w:ascii="Times New Roman" w:hAnsi="Times New Roman" w:cs="Times New Roman" w:eastAsia="Times New Roman" w:hint="default"/>
        </w:rPr>
        <w:t>[2011]4</w:t>
      </w:r>
      <w:r>
        <w:rPr/>
        <w:t>号文件《国务院关于印发进一步鼓励软件产业和集成电路产业 </w:t>
      </w:r>
      <w:r>
        <w:rPr>
          <w:spacing w:val="-1"/>
        </w:rPr>
        <w:t>发展若干政策的通知》的规定，对增值税一般纳税人销售其自行开发生产的软件产品，按</w:t>
      </w:r>
      <w:r>
        <w:rPr>
          <w:rFonts w:ascii="Times New Roman" w:hAnsi="Times New Roman" w:cs="Times New Roman" w:eastAsia="Times New Roman" w:hint="default"/>
          <w:spacing w:val="-1"/>
        </w:rPr>
        <w:t>17%</w:t>
      </w:r>
      <w:r>
        <w:rPr>
          <w:spacing w:val="-1"/>
        </w:rPr>
        <w:t>税率征收增值税后，对其增值</w:t>
      </w:r>
      <w:r>
        <w:rPr/>
        <w:t> 税实际税负超过</w:t>
      </w:r>
      <w:r>
        <w:rPr>
          <w:rFonts w:ascii="Times New Roman" w:hAnsi="Times New Roman" w:cs="Times New Roman" w:eastAsia="Times New Roman" w:hint="default"/>
        </w:rPr>
        <w:t>3%</w:t>
      </w:r>
      <w:r>
        <w:rPr/>
        <w:t>的部分实行即征即退政策，公司及其控股子公司上海久其软件有限公司、广东久其软件有限公司、北京 久其政务软件股份有限公司、北京华夏电通科技有限公司适用此规定。</w:t>
      </w:r>
    </w:p>
    <w:p>
      <w:pPr>
        <w:spacing w:line="240" w:lineRule="auto" w:before="1"/>
        <w:rPr>
          <w:rFonts w:ascii="宋体" w:hAnsi="宋体" w:cs="宋体" w:eastAsia="宋体" w:hint="default"/>
          <w:sz w:val="23"/>
          <w:szCs w:val="23"/>
        </w:rPr>
      </w:pPr>
    </w:p>
    <w:p>
      <w:pPr>
        <w:pStyle w:val="Heading3"/>
        <w:spacing w:line="240" w:lineRule="auto"/>
        <w:ind w:left="153" w:right="983"/>
        <w:jc w:val="left"/>
        <w:rPr>
          <w:b w:val="0"/>
          <w:bCs w:val="0"/>
        </w:rPr>
      </w:pPr>
      <w:bookmarkStart w:name="3、其他" w:id="236"/>
      <w:bookmarkEnd w:id="23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983"/>
        <w:jc w:val="left"/>
        <w:rPr>
          <w:b w:val="0"/>
          <w:bCs w:val="0"/>
        </w:rPr>
      </w:pPr>
      <w:bookmarkStart w:name="七、合并财务报表项目注释" w:id="237"/>
      <w:bookmarkEnd w:id="23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货币资金" w:id="238"/>
      <w:bookmarkEnd w:id="23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551,375.25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734,794.64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908,215,833.27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684,924,301.98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24,180,916.79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22,971,959.04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932,948,125.31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708,631,055.66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pStyle w:val="BodyText"/>
        <w:spacing w:line="357" w:lineRule="auto" w:before="51"/>
        <w:ind w:right="-19"/>
        <w:jc w:val="left"/>
      </w:pPr>
      <w:r>
        <w:rPr/>
        <w:t>其他说明 其中因抵押、质押或冻结等对使用有限制，以及放在境外且资金汇回受到限制的货币资金明细如下：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075" w:space="845"/>
            <w:col w:w="2010"/>
          </w:cols>
        </w:sectPr>
      </w:pP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126"/>
        <w:gridCol w:w="2766"/>
        <w:gridCol w:w="2766"/>
      </w:tblGrid>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876"/>
              <w:jc w:val="right"/>
              <w:rPr>
                <w:rFonts w:ascii="宋体" w:hAnsi="宋体" w:cs="宋体" w:eastAsia="宋体" w:hint="default"/>
                <w:sz w:val="18"/>
                <w:szCs w:val="18"/>
              </w:rPr>
            </w:pPr>
            <w:r>
              <w:rPr>
                <w:rFonts w:ascii="宋体" w:hAnsi="宋体" w:cs="宋体" w:eastAsia="宋体" w:hint="default"/>
                <w:sz w:val="18"/>
                <w:szCs w:val="18"/>
              </w:rPr>
              <w:t>项目</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2,218,496.43</w:t>
            </w:r>
          </w:p>
        </w:tc>
        <w:tc>
          <w:tcPr>
            <w:tcW w:w="276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21,149,555.06</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22,212,387.09</w:t>
            </w:r>
          </w:p>
        </w:tc>
      </w:tr>
      <w:tr>
        <w:trPr>
          <w:trHeight w:val="34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876"/>
              <w:jc w:val="right"/>
              <w:rPr>
                <w:rFonts w:ascii="宋体" w:hAnsi="宋体" w:cs="宋体" w:eastAsia="宋体" w:hint="default"/>
                <w:sz w:val="18"/>
                <w:szCs w:val="18"/>
              </w:rPr>
            </w:pPr>
            <w:r>
              <w:rPr>
                <w:rFonts w:ascii="宋体" w:hAnsi="宋体" w:cs="宋体" w:eastAsia="宋体" w:hint="default"/>
                <w:sz w:val="18"/>
                <w:szCs w:val="18"/>
              </w:rPr>
              <w:t>合计</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23,368,051.49</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22,212,387.09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83"/>
        <w:jc w:val="left"/>
        <w:rPr>
          <w:b w:val="0"/>
          <w:bCs w:val="0"/>
        </w:rPr>
      </w:pPr>
      <w:bookmarkStart w:name="2、应收票据" w:id="239"/>
      <w:bookmarkEnd w:id="23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3"/>
        <w:jc w:val="left"/>
        <w:rPr>
          <w:b w:val="0"/>
          <w:bCs w:val="0"/>
        </w:rPr>
      </w:pPr>
      <w:bookmarkStart w:name="（1）应收票据分类列示" w:id="240"/>
      <w:bookmarkEnd w:id="24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5,920,623.00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5,920,623.00</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2）期末公司已质押的应收票据" w:id="241"/>
      <w:bookmarkEnd w:id="241"/>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日，本公司不存在用于质押的应收票据。</w:t>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bookmarkStart w:name="（3）期末公司已背书或贴现且在资产负债表日尚未到期的应收票据" w:id="242"/>
      <w:bookmarkEnd w:id="24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日，本公司不存在已背书或贴现且资产负债表日尚未到期的应收票据。</w:t>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bookmarkStart w:name="（4）期末公司因出票人未履约而将其转应收账款的票据" w:id="243"/>
      <w:bookmarkEnd w:id="243"/>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3、应收账款" w:id="244"/>
      <w:bookmarkEnd w:id="244"/>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bookmarkStart w:name="（1）应收账款分类披露" w:id="245"/>
      <w:bookmarkEnd w:id="2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496,443,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738.58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8,226,86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488,216,8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72.31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313,184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,062.28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7,400,361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305,783,70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2,288,74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5.13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2,288,74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2,217,9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2,217,966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498,732,</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483.71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10,515,6</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11.40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488,216,8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72.31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315,402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,028.28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9,618,327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305,783,70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983"/>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429,855,152.49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19,803,641.76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990,182.09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26,880,145.84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2,688,014.59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11,780,957.44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1,767,143.63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6,677,893.86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1,335,578.77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1,445,947.19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1,445,947.19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496,443,738.58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8,226,866.27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983"/>
        <w:jc w:val="left"/>
        <w:rPr>
          <w:b w:val="0"/>
          <w:bCs w:val="0"/>
        </w:rPr>
      </w:pPr>
      <w:bookmarkStart w:name="（2）本期计提、收回或转回的坏账准备情况" w:id="246"/>
      <w:bookmarkEnd w:id="2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本期计提坏账准备金额</w:t>
      </w:r>
      <w:r>
        <w:rPr>
          <w:spacing w:val="-46"/>
        </w:rPr>
        <w:t> </w:t>
      </w:r>
      <w:r>
        <w:rPr>
          <w:rFonts w:ascii="Times New Roman" w:hAnsi="Times New Roman" w:cs="Times New Roman" w:eastAsia="Times New Roman" w:hint="default"/>
        </w:rPr>
        <w:t>706,915.30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3）本期实际核销的应收账款情况" w:id="247"/>
      <w:bookmarkEnd w:id="24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158,191.35</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4）按欠款方归集的期末余额前五名的应收账款情况" w:id="248"/>
      <w:bookmarkEnd w:id="24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5"/>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4150"/>
        <w:gridCol w:w="1670"/>
        <w:gridCol w:w="2411"/>
        <w:gridCol w:w="1426"/>
      </w:tblGrid>
      <w:tr>
        <w:trPr>
          <w:trHeight w:val="337" w:hRule="exact"/>
        </w:trPr>
        <w:tc>
          <w:tcPr>
            <w:tcW w:w="41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4150" w:type="dxa"/>
            <w:vMerge/>
            <w:tcBorders>
              <w:left w:val="single" w:sz="4" w:space="0" w:color="000000"/>
              <w:bottom w:val="single" w:sz="4" w:space="0" w:color="000000"/>
              <w:right w:val="single" w:sz="4" w:space="0" w:color="000000"/>
            </w:tcBorders>
            <w:shd w:val="clear" w:color="auto" w:fill="D9D9D9"/>
          </w:tcPr>
          <w:p>
            <w:pPr/>
          </w:p>
        </w:tc>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6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7" w:hRule="exact"/>
        </w:trPr>
        <w:tc>
          <w:tcPr>
            <w:tcW w:w="4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1670"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33,183,585.18</w:t>
            </w:r>
          </w:p>
        </w:tc>
        <w:tc>
          <w:tcPr>
            <w:tcW w:w="24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6.65</w:t>
            </w:r>
          </w:p>
        </w:tc>
        <w:tc>
          <w:tcPr>
            <w:tcW w:w="1426"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4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167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23,648,676.98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4.74</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167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20,707,204.52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4.15</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167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15,750,009.79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3.16</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167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12,475,468.94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4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67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105,764,945.41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21.20</w:t>
            </w:r>
          </w:p>
        </w:tc>
        <w:tc>
          <w:tcPr>
            <w:tcW w:w="14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5）因金融资产转移而终止确认的应收账款" w:id="249"/>
      <w:bookmarkEnd w:id="24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6）转移应收账款且继续涉入形成的资产、负债金额" w:id="250"/>
      <w:bookmarkEnd w:id="25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4、预付款项" w:id="251"/>
      <w:bookmarkEnd w:id="251"/>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预付款项按账龄列示" w:id="252"/>
      <w:bookmarkEnd w:id="25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39,753,372.44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40,916,698.83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2,294,203.08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3,046,231.77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2,305,239.93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75,239.00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45,832.00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44,464,060.78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44,084,001.60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账龄超过一年的预付款项系为未结算的购货尾款。</w:t>
      </w:r>
    </w:p>
    <w:p>
      <w:pPr>
        <w:spacing w:line="240" w:lineRule="auto" w:before="4"/>
        <w:rPr>
          <w:rFonts w:ascii="宋体" w:hAnsi="宋体" w:cs="宋体" w:eastAsia="宋体" w:hint="default"/>
          <w:sz w:val="21"/>
          <w:szCs w:val="21"/>
        </w:rPr>
      </w:pPr>
    </w:p>
    <w:p>
      <w:pPr>
        <w:pStyle w:val="Heading3"/>
        <w:spacing w:line="240" w:lineRule="auto"/>
        <w:ind w:right="983"/>
        <w:jc w:val="left"/>
        <w:rPr>
          <w:b w:val="0"/>
          <w:bCs w:val="0"/>
        </w:rPr>
      </w:pPr>
      <w:bookmarkStart w:name="（2）按预付对象归集的期末余额前五名的预付款情况" w:id="253"/>
      <w:bookmarkEnd w:id="25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0"/>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3267"/>
        <w:gridCol w:w="3261"/>
        <w:gridCol w:w="3128"/>
      </w:tblGrid>
      <w:tr>
        <w:trPr>
          <w:trHeight w:val="332" w:hRule="exact"/>
        </w:trPr>
        <w:tc>
          <w:tcPr>
            <w:tcW w:w="3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p>
        </w:tc>
      </w:tr>
      <w:tr>
        <w:trPr>
          <w:trHeight w:val="342" w:hRule="exact"/>
        </w:trPr>
        <w:tc>
          <w:tcPr>
            <w:tcW w:w="3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3261"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8,026,301.86</w:t>
            </w:r>
          </w:p>
        </w:tc>
        <w:tc>
          <w:tcPr>
            <w:tcW w:w="31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18.05</w:t>
            </w:r>
          </w:p>
        </w:tc>
      </w:tr>
      <w:tr>
        <w:trPr>
          <w:trHeight w:val="342" w:hRule="exact"/>
        </w:trPr>
        <w:tc>
          <w:tcPr>
            <w:tcW w:w="3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326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6,984,813.34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15.71</w:t>
            </w:r>
          </w:p>
        </w:tc>
      </w:tr>
      <w:tr>
        <w:trPr>
          <w:trHeight w:val="342" w:hRule="exact"/>
        </w:trPr>
        <w:tc>
          <w:tcPr>
            <w:tcW w:w="3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326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8.32</w:t>
            </w:r>
          </w:p>
        </w:tc>
      </w:tr>
      <w:tr>
        <w:trPr>
          <w:trHeight w:val="342" w:hRule="exact"/>
        </w:trPr>
        <w:tc>
          <w:tcPr>
            <w:tcW w:w="3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326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3,452,451.00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7.76</w:t>
            </w:r>
          </w:p>
        </w:tc>
      </w:tr>
      <w:tr>
        <w:trPr>
          <w:trHeight w:val="342" w:hRule="exact"/>
        </w:trPr>
        <w:tc>
          <w:tcPr>
            <w:tcW w:w="3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326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1,349,907.41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3.04</w:t>
            </w:r>
          </w:p>
        </w:tc>
      </w:tr>
      <w:tr>
        <w:trPr>
          <w:trHeight w:val="342" w:hRule="exact"/>
        </w:trPr>
        <w:tc>
          <w:tcPr>
            <w:tcW w:w="3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23,513,473.61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83"/>
        <w:jc w:val="left"/>
        <w:rPr>
          <w:b w:val="0"/>
          <w:bCs w:val="0"/>
        </w:rPr>
      </w:pPr>
      <w:bookmarkStart w:name="5、 应收保理款" w:id="254"/>
      <w:bookmarkEnd w:id="254"/>
      <w:r>
        <w:rPr>
          <w:b w:val="0"/>
          <w:bCs w:val="0"/>
        </w:rPr>
      </w:r>
      <w:r>
        <w:rPr>
          <w:rFonts w:ascii="Times New Roman" w:hAnsi="Times New Roman" w:cs="Times New Roman" w:eastAsia="Times New Roman" w:hint="default"/>
        </w:rPr>
        <w:t>5</w:t>
      </w:r>
      <w:r>
        <w:rPr/>
        <w:t>、</w:t>
      </w:r>
      <w:r>
        <w:rPr>
          <w:spacing w:val="-3"/>
        </w:rPr>
        <w:t> </w:t>
      </w:r>
      <w:r>
        <w:rPr/>
        <w:t>应收保理款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1"/>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3768"/>
        <w:gridCol w:w="3064"/>
        <w:gridCol w:w="2824"/>
      </w:tblGrid>
      <w:tr>
        <w:trPr>
          <w:trHeight w:val="332" w:hRule="exact"/>
        </w:trPr>
        <w:tc>
          <w:tcPr>
            <w:tcW w:w="3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699"/>
              <w:jc w:val="right"/>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30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pacing w:val="-1"/>
                <w:sz w:val="18"/>
              </w:rPr>
              <w:t>253,120,711.94</w:t>
            </w:r>
          </w:p>
        </w:tc>
        <w:tc>
          <w:tcPr>
            <w:tcW w:w="282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pacing w:val="-1"/>
                <w:sz w:val="18"/>
              </w:rPr>
              <w:t>66,531,750.42</w:t>
            </w:r>
          </w:p>
        </w:tc>
      </w:tr>
      <w:tr>
        <w:trPr>
          <w:trHeight w:val="342" w:hRule="exact"/>
        </w:trPr>
        <w:tc>
          <w:tcPr>
            <w:tcW w:w="3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699"/>
              <w:jc w:val="righ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253,120,711.94</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66,531,750.42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983"/>
        <w:jc w:val="left"/>
      </w:pPr>
      <w:r>
        <w:rPr/>
        <w:t>应收保理款均系子公司深圳市久金保商业保理有限公司的保理业务形成，且均附追索权。</w:t>
      </w:r>
    </w:p>
    <w:p>
      <w:pPr>
        <w:spacing w:line="240" w:lineRule="auto" w:before="12"/>
        <w:rPr>
          <w:rFonts w:ascii="宋体" w:hAnsi="宋体" w:cs="宋体" w:eastAsia="宋体" w:hint="default"/>
          <w:sz w:val="26"/>
          <w:szCs w:val="26"/>
        </w:rPr>
      </w:pPr>
    </w:p>
    <w:p>
      <w:pPr>
        <w:pStyle w:val="Heading3"/>
        <w:spacing w:line="240" w:lineRule="auto"/>
        <w:ind w:left="153" w:right="983"/>
        <w:jc w:val="left"/>
        <w:rPr>
          <w:b w:val="0"/>
          <w:bCs w:val="0"/>
        </w:rPr>
      </w:pPr>
      <w:bookmarkStart w:name="6、应收利息" w:id="255"/>
      <w:bookmarkEnd w:id="255"/>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应收利息分类" w:id="256"/>
      <w:bookmarkEnd w:id="25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保理利息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1,075,506.77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1,075,506.77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78" w:lineRule="auto" w:before="35"/>
        <w:ind w:left="153" w:right="5173" w:firstLine="0"/>
        <w:jc w:val="left"/>
        <w:rPr>
          <w:rFonts w:ascii="宋体" w:hAnsi="宋体" w:cs="宋体" w:eastAsia="宋体" w:hint="default"/>
          <w:sz w:val="21"/>
          <w:szCs w:val="21"/>
        </w:rPr>
      </w:pPr>
      <w:bookmarkStart w:name="其他说明：" w:id="257"/>
      <w:bookmarkEnd w:id="257"/>
      <w:r>
        <w:rPr/>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18"/>
          <w:szCs w:val="18"/>
        </w:rPr>
        <w:t>应收利息均系子公司深圳市久金保商业保理有限公司的保理业务形成。 </w:t>
      </w:r>
      <w:bookmarkStart w:name="7、应收股利" w:id="258"/>
      <w:bookmarkEnd w:id="258"/>
      <w:r>
        <w:rPr>
          <w:rFonts w:ascii="宋体" w:hAnsi="宋体" w:cs="宋体" w:eastAsia="宋体" w:hint="default"/>
          <w:sz w:val="18"/>
          <w:szCs w:val="18"/>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、应收股利</w:t>
      </w:r>
      <w:r>
        <w:rPr>
          <w:rFonts w:ascii="宋体" w:hAnsi="宋体" w:cs="宋体" w:eastAsia="宋体" w:hint="default"/>
          <w:sz w:val="21"/>
          <w:szCs w:val="21"/>
        </w:rPr>
      </w:r>
    </w:p>
    <w:p>
      <w:pPr>
        <w:pStyle w:val="Heading3"/>
        <w:spacing w:line="285" w:lineRule="exact"/>
        <w:ind w:left="153" w:right="983"/>
        <w:jc w:val="left"/>
        <w:rPr>
          <w:b w:val="0"/>
          <w:bCs w:val="0"/>
        </w:rPr>
      </w:pPr>
      <w:bookmarkStart w:name="（1）应收股利" w:id="259"/>
      <w:bookmarkEnd w:id="25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日，本公司不存在应收股利。</w:t>
      </w:r>
    </w:p>
    <w:p>
      <w:pPr>
        <w:spacing w:line="240" w:lineRule="auto" w:before="9"/>
        <w:rPr>
          <w:rFonts w:ascii="宋体" w:hAnsi="宋体" w:cs="宋体" w:eastAsia="宋体" w:hint="default"/>
          <w:sz w:val="25"/>
          <w:szCs w:val="25"/>
        </w:rPr>
      </w:pPr>
    </w:p>
    <w:p>
      <w:pPr>
        <w:pStyle w:val="Heading3"/>
        <w:spacing w:line="240" w:lineRule="auto"/>
        <w:ind w:right="983"/>
        <w:jc w:val="left"/>
        <w:rPr>
          <w:b w:val="0"/>
          <w:bCs w:val="0"/>
        </w:rPr>
      </w:pPr>
      <w:bookmarkStart w:name="8、其他应收款" w:id="260"/>
      <w:bookmarkEnd w:id="260"/>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bookmarkStart w:name="（1）其他应收款分类披露" w:id="261"/>
      <w:bookmarkEnd w:id="26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78,122,9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35.13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5,743,06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72,379,87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67,333,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169.28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3,285,751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64,047,417.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101,232.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85,320.00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98,224,1</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67.13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5,844,29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92,379,87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67,418,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489.28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3,371,071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64,047,417.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060" w:bottom="1160" w:left="980" w:right="0"/>
        </w:sectPr>
      </w:pPr>
    </w:p>
    <w:p>
      <w:pPr>
        <w:pStyle w:val="BodyText"/>
        <w:spacing w:line="240" w:lineRule="auto" w:before="44"/>
        <w:ind w:right="-19"/>
        <w:jc w:val="left"/>
      </w:pPr>
      <w:r>
        <w:rPr/>
        <w:t>期末单项金额重大并单项计提坏账准备的其他应收款：</w:t>
      </w:r>
    </w:p>
    <w:p>
      <w:pPr>
        <w:pStyle w:val="BodyText"/>
        <w:spacing w:line="240" w:lineRule="auto" w:before="11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5" w:space="44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黄家骁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160" w:left="980" w:right="0"/>
        </w:sectPr>
      </w:pPr>
    </w:p>
    <w:p>
      <w:pPr>
        <w:pStyle w:val="BodyText"/>
        <w:spacing w:line="240" w:lineRule="auto" w:before="44"/>
        <w:ind w:left="154" w:right="-20"/>
        <w:jc w:val="left"/>
      </w:pPr>
      <w:r>
        <w:rPr/>
        <w:t>组合中，按账龄分析法计提坏账准备的其他应收款：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295" w:space="462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32,170,648.36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4,480,469.81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224,023.49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24,295,663.94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2,429,566.39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4,547,227.34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682,084.11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2,746,045.89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549,209.18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1,858,181.67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1,858,181.67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70,098,237.01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5,743,064.84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left="154" w:right="-20"/>
        <w:jc w:val="left"/>
      </w:pPr>
      <w:r>
        <w:rPr/>
        <w:t>确定该组合依据的说明： 组合中，采用余额百分比法计提坏账准备的其他应收款：</w:t>
      </w:r>
    </w:p>
    <w:p>
      <w:pPr>
        <w:pStyle w:val="BodyText"/>
        <w:spacing w:line="340" w:lineRule="auto" w:before="26"/>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6"/>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106"/>
        <w:gridCol w:w="2104"/>
        <w:gridCol w:w="1936"/>
        <w:gridCol w:w="2513"/>
      </w:tblGrid>
      <w:tr>
        <w:trPr>
          <w:trHeight w:val="337" w:hRule="exact"/>
        </w:trPr>
        <w:tc>
          <w:tcPr>
            <w:tcW w:w="31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55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106" w:type="dxa"/>
            <w:vMerge/>
            <w:tcBorders>
              <w:left w:val="single" w:sz="4" w:space="0" w:color="000000"/>
              <w:bottom w:val="single" w:sz="4" w:space="0" w:color="000000"/>
              <w:right w:val="single" w:sz="4" w:space="0" w:color="000000"/>
            </w:tcBorders>
            <w:shd w:val="clear" w:color="auto" w:fill="D9D9D9"/>
          </w:tcPr>
          <w:p>
            <w:pPr/>
          </w:p>
        </w:tc>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9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内部职工</w:t>
            </w:r>
          </w:p>
        </w:tc>
        <w:tc>
          <w:tcPr>
            <w:tcW w:w="210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8,024,698.12</w:t>
            </w:r>
          </w:p>
        </w:tc>
        <w:tc>
          <w:tcPr>
            <w:tcW w:w="1936" w:type="dxa"/>
            <w:tcBorders>
              <w:top w:val="single" w:sz="8" w:space="0" w:color="000000"/>
              <w:left w:val="single" w:sz="4" w:space="0" w:color="000000"/>
              <w:bottom w:val="single" w:sz="4" w:space="0" w:color="000000"/>
              <w:right w:val="single" w:sz="4" w:space="0" w:color="000000"/>
            </w:tcBorders>
          </w:tcPr>
          <w:p>
            <w:pPr/>
          </w:p>
        </w:tc>
        <w:tc>
          <w:tcPr>
            <w:tcW w:w="2513"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3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8,024,698.12</w:t>
            </w:r>
          </w:p>
        </w:tc>
        <w:tc>
          <w:tcPr>
            <w:tcW w:w="1936" w:type="dxa"/>
            <w:tcBorders>
              <w:top w:val="single" w:sz="4" w:space="0" w:color="000000"/>
              <w:left w:val="single" w:sz="4" w:space="0" w:color="000000"/>
              <w:bottom w:val="single" w:sz="4" w:space="0" w:color="000000"/>
              <w:right w:val="single" w:sz="4" w:space="0" w:color="000000"/>
            </w:tcBorders>
          </w:tcPr>
          <w:p>
            <w:pPr/>
          </w:p>
        </w:tc>
        <w:tc>
          <w:tcPr>
            <w:tcW w:w="25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83"/>
        <w:jc w:val="left"/>
        <w:rPr>
          <w:b w:val="0"/>
          <w:bCs w:val="0"/>
        </w:rPr>
      </w:pPr>
      <w:bookmarkStart w:name="（2）本期计提、收回或转回的坏账准备情况" w:id="262"/>
      <w:bookmarkEnd w:id="2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本期计提坏账准备金额</w:t>
      </w:r>
      <w:r>
        <w:rPr>
          <w:spacing w:val="-47"/>
        </w:rPr>
        <w:t> </w:t>
      </w:r>
      <w:r>
        <w:rPr>
          <w:rFonts w:ascii="Times New Roman" w:hAnsi="Times New Roman" w:cs="Times New Roman" w:eastAsia="Times New Roman" w:hint="default"/>
        </w:rPr>
        <w:t>2,338,960.80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983"/>
        <w:jc w:val="left"/>
        <w:rPr>
          <w:b w:val="0"/>
          <w:bCs w:val="0"/>
        </w:rPr>
      </w:pPr>
      <w:bookmarkStart w:name="（3）本期实际核销的其他应收款情况" w:id="263"/>
      <w:bookmarkEnd w:id="26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90,820.00</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4）其他应收款按款项性质分类情况" w:id="264"/>
      <w:bookmarkEnd w:id="26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68,314,428.74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54,826,858.83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9,423,893.78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8,634,435.89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20,485,844.61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3,957,194.56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98,224,167.13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67,418,489.28</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按欠款方归集的期末余额前五名的其他应收款情况" w:id="265"/>
      <w:bookmarkEnd w:id="26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子公司原股东往来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5,687,160.00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564,716.00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39,851,160.00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814,716.00</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6）涉及政府补助的应收款项" w:id="266"/>
      <w:bookmarkEnd w:id="26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1"/>
        <w:rPr>
          <w:rFonts w:ascii="宋体" w:hAnsi="宋体" w:cs="宋体" w:eastAsia="宋体" w:hint="default"/>
          <w:sz w:val="26"/>
          <w:szCs w:val="26"/>
        </w:rPr>
      </w:pPr>
    </w:p>
    <w:p>
      <w:pPr>
        <w:pStyle w:val="Heading3"/>
        <w:spacing w:line="240" w:lineRule="auto"/>
        <w:ind w:right="983"/>
        <w:jc w:val="left"/>
        <w:rPr>
          <w:b w:val="0"/>
          <w:bCs w:val="0"/>
        </w:rPr>
      </w:pPr>
      <w:bookmarkStart w:name="（7）因金融资产转移而终止确认的其他应收款" w:id="267"/>
      <w:bookmarkEnd w:id="26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8）转移其他应收款且继续涉入形成的资产、负债金额" w:id="268"/>
      <w:bookmarkEnd w:id="26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9、存货" w:id="269"/>
      <w:bookmarkEnd w:id="269"/>
      <w:r>
        <w:rPr>
          <w:b w:val="0"/>
          <w:bCs w:val="0"/>
        </w:rPr>
      </w: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3"/>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983"/>
        <w:jc w:val="left"/>
        <w:rPr>
          <w:b w:val="0"/>
          <w:bCs w:val="0"/>
        </w:rPr>
      </w:pPr>
      <w:bookmarkStart w:name="（1）存货分类" w:id="270"/>
      <w:bookmarkEnd w:id="27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1,341,112.37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1,341,112.37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1,298,770.11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1,298,770.11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1,320,179.58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1,320,179.58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1,171,682.90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1,171,682.90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8,056,328.05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8,056,328.05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1,605,769.75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1,605,769.75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45,940,731.64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45,940,731.64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61,664,355.84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61,664,355.84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56,658,351.64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56,658,351.64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65,740,578.60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65,740,578.60</w:t>
            </w:r>
          </w:p>
        </w:tc>
      </w:tr>
    </w:tbl>
    <w:p>
      <w:pPr>
        <w:pStyle w:val="BodyText"/>
        <w:spacing w:line="240" w:lineRule="auto" w:before="51"/>
        <w:ind w:left="154" w:right="98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bookmarkStart w:name="（2）存货跌价准备" w:id="271"/>
      <w:bookmarkEnd w:id="27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3）存货期末余额含有借款费用资本化金额的说明" w:id="272"/>
      <w:bookmarkEnd w:id="27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4）期末建造合同形成的已完工未结算资产情况" w:id="273"/>
      <w:bookmarkEnd w:id="27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10、持有待售的资产" w:id="274"/>
      <w:bookmarkEnd w:id="274"/>
      <w:r>
        <w:rPr>
          <w:b w:val="0"/>
          <w:bCs w:val="0"/>
        </w:rPr>
      </w:r>
      <w:r>
        <w:rPr>
          <w:rFonts w:ascii="Times New Roman" w:hAnsi="Times New Roman" w:cs="Times New Roman" w:eastAsia="Times New Roman" w:hint="default"/>
        </w:rPr>
        <w:t>10</w:t>
      </w:r>
      <w:r>
        <w:rPr/>
        <w:t>、持有待售的资产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报告期不存在持有待售的资产。</w:t>
      </w:r>
    </w:p>
    <w:p>
      <w:pPr>
        <w:spacing w:line="240" w:lineRule="auto" w:before="12"/>
        <w:rPr>
          <w:rFonts w:ascii="宋体" w:hAnsi="宋体" w:cs="宋体" w:eastAsia="宋体" w:hint="default"/>
          <w:sz w:val="26"/>
          <w:szCs w:val="26"/>
        </w:rPr>
      </w:pPr>
    </w:p>
    <w:p>
      <w:pPr>
        <w:pStyle w:val="Heading3"/>
        <w:spacing w:line="240" w:lineRule="auto"/>
        <w:ind w:left="153" w:right="983"/>
        <w:jc w:val="left"/>
        <w:rPr>
          <w:b w:val="0"/>
          <w:bCs w:val="0"/>
        </w:rPr>
      </w:pPr>
      <w:bookmarkStart w:name="11、其他流动资产" w:id="275"/>
      <w:bookmarkEnd w:id="275"/>
      <w:r>
        <w:rPr>
          <w:b w:val="0"/>
          <w:bCs w:val="0"/>
        </w:rPr>
      </w:r>
      <w:r>
        <w:rPr>
          <w:rFonts w:ascii="Times New Roman" w:hAnsi="Times New Roman" w:cs="Times New Roman" w:eastAsia="Times New Roman" w:hint="default"/>
        </w:rPr>
        <w:t>11</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10,232,152.49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13,197,279.68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4,300,446.52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1,679,092.20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573,532,599.01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14,876,371.88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12、可供出售金融资产" w:id="276"/>
      <w:bookmarkEnd w:id="276"/>
      <w:r>
        <w:rPr>
          <w:b w:val="0"/>
          <w:bCs w:val="0"/>
        </w:rPr>
      </w:r>
      <w:r>
        <w:rPr>
          <w:rFonts w:ascii="Times New Roman" w:hAnsi="Times New Roman" w:cs="Times New Roman" w:eastAsia="Times New Roman" w:hint="default"/>
        </w:rPr>
        <w:t>12</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可供出售金融资产情况" w:id="277"/>
      <w:bookmarkEnd w:id="27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期末按成本计量的可供出售金融资产" w:id="278"/>
      <w:bookmarkEnd w:id="278"/>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深圳市惟 新科技股 份有限公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4,998,002.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4,998,002.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7.79%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广州数说 故事信息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6,998,002.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报告期内可供出售金融资产减值的变动情况" w:id="279"/>
      <w:bookmarkEnd w:id="279"/>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4）可供出售权益工具期末公允价值严重下跌或非暂时性下跌但未计提减值准备的相关说" w:id="280"/>
      <w:bookmarkEnd w:id="280"/>
      <w:r>
        <w:rPr>
          <w:b w:val="0"/>
          <w:bCs w:val="0"/>
        </w:rPr>
      </w:r>
      <w:r>
        <w:rPr/>
        <w:t>（</w:t>
      </w:r>
      <w:r>
        <w:rPr>
          <w:rFonts w:ascii="Times New Roman" w:hAnsi="Times New Roman" w:cs="Times New Roman" w:eastAsia="Times New Roman" w:hint="default"/>
        </w:rPr>
        <w:t>4</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10032"/>
        <w:jc w:val="left"/>
      </w:pPr>
      <w:r>
        <w:rPr/>
        <w:t>无 其他说明</w:t>
      </w:r>
    </w:p>
    <w:p>
      <w:pPr>
        <w:pStyle w:val="BodyText"/>
        <w:spacing w:line="300" w:lineRule="auto" w:before="28"/>
        <w:ind w:right="983"/>
        <w:jc w:val="left"/>
      </w:pPr>
      <w:r>
        <w:rPr>
          <w:spacing w:val="-3"/>
        </w:rPr>
        <w:t>（</w:t>
      </w:r>
      <w:r>
        <w:rPr>
          <w:rFonts w:ascii="Times New Roman" w:hAnsi="Times New Roman" w:cs="Times New Roman" w:eastAsia="Times New Roman" w:hint="default"/>
          <w:spacing w:val="-3"/>
        </w:rPr>
        <w:t>1</w:t>
      </w:r>
      <w:r>
        <w:rPr>
          <w:spacing w:val="-3"/>
        </w:rPr>
        <w:t>）公司与深圳市惟新科技股份有限公司（以下简称</w:t>
      </w:r>
      <w:r>
        <w:rPr>
          <w:rFonts w:ascii="Times New Roman" w:hAnsi="Times New Roman" w:cs="Times New Roman" w:eastAsia="Times New Roman" w:hint="default"/>
          <w:spacing w:val="-3"/>
        </w:rPr>
        <w:t>“</w:t>
      </w:r>
      <w:r>
        <w:rPr>
          <w:spacing w:val="-3"/>
        </w:rPr>
        <w:t>惟新科技</w:t>
      </w:r>
      <w:r>
        <w:rPr>
          <w:rFonts w:ascii="Times New Roman" w:hAnsi="Times New Roman" w:cs="Times New Roman" w:eastAsia="Times New Roman" w:hint="default"/>
          <w:spacing w:val="-3"/>
        </w:rPr>
        <w:t>”</w:t>
      </w:r>
      <w:r>
        <w:rPr>
          <w:spacing w:val="-3"/>
        </w:rPr>
        <w:t>）签订了股份认购协议，以现金方式认购惟新科技</w:t>
      </w:r>
      <w:r>
        <w:rPr>
          <w:rFonts w:ascii="Times New Roman" w:hAnsi="Times New Roman" w:cs="Times New Roman" w:eastAsia="Times New Roman" w:hint="default"/>
          <w:spacing w:val="-3"/>
        </w:rPr>
        <w:t>1,133,334</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股，认购价格为</w:t>
      </w:r>
      <w:r>
        <w:rPr>
          <w:rFonts w:ascii="Times New Roman" w:hAnsi="Times New Roman" w:cs="Times New Roman" w:eastAsia="Times New Roman" w:hint="default"/>
        </w:rPr>
        <w:t>4.41</w:t>
      </w:r>
      <w:r>
        <w:rPr/>
        <w:t>元人民币每股，共计</w:t>
      </w:r>
      <w:r>
        <w:rPr>
          <w:rFonts w:ascii="Times New Roman" w:hAnsi="Times New Roman" w:cs="Times New Roman" w:eastAsia="Times New Roman" w:hint="default"/>
        </w:rPr>
        <w:t>4,998,002.94</w:t>
      </w:r>
      <w:r>
        <w:rPr/>
        <w:t>元。</w:t>
      </w:r>
    </w:p>
    <w:p>
      <w:pPr>
        <w:pStyle w:val="BodyText"/>
        <w:spacing w:line="300" w:lineRule="auto" w:before="13"/>
        <w:ind w:right="1128"/>
        <w:jc w:val="left"/>
      </w:pPr>
      <w:r>
        <w:rPr>
          <w:spacing w:val="-2"/>
        </w:rPr>
        <w:t>（</w:t>
      </w:r>
      <w:r>
        <w:rPr>
          <w:rFonts w:ascii="Times New Roman" w:hAnsi="Times New Roman" w:cs="Times New Roman" w:eastAsia="Times New Roman" w:hint="default"/>
          <w:spacing w:val="-2"/>
        </w:rPr>
        <w:t>2</w:t>
      </w:r>
      <w:r>
        <w:rPr>
          <w:spacing w:val="-2"/>
        </w:rPr>
        <w:t>）海南久其互联网产业研究院有限公司（以下简称</w:t>
      </w:r>
      <w:r>
        <w:rPr>
          <w:rFonts w:ascii="Times New Roman" w:hAnsi="Times New Roman" w:cs="Times New Roman" w:eastAsia="Times New Roman" w:hint="default"/>
          <w:spacing w:val="-2"/>
        </w:rPr>
        <w:t>“</w:t>
      </w:r>
      <w:r>
        <w:rPr>
          <w:spacing w:val="-2"/>
        </w:rPr>
        <w:t>研究院</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日与互动派科技股份有限公司、徐亚波、广</w:t>
      </w:r>
      <w:r>
        <w:rPr>
          <w:spacing w:val="-39"/>
        </w:rPr>
        <w:t> </w:t>
      </w:r>
      <w:r>
        <w:rPr>
          <w:spacing w:val="-39"/>
        </w:rPr>
      </w:r>
      <w:r>
        <w:rPr>
          <w:spacing w:val="-5"/>
        </w:rPr>
        <w:t>州数说邦投资合伙企业（有限合伙）、广州数盈投资合伙企业（有限合伙）及广州数说故事信息科技有限公司（以下简称“数</w:t>
      </w:r>
    </w:p>
    <w:p>
      <w:pPr>
        <w:spacing w:after="0" w:line="30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983"/>
        <w:jc w:val="left"/>
      </w:pPr>
      <w:r>
        <w:rPr/>
        <w:t>说故事”）共同签订了投资协议，协议约定研究院向数说故事增资</w:t>
      </w:r>
      <w:r>
        <w:rPr>
          <w:rFonts w:ascii="Times New Roman" w:hAnsi="Times New Roman" w:cs="Times New Roman" w:eastAsia="Times New Roman" w:hint="default"/>
        </w:rPr>
        <w:t>2,000,000.00</w:t>
      </w:r>
      <w:r>
        <w:rPr/>
        <w:t>元，取得数说故事</w:t>
      </w:r>
      <w:r>
        <w:rPr>
          <w:rFonts w:ascii="Times New Roman" w:hAnsi="Times New Roman" w:cs="Times New Roman" w:eastAsia="Times New Roman" w:hint="default"/>
        </w:rPr>
        <w:t>1.00%</w:t>
      </w:r>
      <w:r>
        <w:rPr/>
        <w:t>的股权。</w:t>
      </w:r>
    </w:p>
    <w:p>
      <w:pPr>
        <w:spacing w:line="240" w:lineRule="auto" w:before="11"/>
        <w:rPr>
          <w:rFonts w:ascii="宋体" w:hAnsi="宋体" w:cs="宋体" w:eastAsia="宋体" w:hint="default"/>
          <w:sz w:val="25"/>
          <w:szCs w:val="25"/>
        </w:rPr>
      </w:pPr>
    </w:p>
    <w:p>
      <w:pPr>
        <w:pStyle w:val="Heading3"/>
        <w:spacing w:line="240" w:lineRule="auto"/>
        <w:ind w:left="153" w:right="983"/>
        <w:jc w:val="left"/>
        <w:rPr>
          <w:b w:val="0"/>
          <w:bCs w:val="0"/>
        </w:rPr>
      </w:pPr>
      <w:bookmarkStart w:name="13、长期股权投资" w:id="281"/>
      <w:bookmarkEnd w:id="281"/>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同望科技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57,363,10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3,562,071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59,800,17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北京信诺 软通信息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3,221,409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366,653.7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3,588,063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深圳前海 数聚成长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30,035,87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233,933.6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70,269,81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90,620,38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4,162,658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133,658,0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90,620,38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4,162,658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133,658,0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2563"/>
        <w:jc w:val="left"/>
      </w:pPr>
      <w:r>
        <w:rPr/>
        <w:t>其他说明 本期对深圳前海数聚成长投资中心（有限合伙）的长期股权投资增加</w:t>
      </w:r>
      <w:r>
        <w:rPr>
          <w:rFonts w:ascii="Times New Roman" w:hAnsi="Times New Roman" w:cs="Times New Roman" w:eastAsia="Times New Roman" w:hint="default"/>
        </w:rPr>
        <w:t>4,000.00</w:t>
      </w:r>
      <w:r>
        <w:rPr/>
        <w:t>万系按协议缴纳的出资款。</w:t>
      </w:r>
    </w:p>
    <w:p>
      <w:pPr>
        <w:spacing w:line="240" w:lineRule="auto" w:before="5"/>
        <w:rPr>
          <w:rFonts w:ascii="宋体" w:hAnsi="宋体" w:cs="宋体" w:eastAsia="宋体" w:hint="default"/>
          <w:sz w:val="18"/>
          <w:szCs w:val="18"/>
        </w:rPr>
      </w:pPr>
    </w:p>
    <w:p>
      <w:pPr>
        <w:pStyle w:val="Heading3"/>
        <w:spacing w:line="240" w:lineRule="auto"/>
        <w:ind w:left="153" w:right="983"/>
        <w:jc w:val="left"/>
        <w:rPr>
          <w:b w:val="0"/>
          <w:bCs w:val="0"/>
        </w:rPr>
      </w:pPr>
      <w:bookmarkStart w:name="14、投资性房地产" w:id="282"/>
      <w:bookmarkEnd w:id="282"/>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采用成本计量模式的投资性房地产" w:id="283"/>
      <w:bookmarkEnd w:id="28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35,438,827.01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35,438,827.01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35,438,827.01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35,438,827.01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5,049,888.89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5,049,888.89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933,280.92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933,280.92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933,280.92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933,280.92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5,983,169.81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5,983,169.81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29,455,657.20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29,455,657.20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30,388,938.12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30,388,938.12</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采用公允价值计量模式的投资性房地产" w:id="284"/>
      <w:bookmarkEnd w:id="28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983"/>
        <w:jc w:val="left"/>
        <w:rPr>
          <w:b w:val="0"/>
          <w:bCs w:val="0"/>
        </w:rPr>
      </w:pPr>
      <w:bookmarkStart w:name="（3）未办妥产权证书的投资性房地产情况" w:id="285"/>
      <w:bookmarkEnd w:id="28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15、固定资产" w:id="286"/>
      <w:bookmarkEnd w:id="286"/>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bookmarkStart w:name="（1）固定资产情况" w:id="287"/>
      <w:bookmarkEnd w:id="28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0CECE"/>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0CECE"/>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9" w:space="0" w:color="D2D2D2"/>
            </w:tcBorders>
            <w:shd w:val="clear" w:color="auto" w:fill="D0CECE"/>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230,461,937.78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19,440,497.40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45,833,885.40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4,962,289.84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300,698,610.42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7,446,816.67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1,275,321.83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16,238,750.39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677,435.75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25,638,324.64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7,446,816.67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1,275,321.83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13,525,252.35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677,435.75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22,924,826.60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2,713,498.04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2,713,498.04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3,180,499.20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1,187,530.81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3,246,436.61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236,198.05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7,850,664.67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3,180,499.20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1,187,530.81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3,246,436.61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236,198.05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7,850,664.67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234,728,255.25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19,528,288.42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58,826,199.18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5,403,527.54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318,486,270.39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35,563,707.46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8,963,070.04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22,559,539.61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2,840,497.27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69,926,814.38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6,019,115.22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2,128,583.23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9,860,135.81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722,741.55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18,730,575.81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6,019,115.22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2,128,583.23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8,784,393.50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722,741.55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17,654,833.50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1,075,742.31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1,075,742.31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770,475.65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689,806.80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3,036,405.93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196,490.96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4,693,179.34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770,475.65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689,806.80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3,036,405.93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196,490.96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4,693,179.34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40,812,347.03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10,401,846.47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29,383,269.49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3,366,747.86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83,964,210.85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0CECE"/>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0CECE"/>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9" w:space="0" w:color="D2D2D2"/>
            </w:tcBorders>
            <w:shd w:val="clear" w:color="auto" w:fill="D0CECE"/>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0CECE"/>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193,915,908.22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9,126,441.95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29,442,929.69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2,036,779.68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234,522,059.54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194,898,230.32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10,477,427.36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23,274,345.79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2,121,792.57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230,771,796.04</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暂时闲置的固定资产情况" w:id="288"/>
      <w:bookmarkEnd w:id="28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1"/>
        <w:rPr>
          <w:rFonts w:ascii="宋体" w:hAnsi="宋体" w:cs="宋体" w:eastAsia="宋体" w:hint="default"/>
          <w:sz w:val="26"/>
          <w:szCs w:val="26"/>
        </w:rPr>
      </w:pPr>
    </w:p>
    <w:p>
      <w:pPr>
        <w:pStyle w:val="Heading3"/>
        <w:spacing w:line="240" w:lineRule="auto"/>
        <w:ind w:right="983"/>
        <w:jc w:val="left"/>
        <w:rPr>
          <w:b w:val="0"/>
          <w:bCs w:val="0"/>
        </w:rPr>
      </w:pPr>
      <w:bookmarkStart w:name="（3）通过融资租赁租入的固定资产情况" w:id="289"/>
      <w:bookmarkEnd w:id="28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1"/>
        <w:rPr>
          <w:rFonts w:ascii="宋体" w:hAnsi="宋体" w:cs="宋体" w:eastAsia="宋体" w:hint="default"/>
          <w:sz w:val="26"/>
          <w:szCs w:val="26"/>
        </w:rPr>
      </w:pPr>
    </w:p>
    <w:p>
      <w:pPr>
        <w:pStyle w:val="Heading3"/>
        <w:spacing w:line="240" w:lineRule="auto"/>
        <w:ind w:right="983"/>
        <w:jc w:val="left"/>
        <w:rPr>
          <w:b w:val="0"/>
          <w:bCs w:val="0"/>
        </w:rPr>
      </w:pPr>
      <w:bookmarkStart w:name="（4）通过经营租赁租出的固定资产" w:id="290"/>
      <w:bookmarkEnd w:id="29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5）未办妥产权证书的固定资产情况" w:id="291"/>
      <w:bookmarkEnd w:id="29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16、在建工程" w:id="292"/>
      <w:bookmarkEnd w:id="292"/>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bookmarkStart w:name="（1）在建工程情况" w:id="293"/>
      <w:bookmarkEnd w:id="29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久其政务研发中 心建设项目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50,514,159.99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50,514,159.99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20,381,055.43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20,381,055.43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50,514,159.99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50,514,159.99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20,381,055.43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20,381,055.43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2）重要在建工程项目本期变动情况" w:id="294"/>
      <w:bookmarkEnd w:id="29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久其政 务研发 中心建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295,802,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317.45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20,381,0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30,133,1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04.56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50,514,1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59.99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17.08%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295,802,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317.45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20,381,0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30,133,1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04.56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50,514,1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59.99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本期计提在建工程减值准备情况" w:id="295"/>
      <w:bookmarkEnd w:id="29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17、固定资产清理" w:id="296"/>
      <w:bookmarkEnd w:id="296"/>
      <w:r>
        <w:rPr>
          <w:b w:val="0"/>
          <w:bCs w:val="0"/>
        </w:rPr>
      </w:r>
      <w:r>
        <w:rPr>
          <w:rFonts w:ascii="Times New Roman" w:hAnsi="Times New Roman" w:cs="Times New Roman" w:eastAsia="Times New Roman" w:hint="default"/>
        </w:rPr>
        <w:t>17</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报告期不存在固定资产清理。</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18、无形资产" w:id="297"/>
      <w:bookmarkEnd w:id="297"/>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13" w:space="0" w:color="D2D2D2"/>
              <w:bottom w:val="single" w:sz="4" w:space="0" w:color="000000"/>
              <w:right w:val="single" w:sz="4" w:space="0" w:color="000000"/>
            </w:tcBorders>
            <w:shd w:val="clear" w:color="auto" w:fill="D0CECE"/>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1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21,307,433.90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28,454,005.38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96,548,074.82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162,929,514.10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1,478,535.11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17,784,665.65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39,867,200.76</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1,450,221.44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1,450,221.44</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17,784,665.65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17,784,665.65</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2" w:lineRule="auto" w:before="51"/>
              <w:ind w:left="11" w:right="1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28,313.67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20,632,313.67</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2" w:lineRule="auto" w:before="51"/>
              <w:ind w:left="11"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1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21,307,433.90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29,932,540.49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114,332,740.47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202,796,714.86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1,555,570.24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353,333.39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14,530,290.45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38,414,281.04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6,487,999.96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61,341,475.08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430,502.16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1,965,795.26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10,589,424.09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5,647,799.96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18,680,188.08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430,502.16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46,666.61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1,958,485.31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10,589,424.09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4,789,299.96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17,814,378.13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7,309.95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865,809.95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1,986,072.40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16,496,085.71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49,003,705.13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12,135,799.92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80,021,663.16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19,321,361.50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13,436,454.78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65,329,035.34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24,688,200.08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122,775,051.70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19,751,863.66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13,923,714.93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58,133,793.78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9,732,000.04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101,588,039.02</w:t>
            </w:r>
          </w:p>
        </w:tc>
      </w:tr>
    </w:tbl>
    <w:p>
      <w:pPr>
        <w:pStyle w:val="BodyText"/>
        <w:spacing w:line="240" w:lineRule="auto" w:before="51"/>
        <w:ind w:left="154" w:right="98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53.21%</w:t>
      </w:r>
      <w:r>
        <w:rPr/>
        <w:t>。</w:t>
      </w:r>
    </w:p>
    <w:p>
      <w:pPr>
        <w:spacing w:line="240" w:lineRule="auto" w:before="10"/>
        <w:rPr>
          <w:rFonts w:ascii="宋体" w:hAnsi="宋体" w:cs="宋体" w:eastAsia="宋体" w:hint="default"/>
          <w:sz w:val="25"/>
          <w:szCs w:val="25"/>
        </w:rPr>
      </w:pPr>
    </w:p>
    <w:p>
      <w:pPr>
        <w:pStyle w:val="Heading3"/>
        <w:spacing w:line="240" w:lineRule="auto"/>
        <w:ind w:left="153" w:right="983"/>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19、开发支出" w:id="300"/>
      <w:bookmarkEnd w:id="300"/>
      <w:r>
        <w:rPr>
          <w:b w:val="0"/>
          <w:bCs w:val="0"/>
        </w:rPr>
      </w:r>
      <w:r>
        <w:rPr>
          <w:rFonts w:ascii="Times New Roman" w:hAnsi="Times New Roman" w:cs="Times New Roman" w:eastAsia="Times New Roman" w:hint="default"/>
        </w:rPr>
        <w:t>19</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417"/>
        <w:gridCol w:w="1277"/>
        <w:gridCol w:w="1417"/>
        <w:gridCol w:w="1418"/>
        <w:gridCol w:w="1843"/>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关联交易一 本账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2,504,765.00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7,080,723.93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9,585,488.93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政府财务业 务一体化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2,215,041.98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5,984,134.74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8,199,176.72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下一代集团 管控平台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40,524,146.91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40,524,146.91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政企大数据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70,216,566.65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70,216,566.65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久其金建企 业集团管控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6,325,446.64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6,325,446.64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久其金建大 数据平台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2,968,232.82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2,968,232.82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基于大数据 的宏观经济 预测模型及 分析方法研 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1,069,430.92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1,069,430.92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06"/>
              <w:jc w:val="center"/>
              <w:rPr>
                <w:rFonts w:ascii="宋体" w:hAnsi="宋体" w:cs="宋体" w:eastAsia="宋体" w:hint="default"/>
                <w:sz w:val="18"/>
                <w:szCs w:val="18"/>
              </w:rPr>
            </w:pPr>
            <w:r>
              <w:rPr>
                <w:rFonts w:ascii="宋体" w:hAnsi="宋体" w:cs="宋体" w:eastAsia="宋体" w:hint="default"/>
                <w:sz w:val="18"/>
                <w:szCs w:val="18"/>
              </w:rPr>
              <w:t>大数据分析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3,575,839.86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3,575,839.86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媒体营销与 个性化推荐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2,240,840.07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2,240,840.07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面向大数据 的电子政务 应用平台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14,425,262.90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14,425,262.90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集团财务信 息管理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1,236,520.68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1,236,520.68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外商投资企 业财政登记 系统项目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1,325,712.37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1,325,712.37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点入研发平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11,258,605.82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11,258,605.82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06"/>
              <w:jc w:val="center"/>
              <w:rPr>
                <w:rFonts w:ascii="宋体" w:hAnsi="宋体" w:cs="宋体" w:eastAsia="宋体" w:hint="default"/>
                <w:sz w:val="18"/>
                <w:szCs w:val="18"/>
              </w:rPr>
            </w:pPr>
            <w:r>
              <w:rPr>
                <w:rFonts w:ascii="宋体" w:hAnsi="宋体" w:cs="宋体" w:eastAsia="宋体" w:hint="default"/>
                <w:sz w:val="18"/>
                <w:szCs w:val="18"/>
              </w:rPr>
              <w:t>法庭云平台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28,567,994.36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28,567,994.36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华夏信息编 解码系统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3,361,916.26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3,361,916.26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产品事业部 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3,131,683.71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3,131,683.71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417"/>
        <w:gridCol w:w="1277"/>
        <w:gridCol w:w="1417"/>
        <w:gridCol w:w="1418"/>
        <w:gridCol w:w="1843"/>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短信彩信消 息运营管理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14,343,325.29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14,343,325.29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随意通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移动互动平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6,881,247.05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6,881,247.05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移通短彩信 消息平台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15,518,806.65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15,518,806.65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久其企业管 理云服务平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3,882,382.19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3,882,382.19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司机驿站</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233,728.14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233,728.14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互联网应用 开发平台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1,669,628.51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1,669,628.51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4,719,806.98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245,822,176.47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17,784,665.65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232,757,317.80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both"/>
      </w:pPr>
      <w:r>
        <w:rPr/>
        <w:t>其他说明</w:t>
      </w:r>
    </w:p>
    <w:p>
      <w:pPr>
        <w:pStyle w:val="BodyText"/>
        <w:spacing w:line="300" w:lineRule="auto" w:before="116"/>
        <w:ind w:right="1132"/>
        <w:jc w:val="both"/>
      </w:pPr>
      <w:r>
        <w:rPr>
          <w:spacing w:val="10"/>
        </w:rPr>
        <w:t>公司</w:t>
      </w:r>
      <w:r>
        <w:rPr>
          <w:spacing w:val="-6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spacing w:val="10"/>
        </w:rPr>
        <w:t>年度</w:t>
      </w:r>
      <w:r>
        <w:rPr>
          <w:spacing w:val="-68"/>
        </w:rPr>
        <w:t> </w:t>
      </w:r>
      <w:r>
        <w:rPr>
          <w:spacing w:val="14"/>
        </w:rPr>
        <w:t>共发生</w:t>
      </w:r>
      <w:r>
        <w:rPr>
          <w:spacing w:val="-68"/>
        </w:rPr>
        <w:t> </w:t>
      </w:r>
      <w:r>
        <w:rPr>
          <w:spacing w:val="10"/>
        </w:rPr>
        <w:t>研究</w:t>
      </w:r>
      <w:r>
        <w:rPr>
          <w:spacing w:val="-68"/>
        </w:rPr>
        <w:t> </w:t>
      </w:r>
      <w:r>
        <w:rPr/>
        <w:t>开</w:t>
      </w:r>
      <w:r>
        <w:rPr>
          <w:spacing w:val="-68"/>
        </w:rPr>
        <w:t> </w:t>
      </w:r>
      <w:r>
        <w:rPr>
          <w:spacing w:val="10"/>
        </w:rPr>
        <w:t>发支</w:t>
      </w:r>
      <w:r>
        <w:rPr>
          <w:spacing w:val="-67"/>
        </w:rPr>
        <w:t> </w:t>
      </w:r>
      <w:r>
        <w:rPr/>
        <w:t>出</w:t>
      </w:r>
      <w:r>
        <w:rPr>
          <w:spacing w:val="-69"/>
        </w:rPr>
        <w:t> </w:t>
      </w:r>
      <w:r>
        <w:rPr>
          <w:rFonts w:ascii="Times New Roman" w:hAnsi="Times New Roman" w:cs="Times New Roman" w:eastAsia="Times New Roman" w:hint="default"/>
        </w:rPr>
        <w:t>245,822,176.47</w:t>
      </w:r>
      <w:r>
        <w:rPr>
          <w:rFonts w:ascii="Times New Roman" w:hAnsi="Times New Roman" w:cs="Times New Roman" w:eastAsia="Times New Roman" w:hint="default"/>
          <w:spacing w:val="-23"/>
        </w:rPr>
        <w:t> </w:t>
      </w:r>
      <w:r>
        <w:rPr>
          <w:spacing w:val="10"/>
        </w:rPr>
        <w:t>元，</w:t>
      </w:r>
      <w:r>
        <w:rPr>
          <w:spacing w:val="-69"/>
        </w:rPr>
        <w:t> </w:t>
      </w:r>
      <w:r>
        <w:rPr/>
        <w:t>其</w:t>
      </w:r>
      <w:r>
        <w:rPr>
          <w:spacing w:val="-68"/>
        </w:rPr>
        <w:t> </w:t>
      </w:r>
      <w:r>
        <w:rPr>
          <w:spacing w:val="14"/>
        </w:rPr>
        <w:t>中资本</w:t>
      </w:r>
      <w:r>
        <w:rPr>
          <w:spacing w:val="-68"/>
        </w:rPr>
        <w:t> </w:t>
      </w:r>
      <w:r>
        <w:rPr>
          <w:spacing w:val="10"/>
        </w:rPr>
        <w:t>化支</w:t>
      </w:r>
      <w:r>
        <w:rPr>
          <w:spacing w:val="-68"/>
        </w:rPr>
        <w:t> </w:t>
      </w:r>
      <w:r>
        <w:rPr/>
        <w:t>出</w:t>
      </w:r>
      <w:r>
        <w:rPr>
          <w:spacing w:val="-66"/>
        </w:rPr>
        <w:t> </w:t>
      </w:r>
      <w:r>
        <w:rPr>
          <w:rFonts w:ascii="Times New Roman" w:hAnsi="Times New Roman" w:cs="Times New Roman" w:eastAsia="Times New Roman" w:hint="default"/>
        </w:rPr>
        <w:t>13,064,858.67</w:t>
      </w:r>
      <w:r>
        <w:rPr>
          <w:rFonts w:ascii="Times New Roman" w:hAnsi="Times New Roman" w:cs="Times New Roman" w:eastAsia="Times New Roman" w:hint="default"/>
          <w:spacing w:val="-23"/>
        </w:rPr>
        <w:t> </w:t>
      </w:r>
      <w:r>
        <w:rPr>
          <w:spacing w:val="14"/>
        </w:rPr>
        <w:t>元计入</w:t>
      </w:r>
      <w:r>
        <w:rPr>
          <w:spacing w:val="-68"/>
        </w:rPr>
        <w:t> </w:t>
      </w:r>
      <w:r>
        <w:rPr>
          <w:spacing w:val="14"/>
        </w:rPr>
        <w:t>无形资</w:t>
      </w:r>
      <w:r>
        <w:rPr>
          <w:spacing w:val="-68"/>
        </w:rPr>
        <w:t> </w:t>
      </w:r>
      <w:r>
        <w:rPr>
          <w:spacing w:val="10"/>
        </w:rPr>
        <w:t>产，</w:t>
      </w:r>
      <w:r>
        <w:rPr>
          <w:spacing w:val="-69"/>
        </w:rPr>
        <w:t> </w:t>
      </w:r>
      <w:r>
        <w:rPr/>
        <w:t>费</w:t>
      </w:r>
      <w:r>
        <w:rPr>
          <w:spacing w:val="-68"/>
        </w:rPr>
        <w:t> </w:t>
      </w:r>
      <w:r>
        <w:rPr>
          <w:spacing w:val="14"/>
        </w:rPr>
        <w:t>用化支</w:t>
      </w:r>
      <w:r>
        <w:rPr>
          <w:spacing w:val="-68"/>
        </w:rPr>
        <w:t> </w:t>
      </w:r>
      <w:r>
        <w:rPr/>
        <w:t>出</w:t>
      </w:r>
      <w:r>
        <w:rPr/>
        <w:t> </w:t>
      </w:r>
      <w:r>
        <w:rPr>
          <w:rFonts w:ascii="Times New Roman" w:hAnsi="Times New Roman" w:cs="Times New Roman" w:eastAsia="Times New Roman" w:hint="default"/>
          <w:spacing w:val="-1"/>
        </w:rPr>
        <w:t>232,757,317.80</w:t>
      </w:r>
      <w:r>
        <w:rPr>
          <w:spacing w:val="-1"/>
        </w:rPr>
        <w:t>元计入管理费用。本期资本化支出占本期研究开发项目支出总额的比例为</w:t>
      </w:r>
      <w:r>
        <w:rPr>
          <w:rFonts w:ascii="Times New Roman" w:hAnsi="Times New Roman" w:cs="Times New Roman" w:eastAsia="Times New Roman" w:hint="default"/>
          <w:spacing w:val="-1"/>
        </w:rPr>
        <w:t>5.31%</w:t>
      </w:r>
      <w:r>
        <w:rPr>
          <w:spacing w:val="-1"/>
        </w:rPr>
        <w:t>，期末无形资产中通过公司内</w:t>
      </w:r>
      <w:r>
        <w:rPr>
          <w:spacing w:val="-82"/>
        </w:rPr>
        <w:t> </w:t>
      </w:r>
      <w:r>
        <w:rPr>
          <w:spacing w:val="-82"/>
        </w:rPr>
      </w:r>
      <w:r>
        <w:rPr/>
        <w:t>部研发形成的无形资产占无形资产账面价值的比例</w:t>
      </w:r>
      <w:r>
        <w:rPr>
          <w:rFonts w:ascii="Times New Roman" w:hAnsi="Times New Roman" w:cs="Times New Roman" w:eastAsia="Times New Roman" w:hint="default"/>
        </w:rPr>
        <w:t>53.21%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3" w:right="0"/>
        <w:jc w:val="both"/>
        <w:rPr>
          <w:b w:val="0"/>
          <w:bCs w:val="0"/>
        </w:rPr>
      </w:pPr>
      <w:bookmarkStart w:name="20、商誉" w:id="301"/>
      <w:bookmarkEnd w:id="301"/>
      <w:r>
        <w:rPr>
          <w:b w:val="0"/>
          <w:bCs w:val="0"/>
        </w:rPr>
      </w:r>
      <w:r>
        <w:rPr>
          <w:rFonts w:ascii="Times New Roman" w:hAnsi="Times New Roman" w:cs="Times New Roman" w:eastAsia="Times New Roman" w:hint="default"/>
        </w:rPr>
        <w:t>20</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863"/>
        <w:gridCol w:w="1843"/>
        <w:gridCol w:w="1843"/>
        <w:gridCol w:w="1298"/>
        <w:gridCol w:w="1848"/>
      </w:tblGrid>
      <w:tr>
        <w:trPr>
          <w:trHeight w:val="401" w:hRule="exact"/>
        </w:trPr>
        <w:tc>
          <w:tcPr>
            <w:tcW w:w="2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2" w:hRule="exact"/>
        </w:trPr>
        <w:tc>
          <w:tcPr>
            <w:tcW w:w="2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446,246,013.63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446,246,013.63</w:t>
            </w:r>
          </w:p>
        </w:tc>
      </w:tr>
      <w:tr>
        <w:trPr>
          <w:trHeight w:val="402" w:hRule="exact"/>
        </w:trPr>
        <w:tc>
          <w:tcPr>
            <w:tcW w:w="2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407,462,912.20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407,462,912.20</w:t>
            </w:r>
          </w:p>
        </w:tc>
      </w:tr>
      <w:tr>
        <w:trPr>
          <w:trHeight w:val="402" w:hRule="exact"/>
        </w:trPr>
        <w:tc>
          <w:tcPr>
            <w:tcW w:w="2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177,261,216.67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177,261,216.67</w:t>
            </w:r>
          </w:p>
        </w:tc>
      </w:tr>
      <w:tr>
        <w:trPr>
          <w:trHeight w:val="402" w:hRule="exact"/>
        </w:trPr>
        <w:tc>
          <w:tcPr>
            <w:tcW w:w="2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647,660,396.82</w:t>
            </w:r>
          </w:p>
        </w:tc>
      </w:tr>
      <w:tr>
        <w:trPr>
          <w:trHeight w:val="403" w:hRule="exact"/>
        </w:trPr>
        <w:tc>
          <w:tcPr>
            <w:tcW w:w="2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1,033,371,142.50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1,681,031,539.32</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21" w:type="dxa"/>
        <w:tblLayout w:type="fixed"/>
        <w:tblCellMar>
          <w:top w:w="0" w:type="dxa"/>
          <w:left w:w="0" w:type="dxa"/>
          <w:bottom w:w="0" w:type="dxa"/>
          <w:right w:w="0" w:type="dxa"/>
        </w:tblCellMar>
        <w:tblLook w:val="01E0"/>
      </w:tblPr>
      <w:tblGrid>
        <w:gridCol w:w="2864"/>
        <w:gridCol w:w="1984"/>
        <w:gridCol w:w="1846"/>
        <w:gridCol w:w="1065"/>
        <w:gridCol w:w="1937"/>
      </w:tblGrid>
      <w:tr>
        <w:trPr>
          <w:trHeight w:val="401" w:hRule="exact"/>
        </w:trPr>
        <w:tc>
          <w:tcPr>
            <w:tcW w:w="28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98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4" w:hRule="exact"/>
        </w:trPr>
        <w:tc>
          <w:tcPr>
            <w:tcW w:w="28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r>
    </w:tbl>
    <w:p>
      <w:pPr>
        <w:pStyle w:val="BodyText"/>
        <w:spacing w:line="240" w:lineRule="auto" w:before="51"/>
        <w:ind w:left="154" w:right="983"/>
        <w:jc w:val="left"/>
      </w:pPr>
      <w:r>
        <w:rPr/>
        <w:t>说明商誉减值测试过程、参数及商誉减值损失的确认方法：</w:t>
      </w:r>
    </w:p>
    <w:p>
      <w:pPr>
        <w:pStyle w:val="BodyText"/>
        <w:spacing w:line="300" w:lineRule="auto" w:before="115"/>
        <w:ind w:right="1123"/>
        <w:jc w:val="left"/>
      </w:pPr>
      <w:r>
        <w:rPr>
          <w:rFonts w:ascii="Times New Roman" w:hAnsi="Times New Roman" w:cs="Times New Roman" w:eastAsia="Times New Roman" w:hint="default"/>
        </w:rPr>
        <w:t>1</w:t>
      </w:r>
      <w:r>
        <w:rPr/>
        <w:t>、根据公司管理层预测，公司对控股子公司北京久其智通数据科技有限公司未来发展方向进行战略性调整，对其全额计提 商誉减值，减值金额</w:t>
      </w:r>
      <w:r>
        <w:rPr>
          <w:rFonts w:ascii="Times New Roman" w:hAnsi="Times New Roman" w:cs="Times New Roman" w:eastAsia="Times New Roman" w:hint="default"/>
        </w:rPr>
        <w:t>2,401,000.00</w:t>
      </w:r>
      <w:r>
        <w:rPr/>
        <w:t>元。 </w:t>
      </w:r>
      <w:r>
        <w:rPr>
          <w:rFonts w:ascii="Times New Roman" w:hAnsi="Times New Roman" w:cs="Times New Roman" w:eastAsia="Times New Roman" w:hint="default"/>
        </w:rPr>
        <w:t>2</w:t>
      </w:r>
      <w:r>
        <w:rPr/>
        <w:t>、公司因收购北京亿起联科技有限公司</w:t>
      </w:r>
      <w:r>
        <w:rPr>
          <w:rFonts w:ascii="Times New Roman" w:hAnsi="Times New Roman" w:cs="Times New Roman" w:eastAsia="Times New Roman" w:hint="default"/>
        </w:rPr>
        <w:t>100%</w:t>
      </w:r>
      <w:r>
        <w:rPr/>
        <w:t>股权并配套募集资金，于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月增发</w:t>
      </w:r>
      <w:r>
        <w:rPr>
          <w:rFonts w:ascii="Times New Roman" w:hAnsi="Times New Roman" w:cs="Times New Roman" w:eastAsia="Times New Roman" w:hint="default"/>
        </w:rPr>
        <w:t>22,403,432.00</w:t>
      </w:r>
      <w:r>
        <w:rPr/>
        <w:t>股股份，每股发行价格</w:t>
      </w:r>
    </w:p>
    <w:p>
      <w:pPr>
        <w:pStyle w:val="BodyText"/>
        <w:spacing w:line="302" w:lineRule="auto" w:before="13"/>
        <w:ind w:right="1041"/>
        <w:jc w:val="left"/>
      </w:pPr>
      <w:r>
        <w:rPr>
          <w:rFonts w:ascii="Times New Roman" w:hAnsi="Times New Roman" w:cs="Times New Roman" w:eastAsia="Times New Roman" w:hint="default"/>
        </w:rPr>
        <w:t>23.30</w:t>
      </w:r>
      <w:r>
        <w:rPr/>
        <w:t>元。收购交易总金额为</w:t>
      </w:r>
      <w:r>
        <w:rPr>
          <w:rFonts w:ascii="Times New Roman" w:hAnsi="Times New Roman" w:cs="Times New Roman" w:eastAsia="Times New Roman" w:hint="default"/>
        </w:rPr>
        <w:t>48,000</w:t>
      </w:r>
      <w:r>
        <w:rPr/>
        <w:t>万元，其中</w:t>
      </w:r>
      <w:r>
        <w:rPr>
          <w:rFonts w:ascii="Times New Roman" w:hAnsi="Times New Roman" w:cs="Times New Roman" w:eastAsia="Times New Roman" w:hint="default"/>
        </w:rPr>
        <w:t>38,400</w:t>
      </w:r>
      <w:r>
        <w:rPr/>
        <w:t>万元以发行股份方式支付，占全部交易总额的</w:t>
      </w:r>
      <w:r>
        <w:rPr>
          <w:rFonts w:ascii="Times New Roman" w:hAnsi="Times New Roman" w:cs="Times New Roman" w:eastAsia="Times New Roman" w:hint="default"/>
        </w:rPr>
        <w:t>80%</w:t>
      </w:r>
      <w:r>
        <w:rPr/>
        <w:t>，现金支付对价</w:t>
      </w:r>
      <w:r>
        <w:rPr>
          <w:rFonts w:ascii="Times New Roman" w:hAnsi="Times New Roman" w:cs="Times New Roman" w:eastAsia="Times New Roman" w:hint="default"/>
        </w:rPr>
        <w:t>9,600 </w:t>
      </w:r>
      <w:r>
        <w:rPr/>
        <w:t>万元。本次收购经中通诚资产评估有限公司评估，出具了中通评报字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327</w:t>
      </w:r>
      <w:r>
        <w:rPr/>
        <w:t>号资产评估报告，合并成本超过北京亿起 </w:t>
      </w:r>
      <w:r>
        <w:rPr>
          <w:spacing w:val="-1"/>
        </w:rPr>
        <w:t>联科技有限公司可辨认资产、负债公允价值的差额人民币</w:t>
      </w:r>
      <w:r>
        <w:rPr>
          <w:rFonts w:ascii="Times New Roman" w:hAnsi="Times New Roman" w:cs="Times New Roman" w:eastAsia="Times New Roman" w:hint="default"/>
          <w:spacing w:val="-1"/>
        </w:rPr>
        <w:t>446,246,013.63</w:t>
      </w:r>
      <w:r>
        <w:rPr>
          <w:spacing w:val="-1"/>
        </w:rPr>
        <w:t>元，确认为与北京亿起联科技有限公司相关的商誉。</w:t>
      </w:r>
      <w:r>
        <w:rPr>
          <w:spacing w:val="-68"/>
        </w:rPr>
        <w:t> </w:t>
      </w:r>
      <w:r>
        <w:rPr>
          <w:spacing w:val="-68"/>
        </w:rPr>
      </w:r>
      <w:r>
        <w:rPr/>
        <w:t>经立信会计师事务所（特殊普通合伙）审计，</w:t>
      </w:r>
      <w:r>
        <w:rPr>
          <w:rFonts w:ascii="Times New Roman" w:hAnsi="Times New Roman" w:cs="Times New Roman" w:eastAsia="Times New Roman" w:hint="default"/>
        </w:rPr>
        <w:t>2017</w:t>
      </w:r>
      <w:r>
        <w:rPr/>
        <w:t>年度扣非后净利润为</w:t>
      </w:r>
      <w:r>
        <w:rPr>
          <w:rFonts w:ascii="Times New Roman" w:hAnsi="Times New Roman" w:cs="Times New Roman" w:eastAsia="Times New Roman" w:hint="default"/>
        </w:rPr>
        <w:t>8,365.61</w:t>
      </w:r>
      <w:r>
        <w:rPr/>
        <w:t>万元，</w:t>
      </w:r>
      <w:r>
        <w:rPr>
          <w:rFonts w:ascii="Times New Roman" w:hAnsi="Times New Roman" w:cs="Times New Roman" w:eastAsia="Times New Roman" w:hint="default"/>
        </w:rPr>
        <w:t>2017</w:t>
      </w:r>
      <w:r>
        <w:rPr/>
        <w:t>年度业绩承诺为扣非后净利润 </w:t>
      </w:r>
      <w:r>
        <w:rPr>
          <w:rFonts w:ascii="Times New Roman" w:hAnsi="Times New Roman" w:cs="Times New Roman" w:eastAsia="Times New Roman" w:hint="default"/>
        </w:rPr>
        <w:t>8,430.00</w:t>
      </w:r>
      <w:r>
        <w:rPr/>
        <w:t>万元，根据原股东与久其软件签订的《现金及发行股份购买资产业绩承诺与补偿协议》，未达到业绩承诺部分将由 原股东以其持有的久其软件股份进行补偿，交易对方向公司支付的补偿总额</w:t>
      </w:r>
      <w:r>
        <w:rPr>
          <w:rFonts w:ascii="Times New Roman" w:hAnsi="Times New Roman" w:cs="Times New Roman" w:eastAsia="Times New Roman" w:hint="default"/>
        </w:rPr>
        <w:t>=</w:t>
      </w:r>
      <w:r>
        <w:rPr/>
        <w:t>已补偿的股份数量（不含公司实施送股、资本 公积转增股本、分红派息等事项而相应产生的新增股份或利益）</w:t>
      </w:r>
      <w:r>
        <w:rPr>
          <w:rFonts w:ascii="Times New Roman" w:hAnsi="Times New Roman" w:cs="Times New Roman" w:eastAsia="Times New Roman" w:hint="default"/>
        </w:rPr>
        <w:t>×</w:t>
      </w:r>
      <w:r>
        <w:rPr/>
        <w:t>公司向交易对方发行股份价格</w:t>
      </w:r>
      <w:r>
        <w:rPr>
          <w:rFonts w:ascii="Times New Roman" w:hAnsi="Times New Roman" w:cs="Times New Roman" w:eastAsia="Times New Roman" w:hint="default"/>
        </w:rPr>
        <w:t>+</w:t>
      </w:r>
      <w:r>
        <w:rPr/>
        <w:t>已补偿的现金。经减值测 试，涉及北京亿起联科技有限公司的商誉不存在减值的情况。 </w:t>
      </w:r>
      <w:r>
        <w:rPr>
          <w:rFonts w:ascii="Times New Roman" w:hAnsi="Times New Roman" w:cs="Times New Roman" w:eastAsia="Times New Roman" w:hint="default"/>
        </w:rPr>
        <w:t>3</w:t>
      </w:r>
      <w:r>
        <w:rPr/>
        <w:t>、公司因收购北京华夏电通科技有限公司</w:t>
      </w:r>
      <w:r>
        <w:rPr>
          <w:rFonts w:ascii="Times New Roman" w:hAnsi="Times New Roman" w:cs="Times New Roman" w:eastAsia="Times New Roman" w:hint="default"/>
        </w:rPr>
        <w:t>100%</w:t>
      </w:r>
      <w:r>
        <w:rPr/>
        <w:t>股权并配套募集资金，于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月增发股票</w:t>
      </w:r>
      <w:r>
        <w:rPr>
          <w:rFonts w:ascii="Times New Roman" w:hAnsi="Times New Roman" w:cs="Times New Roman" w:eastAsia="Times New Roman" w:hint="default"/>
        </w:rPr>
        <w:t>18,785,940.00</w:t>
      </w:r>
      <w:r>
        <w:rPr/>
        <w:t>股，收购交易总 </w:t>
      </w:r>
      <w:r>
        <w:rPr>
          <w:spacing w:val="-1"/>
        </w:rPr>
        <w:t>对价为</w:t>
      </w:r>
      <w:r>
        <w:rPr>
          <w:rFonts w:ascii="Times New Roman" w:hAnsi="Times New Roman" w:cs="Times New Roman" w:eastAsia="Times New Roman" w:hint="default"/>
          <w:spacing w:val="-1"/>
        </w:rPr>
        <w:t>60,000</w:t>
      </w:r>
      <w:r>
        <w:rPr>
          <w:spacing w:val="-1"/>
        </w:rPr>
        <w:t>万元，其中以发行</w:t>
      </w:r>
      <w:r>
        <w:rPr>
          <w:rFonts w:ascii="Times New Roman" w:hAnsi="Times New Roman" w:cs="Times New Roman" w:eastAsia="Times New Roman" w:hint="default"/>
          <w:spacing w:val="-1"/>
        </w:rPr>
        <w:t>15,987,437.00</w:t>
      </w:r>
      <w:r>
        <w:rPr>
          <w:spacing w:val="-1"/>
        </w:rPr>
        <w:t>股股份支付对价</w:t>
      </w:r>
      <w:r>
        <w:rPr>
          <w:rFonts w:ascii="Times New Roman" w:hAnsi="Times New Roman" w:cs="Times New Roman" w:eastAsia="Times New Roman" w:hint="default"/>
          <w:spacing w:val="-1"/>
        </w:rPr>
        <w:t>51,000</w:t>
      </w:r>
      <w:r>
        <w:rPr>
          <w:spacing w:val="-1"/>
        </w:rPr>
        <w:t>万元，每股发行价格</w:t>
      </w:r>
      <w:r>
        <w:rPr>
          <w:rFonts w:ascii="Times New Roman" w:hAnsi="Times New Roman" w:cs="Times New Roman" w:eastAsia="Times New Roman" w:hint="default"/>
          <w:spacing w:val="-1"/>
        </w:rPr>
        <w:t>31.90</w:t>
      </w:r>
      <w:r>
        <w:rPr>
          <w:spacing w:val="-1"/>
        </w:rPr>
        <w:t>元，占全部交易总额比例</w:t>
      </w:r>
      <w:r>
        <w:rPr>
          <w:rFonts w:ascii="Times New Roman" w:hAnsi="Times New Roman" w:cs="Times New Roman" w:eastAsia="Times New Roman" w:hint="default"/>
          <w:spacing w:val="-1"/>
        </w:rPr>
        <w:t>85%</w:t>
      </w:r>
      <w:r>
        <w:rPr>
          <w:spacing w:val="-1"/>
        </w:rPr>
        <w:t>；</w:t>
      </w:r>
      <w:r>
        <w:rPr>
          <w:spacing w:val="-77"/>
        </w:rPr>
        <w:t> </w:t>
      </w:r>
      <w:r>
        <w:rPr/>
        <w:t>现金交易对价</w:t>
      </w:r>
      <w:r>
        <w:rPr>
          <w:rFonts w:ascii="Times New Roman" w:hAnsi="Times New Roman" w:cs="Times New Roman" w:eastAsia="Times New Roman" w:hint="default"/>
        </w:rPr>
        <w:t>9,000</w:t>
      </w:r>
      <w:r>
        <w:rPr/>
        <w:t>万元，占全部交易总额比例</w:t>
      </w:r>
      <w:r>
        <w:rPr>
          <w:rFonts w:ascii="Times New Roman" w:hAnsi="Times New Roman" w:cs="Times New Roman" w:eastAsia="Times New Roman" w:hint="default"/>
        </w:rPr>
        <w:t>15%</w:t>
      </w:r>
      <w:r>
        <w:rPr/>
        <w:t>，现金部分以发行</w:t>
      </w:r>
      <w:r>
        <w:rPr>
          <w:rFonts w:ascii="Times New Roman" w:hAnsi="Times New Roman" w:cs="Times New Roman" w:eastAsia="Times New Roman" w:hint="default"/>
        </w:rPr>
        <w:t>2,798,503.00</w:t>
      </w:r>
      <w:r>
        <w:rPr/>
        <w:t>股股份方式募集，每股发行价格</w:t>
      </w:r>
      <w:r>
        <w:rPr>
          <w:rFonts w:ascii="Times New Roman" w:hAnsi="Times New Roman" w:cs="Times New Roman" w:eastAsia="Times New Roman" w:hint="default"/>
        </w:rPr>
        <w:t>32.16</w:t>
      </w:r>
      <w:r>
        <w:rPr/>
        <w:t>元。</w:t>
      </w:r>
      <w:r>
        <w:rPr>
          <w:spacing w:val="1"/>
        </w:rPr>
        <w:t> </w:t>
      </w:r>
      <w:r>
        <w:rPr/>
        <w:t>本次收购经中通诚资产评估有限公司评估，出具了中通评报字</w:t>
      </w:r>
      <w:r>
        <w:rPr>
          <w:rFonts w:ascii="Times New Roman" w:hAnsi="Times New Roman" w:cs="Times New Roman" w:eastAsia="Times New Roman" w:hint="default"/>
        </w:rPr>
        <w:t>[2015]115</w:t>
      </w:r>
      <w:r>
        <w:rPr/>
        <w:t>号资产评估报告，合并成本超过北京华夏电通科技 有限公司可辨认资产、负债公允价值的差额人民币</w:t>
      </w:r>
      <w:r>
        <w:rPr>
          <w:rFonts w:ascii="Times New Roman" w:hAnsi="Times New Roman" w:cs="Times New Roman" w:eastAsia="Times New Roman" w:hint="default"/>
        </w:rPr>
        <w:t>407,462,912.20</w:t>
      </w:r>
      <w:r>
        <w:rPr/>
        <w:t>元，确认为与北京华夏电通科技有限公司相关的商誉。北 京华夏电通科技有限公司</w:t>
      </w:r>
      <w:r>
        <w:rPr>
          <w:rFonts w:ascii="Times New Roman" w:hAnsi="Times New Roman" w:cs="Times New Roman" w:eastAsia="Times New Roman" w:hint="default"/>
        </w:rPr>
        <w:t>2017</w:t>
      </w:r>
      <w:r>
        <w:rPr/>
        <w:t>年度达到业绩预期。经减值测试，涉及北京华夏电通科技有限公司的商誉不存在减值的情况。 </w:t>
      </w:r>
      <w:r>
        <w:rPr>
          <w:rFonts w:ascii="Times New Roman" w:hAnsi="Times New Roman" w:cs="Times New Roman" w:eastAsia="Times New Roman" w:hint="default"/>
        </w:rPr>
        <w:t>4</w:t>
      </w:r>
      <w:r>
        <w:rPr/>
        <w:t>、公司收购北京瑞意恒动科技有限公司</w:t>
      </w:r>
      <w:r>
        <w:rPr>
          <w:rFonts w:ascii="Times New Roman" w:hAnsi="Times New Roman" w:cs="Times New Roman" w:eastAsia="Times New Roman" w:hint="default"/>
        </w:rPr>
        <w:t>20,500</w:t>
      </w:r>
      <w:r>
        <w:rPr/>
        <w:t>万元，现金支付对价</w:t>
      </w:r>
      <w:r>
        <w:rPr>
          <w:rFonts w:ascii="Times New Roman" w:hAnsi="Times New Roman" w:cs="Times New Roman" w:eastAsia="Times New Roman" w:hint="default"/>
        </w:rPr>
        <w:t>20,500</w:t>
      </w:r>
      <w:r>
        <w:rPr/>
        <w:t>万元，支付占全部交易总额比例</w:t>
      </w:r>
      <w:r>
        <w:rPr>
          <w:rFonts w:ascii="Times New Roman" w:hAnsi="Times New Roman" w:cs="Times New Roman" w:eastAsia="Times New Roman" w:hint="default"/>
        </w:rPr>
        <w:t>100%</w:t>
      </w:r>
      <w:r>
        <w:rPr/>
        <w:t>，合并成本 超过购买日可辨认资产、负债公允价值</w:t>
      </w:r>
      <w:r>
        <w:rPr>
          <w:rFonts w:ascii="Times New Roman" w:hAnsi="Times New Roman" w:cs="Times New Roman" w:eastAsia="Times New Roman" w:hint="default"/>
        </w:rPr>
        <w:t>177,261,216.67</w:t>
      </w:r>
      <w:r>
        <w:rPr/>
        <w:t>元确认为商誉。北京瑞意恒动科技有限公司</w:t>
      </w:r>
      <w:r>
        <w:rPr>
          <w:rFonts w:ascii="Times New Roman" w:hAnsi="Times New Roman" w:cs="Times New Roman" w:eastAsia="Times New Roman" w:hint="default"/>
        </w:rPr>
        <w:t>2017</w:t>
      </w:r>
      <w:r>
        <w:rPr/>
        <w:t>年度达到业绩预期， 经减值测试，不存在商誉减值情况。 </w:t>
      </w:r>
      <w:r>
        <w:rPr>
          <w:rFonts w:ascii="Times New Roman" w:hAnsi="Times New Roman" w:cs="Times New Roman" w:eastAsia="Times New Roman" w:hint="default"/>
        </w:rPr>
        <w:t>5</w:t>
      </w:r>
      <w:r>
        <w:rPr/>
        <w:t>、公司因现金收购上海移通网络有限公司（以下简称</w:t>
      </w:r>
      <w:r>
        <w:rPr>
          <w:rFonts w:ascii="Times New Roman" w:hAnsi="Times New Roman" w:cs="Times New Roman" w:eastAsia="Times New Roman" w:hint="default"/>
        </w:rPr>
        <w:t>“</w:t>
      </w:r>
      <w:r>
        <w:rPr/>
        <w:t>上海移通</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股权，交易标的总作价</w:t>
      </w:r>
      <w:r>
        <w:rPr>
          <w:rFonts w:ascii="Times New Roman" w:hAnsi="Times New Roman" w:cs="Times New Roman" w:eastAsia="Times New Roman" w:hint="default"/>
        </w:rPr>
        <w:t>145,000.00</w:t>
      </w:r>
      <w:r>
        <w:rPr/>
        <w:t>万元，其中上海移 通</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144,000.00</w:t>
      </w:r>
      <w:r>
        <w:rPr/>
        <w:t>万元，上海移通收购上海恒瑞</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1,000.00</w:t>
      </w:r>
      <w:r>
        <w:rPr/>
        <w:t>万元。本次收购经银信资产评估有限公司评 估，出具了银信评报字</w:t>
      </w:r>
      <w:r>
        <w:rPr>
          <w:rFonts w:ascii="Times New Roman" w:hAnsi="Times New Roman" w:cs="Times New Roman" w:eastAsia="Times New Roman" w:hint="default"/>
        </w:rPr>
        <w:t>[2017]</w:t>
      </w:r>
      <w:r>
        <w:rPr/>
        <w:t>沪第</w:t>
      </w:r>
      <w:r>
        <w:rPr>
          <w:rFonts w:ascii="Times New Roman" w:hAnsi="Times New Roman" w:cs="Times New Roman" w:eastAsia="Times New Roman" w:hint="default"/>
        </w:rPr>
        <w:t>0030</w:t>
      </w:r>
      <w:r>
        <w:rPr/>
        <w:t>号《资产评估报告》，合并成本超过上海移通网络有限公司可辨认资产、负债公允价 值的差额人民币</w:t>
      </w:r>
      <w:r>
        <w:rPr>
          <w:rFonts w:ascii="Times New Roman" w:hAnsi="Times New Roman" w:cs="Times New Roman" w:eastAsia="Times New Roman" w:hint="default"/>
        </w:rPr>
        <w:t>647,660,396.82</w:t>
      </w:r>
      <w:r>
        <w:rPr/>
        <w:t>元，确认为与上海移通网络有限公司相关的商誉。经立信会计师事务所（特殊普通合伙）审 </w:t>
      </w:r>
      <w:r>
        <w:rPr>
          <w:spacing w:val="-2"/>
        </w:rPr>
        <w:t>计，</w:t>
      </w:r>
      <w:r>
        <w:rPr>
          <w:rFonts w:ascii="Times New Roman" w:hAnsi="Times New Roman" w:cs="Times New Roman" w:eastAsia="Times New Roman" w:hint="default"/>
          <w:spacing w:val="-2"/>
        </w:rPr>
        <w:t>2017</w:t>
      </w:r>
      <w:r>
        <w:rPr>
          <w:spacing w:val="-2"/>
        </w:rPr>
        <w:t>年度扣非后净利润为</w:t>
      </w:r>
      <w:r>
        <w:rPr>
          <w:rFonts w:ascii="Times New Roman" w:hAnsi="Times New Roman" w:cs="Times New Roman" w:eastAsia="Times New Roman" w:hint="default"/>
          <w:spacing w:val="-2"/>
        </w:rPr>
        <w:t>10,115.12</w:t>
      </w:r>
      <w:r>
        <w:rPr>
          <w:spacing w:val="-2"/>
        </w:rPr>
        <w:t>万元，</w:t>
      </w:r>
      <w:r>
        <w:rPr>
          <w:rFonts w:ascii="Times New Roman" w:hAnsi="Times New Roman" w:cs="Times New Roman" w:eastAsia="Times New Roman" w:hint="default"/>
          <w:spacing w:val="-2"/>
        </w:rPr>
        <w:t>2017</w:t>
      </w:r>
      <w:r>
        <w:rPr>
          <w:spacing w:val="-2"/>
        </w:rPr>
        <w:t>年度业绩承诺为扣非后净利润</w:t>
      </w:r>
      <w:r>
        <w:rPr>
          <w:rFonts w:ascii="Times New Roman" w:hAnsi="Times New Roman" w:cs="Times New Roman" w:eastAsia="Times New Roman" w:hint="default"/>
          <w:spacing w:val="-2"/>
        </w:rPr>
        <w:t>10,400.00</w:t>
      </w:r>
      <w:r>
        <w:rPr>
          <w:spacing w:val="-2"/>
        </w:rPr>
        <w:t>万元，根据原股东与久其软件签订</w:t>
      </w:r>
      <w:r>
        <w:rPr>
          <w:spacing w:val="-42"/>
        </w:rPr>
        <w:t> </w:t>
      </w:r>
      <w:r>
        <w:rPr>
          <w:spacing w:val="-42"/>
        </w:rPr>
      </w:r>
      <w:r>
        <w:rPr/>
        <w:t>的收购协议，未达到业绩承诺部分将由原股东以现金进行补偿，交易对方向公司支付的补偿总额</w:t>
      </w:r>
      <w:r>
        <w:rPr>
          <w:rFonts w:ascii="Times New Roman" w:hAnsi="Times New Roman" w:cs="Times New Roman" w:eastAsia="Times New Roman" w:hint="default"/>
        </w:rPr>
        <w:t>=</w:t>
      </w:r>
      <w:r>
        <w:rPr/>
        <w:t>截至当年年末累积承诺金 额</w:t>
      </w:r>
      <w:r>
        <w:rPr>
          <w:rFonts w:ascii="Times New Roman" w:hAnsi="Times New Roman" w:cs="Times New Roman" w:eastAsia="Times New Roman" w:hint="default"/>
        </w:rPr>
        <w:t>-</w:t>
      </w:r>
      <w:r>
        <w:rPr/>
        <w:t>截至当年年末累积实现金额</w:t>
      </w:r>
      <w:r>
        <w:rPr>
          <w:rFonts w:ascii="Times New Roman" w:hAnsi="Times New Roman" w:cs="Times New Roman" w:eastAsia="Times New Roman" w:hint="default"/>
        </w:rPr>
        <w:t>-</w:t>
      </w:r>
      <w:r>
        <w:rPr/>
        <w:t>截至当年年末累积已补偿金额，上海移通网络有限公司</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t>年度累计实现的扣非后净 </w:t>
      </w:r>
      <w:r>
        <w:rPr>
          <w:spacing w:val="-2"/>
        </w:rPr>
        <w:t>利润高于累计承诺金额。同时，上海移通网络有限公司对</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年度经营业绩预测符合预期，经减值测试，不存在</w:t>
      </w:r>
      <w:r>
        <w:rPr>
          <w:spacing w:val="-58"/>
        </w:rPr>
        <w:t> </w:t>
      </w:r>
      <w:r>
        <w:rPr>
          <w:spacing w:val="-58"/>
        </w:rPr>
      </w:r>
      <w:r>
        <w:rPr/>
        <w:t>商誉减值情况。</w:t>
      </w:r>
    </w:p>
    <w:p>
      <w:pPr>
        <w:spacing w:line="240" w:lineRule="auto" w:before="4"/>
        <w:rPr>
          <w:rFonts w:ascii="宋体" w:hAnsi="宋体" w:cs="宋体" w:eastAsia="宋体" w:hint="default"/>
          <w:sz w:val="23"/>
          <w:szCs w:val="23"/>
        </w:rPr>
      </w:pPr>
    </w:p>
    <w:p>
      <w:pPr>
        <w:pStyle w:val="Heading3"/>
        <w:spacing w:line="240" w:lineRule="auto"/>
        <w:ind w:right="983"/>
        <w:jc w:val="left"/>
        <w:rPr>
          <w:b w:val="0"/>
          <w:bCs w:val="0"/>
        </w:rPr>
      </w:pPr>
      <w:bookmarkStart w:name="21、长期待摊费用" w:id="304"/>
      <w:bookmarkEnd w:id="304"/>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4,544,889.22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137,297.73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787,936.79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3,894,250.16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260,032.67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1,244,968.42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538,507.92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966,493.17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宽带及服务器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218,762.26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98,279.48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158,490.56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9,110.19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19,686.41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4,853,505.89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1,613,557.47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1,444,410.60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5,022,652.76</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2、递延所得税资产/递延所得税负债" w:id="305"/>
      <w:bookmarkEnd w:id="305"/>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16,359,908.24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1,809,091.30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12,946,623.40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1,720,161.39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4,473,120.90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447,312.09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278,903.07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41,835.46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13,741,137.46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1,374,113.75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17,984,619.46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1,798,461.95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34,574,166.60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3,630,517.14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31,210,145.93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3,560,458.80</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18,200,200.00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2,730,030.00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2,730,030.00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42,775.45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42,775.45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23、短期借款" w:id="311"/>
      <w:bookmarkEnd w:id="311"/>
      <w:r>
        <w:rPr>
          <w:b w:val="0"/>
          <w:bCs w:val="0"/>
        </w:rPr>
      </w:r>
      <w:r>
        <w:rPr>
          <w:rFonts w:ascii="Times New Roman" w:hAnsi="Times New Roman" w:cs="Times New Roman" w:eastAsia="Times New Roman" w:hint="default"/>
        </w:rPr>
        <w:t>23</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短期借款分类" w:id="312"/>
      <w:bookmarkEnd w:id="31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185,825,300.00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80,374,800.00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185,825,300.00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80,424,800.00</w:t>
            </w:r>
          </w:p>
        </w:tc>
      </w:tr>
    </w:tbl>
    <w:p>
      <w:pPr>
        <w:pStyle w:val="BodyText"/>
        <w:spacing w:line="240" w:lineRule="auto" w:before="51"/>
        <w:ind w:left="154" w:right="0"/>
        <w:jc w:val="both"/>
      </w:pPr>
      <w:r>
        <w:rPr/>
        <w:t>短期借款分类的说明：</w:t>
      </w:r>
    </w:p>
    <w:p>
      <w:pPr>
        <w:pStyle w:val="BodyText"/>
        <w:spacing w:line="300" w:lineRule="auto" w:before="116"/>
        <w:ind w:right="983"/>
        <w:jc w:val="left"/>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日与新加坡华侨银行签订授信函条款补充协议，原于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日到期的</w:t>
      </w:r>
      <w:r>
        <w:rPr>
          <w:rFonts w:ascii="Times New Roman" w:hAnsi="Times New Roman" w:cs="Times New Roman" w:eastAsia="Times New Roman" w:hint="default"/>
        </w:rPr>
        <w:t>11,000,000.00</w:t>
      </w:r>
      <w:r>
        <w:rPr/>
        <w:t>欧元展</w:t>
      </w:r>
      <w:r>
        <w:rPr>
          <w:spacing w:val="-47"/>
        </w:rPr>
        <w:t> </w:t>
      </w:r>
      <w:r>
        <w:rPr/>
        <w:t>期</w:t>
      </w:r>
      <w:r>
        <w:rPr>
          <w:rFonts w:ascii="Times New Roman" w:hAnsi="Times New Roman" w:cs="Times New Roman" w:eastAsia="Times New Roman" w:hint="default"/>
        </w:rPr>
        <w:t>12</w:t>
      </w:r>
      <w:r>
        <w:rPr/>
        <w:t>个月，最终到期日为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w:t>
      </w:r>
    </w:p>
    <w:p>
      <w:pPr>
        <w:pStyle w:val="BodyText"/>
        <w:spacing w:line="300" w:lineRule="auto" w:before="13"/>
        <w:ind w:right="1128"/>
        <w:jc w:val="both"/>
      </w:pPr>
      <w:r>
        <w:rPr/>
        <w:t>（</w:t>
      </w:r>
      <w:r>
        <w:rPr>
          <w:spacing w:val="-69"/>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w:t>
      </w:r>
      <w:r>
        <w:rPr>
          <w:spacing w:val="-69"/>
        </w:rPr>
        <w:t> </w:t>
      </w:r>
      <w:r>
        <w:rPr>
          <w:spacing w:val="17"/>
        </w:rPr>
        <w:t>深圳市久金保商业保理有限公司于</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月</w:t>
      </w:r>
      <w:r>
        <w:rPr>
          <w:spacing w:val="-69"/>
        </w:rPr>
        <w:t> </w:t>
      </w:r>
      <w:r>
        <w:rPr>
          <w:rFonts w:ascii="Times New Roman" w:hAnsi="Times New Roman" w:cs="Times New Roman" w:eastAsia="Times New Roman" w:hint="default"/>
        </w:rPr>
        <w:t>11</w:t>
      </w:r>
      <w:r>
        <w:rPr>
          <w:rFonts w:ascii="Times New Roman" w:hAnsi="Times New Roman" w:cs="Times New Roman" w:eastAsia="Times New Roman" w:hint="default"/>
          <w:spacing w:val="-24"/>
        </w:rPr>
        <w:t> </w:t>
      </w:r>
      <w:r>
        <w:rPr>
          <w:spacing w:val="18"/>
        </w:rPr>
        <w:t>日与华夏银行北京方庄支行签订流动资金借款合同人民币</w:t>
      </w:r>
      <w:r>
        <w:rPr>
          <w:spacing w:val="-88"/>
        </w:rPr>
        <w:t> </w:t>
      </w:r>
      <w:r>
        <w:rPr>
          <w:spacing w:val="-88"/>
        </w:rPr>
      </w:r>
      <w:r>
        <w:rPr>
          <w:rFonts w:ascii="Times New Roman" w:hAnsi="Times New Roman" w:cs="Times New Roman" w:eastAsia="Times New Roman" w:hint="default"/>
        </w:rPr>
        <w:t>100,000,000.00</w:t>
      </w:r>
      <w:r>
        <w:rPr/>
        <w:t>元，起始日为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日，到期日为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日华夏银行北京方庄支行签订</w:t>
      </w:r>
      <w:r>
        <w:rPr>
          <w:spacing w:val="-48"/>
        </w:rPr>
        <w:t> </w:t>
      </w:r>
      <w:r>
        <w:rPr/>
        <w:t>最高额保证合同，担保金额为人民币</w:t>
      </w:r>
      <w:r>
        <w:rPr>
          <w:rFonts w:ascii="Times New Roman" w:hAnsi="Times New Roman" w:cs="Times New Roman" w:eastAsia="Times New Roman" w:hint="default"/>
        </w:rPr>
        <w:t>100,000,000.00</w:t>
      </w:r>
      <w:r>
        <w:rPr/>
        <w:t>元，担保期间为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日，保证人为北京久其软</w:t>
      </w:r>
      <w:r>
        <w:rPr>
          <w:spacing w:val="-46"/>
        </w:rPr>
        <w:t> </w:t>
      </w:r>
      <w:r>
        <w:rPr/>
        <w:t>件股份有限公司。</w:t>
      </w:r>
    </w:p>
    <w:p>
      <w:pPr>
        <w:spacing w:line="240" w:lineRule="auto" w:before="7"/>
        <w:rPr>
          <w:rFonts w:ascii="宋体" w:hAnsi="宋体" w:cs="宋体" w:eastAsia="宋体" w:hint="default"/>
          <w:sz w:val="23"/>
          <w:szCs w:val="23"/>
        </w:rPr>
      </w:pPr>
    </w:p>
    <w:p>
      <w:pPr>
        <w:pStyle w:val="Heading3"/>
        <w:spacing w:line="240" w:lineRule="auto"/>
        <w:ind w:left="153" w:right="0"/>
        <w:jc w:val="both"/>
        <w:rPr>
          <w:b w:val="0"/>
          <w:bCs w:val="0"/>
        </w:rPr>
      </w:pPr>
      <w:bookmarkStart w:name="（2）已逾期未偿还的短期借款情况" w:id="313"/>
      <w:bookmarkEnd w:id="31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4、应付票据" w:id="314"/>
      <w:bookmarkEnd w:id="314"/>
      <w:r>
        <w:rPr>
          <w:b w:val="0"/>
          <w:bCs w:val="0"/>
        </w:rPr>
      </w:r>
      <w:r>
        <w:rPr>
          <w:rFonts w:ascii="Times New Roman" w:hAnsi="Times New Roman" w:cs="Times New Roman" w:eastAsia="Times New Roman" w:hint="default"/>
        </w:rPr>
        <w:t>24</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3,427,232.00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3,427,232.00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983"/>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bookmarkStart w:name="25、应付账款" w:id="315"/>
      <w:bookmarkEnd w:id="315"/>
      <w:r>
        <w:rPr>
          <w:b w:val="0"/>
          <w:bCs w:val="0"/>
        </w:rPr>
      </w:r>
      <w:r>
        <w:rPr>
          <w:rFonts w:ascii="Times New Roman" w:hAnsi="Times New Roman" w:cs="Times New Roman" w:eastAsia="Times New Roman" w:hint="default"/>
        </w:rPr>
        <w:t>25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bookmarkStart w:name="（1）应付账款列示" w:id="316"/>
      <w:bookmarkEnd w:id="31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215,544,645.27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85,372,452.46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914,153.20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11,806,860.07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340,336.60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2,684,009.05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740,653.52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1,420,090.49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217,539,788.59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101,283,412.07</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2）账龄超过1年的重要应付账款" w:id="317"/>
      <w:bookmarkEnd w:id="3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106,423.66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719,533.66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6、预收款项" w:id="318"/>
      <w:bookmarkEnd w:id="318"/>
      <w:r>
        <w:rPr>
          <w:b w:val="0"/>
          <w:bCs w:val="0"/>
        </w:rPr>
      </w:r>
      <w:r>
        <w:rPr>
          <w:rFonts w:ascii="Times New Roman" w:hAnsi="Times New Roman" w:cs="Times New Roman" w:eastAsia="Times New Roman" w:hint="default"/>
        </w:rPr>
        <w:t>26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预收款项列示" w:id="319"/>
      <w:bookmarkEnd w:id="31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89,211,718.99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133,628,490.24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20,254,270.52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3,359,526.00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1,925,583.21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507,563.00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1,547,899.64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923,076.00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112,939,472.36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138,418,655.24</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账龄超过1年的重要预收款项"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15,100,842.00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532,404.00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19,085,246.00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3）期末建造合同形成的已结算未完工项目情况" w:id="321"/>
      <w:bookmarkEnd w:id="32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27、应付职工薪酬" w:id="322"/>
      <w:bookmarkEnd w:id="322"/>
      <w:r>
        <w:rPr>
          <w:b w:val="0"/>
          <w:bCs w:val="0"/>
        </w:rPr>
      </w:r>
      <w:r>
        <w:rPr>
          <w:rFonts w:ascii="Times New Roman" w:hAnsi="Times New Roman" w:cs="Times New Roman" w:eastAsia="Times New Roman" w:hint="default"/>
        </w:rPr>
        <w:t>27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应付职工薪酬列示" w:id="323"/>
      <w:bookmarkEnd w:id="32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91,128,876.19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434,011,295.38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425,705,405.41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99,434,766.16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706,046.37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36,539,746.57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35,897,110.09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1,348,682.85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1,401,147.86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1,401,147.86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91,834,922.56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471,977,189.81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463,028,663.36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100,783,449.01</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短期薪酬列示" w:id="324"/>
      <w:bookmarkEnd w:id="32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88,345,718.78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384,218,785.07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376,184,960.25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96,379,543.60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6,397,622.47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6,397,862.47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379,334.04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20,873,530.61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20,601,904.77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650,959.88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336,604.84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18,819,160.04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18,569,784.85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585,980.03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559,066.49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556,258.23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18,256.97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27,280.49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1,495,304.08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1,475,861.69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46,722.88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203,647.88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21,412,387.79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21,439,088.05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176,947.62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2,199,935.49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1,108,969.44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1,081,589.87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2,227,315.06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91,128,876.19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434,011,295.38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425,705,405.41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99,434,766.16</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设定提存计划列示" w:id="325"/>
      <w:bookmarkEnd w:id="32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679,472.90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35,099,739.07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34,476,271.04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1,302,940.93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26,573.47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1,420,839.05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45,741.92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706,046.37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36,539,746.57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35,897,110.09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1,348,682.85</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28、应交税费" w:id="326"/>
      <w:bookmarkEnd w:id="326"/>
      <w:r>
        <w:rPr>
          <w:b w:val="0"/>
          <w:bCs w:val="0"/>
        </w:rPr>
      </w:r>
      <w:r>
        <w:rPr>
          <w:rFonts w:ascii="Times New Roman" w:hAnsi="Times New Roman" w:cs="Times New Roman" w:eastAsia="Times New Roman" w:hint="default"/>
        </w:rPr>
        <w:t>28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6"/>
        <w:gridCol w:w="3206"/>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16,476,027.47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12,106,903.57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21,454,218.03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12,666,300.53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2,093,180.65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2,268,072.46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1,150,223.24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896,975.77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868,010.41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666,740.79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3,218,099.95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119,421.58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32,806.89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45,379,181.33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28,637,800.01</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9、应付利息" w:id="327"/>
      <w:bookmarkEnd w:id="327"/>
      <w:r>
        <w:rPr>
          <w:b w:val="0"/>
          <w:bCs w:val="0"/>
        </w:rPr>
      </w:r>
      <w:r>
        <w:rPr>
          <w:rFonts w:ascii="Times New Roman" w:hAnsi="Times New Roman" w:cs="Times New Roman" w:eastAsia="Times New Roman" w:hint="default"/>
        </w:rPr>
        <w:t>29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142,949.08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132,082.59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136,637.16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可转债应付利息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1,345,445.32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1,488,394.40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268,719.75</w:t>
            </w:r>
          </w:p>
        </w:tc>
      </w:tr>
    </w:tbl>
    <w:p>
      <w:pPr>
        <w:pStyle w:val="BodyText"/>
        <w:spacing w:line="357" w:lineRule="auto" w:before="51"/>
        <w:ind w:left="154" w:right="8052"/>
        <w:jc w:val="left"/>
      </w:pPr>
      <w:r>
        <w:rPr/>
        <w:t>重要的已逾期未支付的利息情况： 无</w:t>
      </w:r>
    </w:p>
    <w:p>
      <w:pPr>
        <w:spacing w:line="240" w:lineRule="auto" w:before="2"/>
        <w:rPr>
          <w:rFonts w:ascii="宋体" w:hAnsi="宋体" w:cs="宋体" w:eastAsia="宋体" w:hint="default"/>
          <w:sz w:val="20"/>
          <w:szCs w:val="20"/>
        </w:rPr>
      </w:pPr>
    </w:p>
    <w:p>
      <w:pPr>
        <w:pStyle w:val="Heading3"/>
        <w:spacing w:line="240" w:lineRule="auto"/>
        <w:ind w:right="983"/>
        <w:jc w:val="left"/>
        <w:rPr>
          <w:b w:val="0"/>
          <w:bCs w:val="0"/>
        </w:rPr>
      </w:pPr>
      <w:bookmarkStart w:name="30、应付股利" w:id="328"/>
      <w:bookmarkEnd w:id="328"/>
      <w:r>
        <w:rPr>
          <w:b w:val="0"/>
          <w:bCs w:val="0"/>
        </w:rPr>
      </w:r>
      <w:r>
        <w:rPr>
          <w:rFonts w:ascii="Times New Roman" w:hAnsi="Times New Roman" w:cs="Times New Roman" w:eastAsia="Times New Roman" w:hint="default"/>
        </w:rPr>
        <w:t>30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after="0" w:line="338"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31、其他应付款" w:id="329"/>
      <w:bookmarkEnd w:id="329"/>
      <w:r>
        <w:rPr>
          <w:b w:val="0"/>
          <w:bCs w:val="0"/>
        </w:rPr>
      </w:r>
      <w:r>
        <w:rPr>
          <w:rFonts w:ascii="Times New Roman" w:hAnsi="Times New Roman" w:cs="Times New Roman" w:eastAsia="Times New Roman" w:hint="default"/>
        </w:rPr>
        <w:t>31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按款项性质列示其他应付款" w:id="330"/>
      <w:bookmarkEnd w:id="33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43,131,880.00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3,839,863.17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2,977,392.92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356,046.73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3,255,582.13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11,663,275.87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2,756,515.50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716,865.00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504,625.44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631,307,930.77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152,994,115.99</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账龄超过1年的重要其他应付款"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290,859.50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227,291.00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83,063,750.50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2、持有待售的负债" w:id="332"/>
      <w:bookmarkEnd w:id="332"/>
      <w:r>
        <w:rPr>
          <w:b w:val="0"/>
          <w:bCs w:val="0"/>
        </w:rPr>
      </w:r>
      <w:r>
        <w:rPr>
          <w:rFonts w:ascii="Times New Roman" w:hAnsi="Times New Roman" w:cs="Times New Roman" w:eastAsia="Times New Roman" w:hint="default"/>
        </w:rPr>
        <w:t>32</w:t>
      </w:r>
      <w:r>
        <w:rPr/>
        <w:t>、持有待售的负债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报告期不存在持有待售的负债。</w:t>
      </w:r>
    </w:p>
    <w:p>
      <w:pPr>
        <w:spacing w:line="240" w:lineRule="auto" w:before="12"/>
        <w:rPr>
          <w:rFonts w:ascii="宋体" w:hAnsi="宋体" w:cs="宋体" w:eastAsia="宋体" w:hint="default"/>
          <w:sz w:val="26"/>
          <w:szCs w:val="26"/>
        </w:rPr>
      </w:pPr>
    </w:p>
    <w:p>
      <w:pPr>
        <w:pStyle w:val="Heading3"/>
        <w:spacing w:line="240" w:lineRule="auto"/>
        <w:ind w:left="153" w:right="983"/>
        <w:jc w:val="left"/>
        <w:rPr>
          <w:b w:val="0"/>
          <w:bCs w:val="0"/>
        </w:rPr>
      </w:pPr>
      <w:bookmarkStart w:name="33、其他流动负债" w:id="333"/>
      <w:bookmarkEnd w:id="333"/>
      <w:r>
        <w:rPr>
          <w:b w:val="0"/>
          <w:bCs w:val="0"/>
        </w:rPr>
      </w:r>
      <w:r>
        <w:rPr>
          <w:rFonts w:ascii="Times New Roman" w:hAnsi="Times New Roman" w:cs="Times New Roman" w:eastAsia="Times New Roman" w:hint="default"/>
        </w:rPr>
        <w:t>33</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报告期内不存在其他流动负债</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34、应付债券" w:id="334"/>
      <w:bookmarkEnd w:id="334"/>
      <w:r>
        <w:rPr>
          <w:b w:val="0"/>
          <w:bCs w:val="0"/>
        </w:rPr>
      </w:r>
      <w:r>
        <w:rPr>
          <w:rFonts w:ascii="Times New Roman" w:hAnsi="Times New Roman" w:cs="Times New Roman" w:eastAsia="Times New Roman" w:hint="default"/>
        </w:rPr>
        <w:t>34</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应付债券" w:id="335"/>
      <w:bookmarkEnd w:id="33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628,609,066.64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628,609,066.64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2）应付债券的增减变动（不包括划分为金融负债的优先股、永续债等其他金融工具）" w:id="336"/>
      <w:bookmarkEnd w:id="33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本期转股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可转换公 司债券</w:t>
            </w:r>
          </w:p>
        </w:tc>
        <w:tc>
          <w:tcPr>
            <w:tcW w:w="79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18,763,97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628,609,0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66.64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18,763,97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628,609,0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66.64</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可转换公司债券的转股条件、转股时间说明" w:id="337"/>
      <w:bookmarkEnd w:id="33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039"/>
        <w:jc w:val="left"/>
      </w:pPr>
      <w:r>
        <w:rPr/>
        <w:t>本期债券为六年期品种，基本发行规模为</w:t>
      </w:r>
      <w:r>
        <w:rPr>
          <w:rFonts w:ascii="Times New Roman" w:hAnsi="Times New Roman" w:cs="Times New Roman" w:eastAsia="Times New Roman" w:hint="default"/>
        </w:rPr>
        <w:t>78,000</w:t>
      </w:r>
      <w:r>
        <w:rPr/>
        <w:t>万元，每张面值</w:t>
      </w:r>
      <w:r>
        <w:rPr>
          <w:rFonts w:ascii="Times New Roman" w:hAnsi="Times New Roman" w:cs="Times New Roman" w:eastAsia="Times New Roman" w:hint="default"/>
        </w:rPr>
        <w:t>100</w:t>
      </w:r>
      <w:r>
        <w:rPr/>
        <w:t>元，共计</w:t>
      </w:r>
      <w:r>
        <w:rPr>
          <w:rFonts w:ascii="Times New Roman" w:hAnsi="Times New Roman" w:cs="Times New Roman" w:eastAsia="Times New Roman" w:hint="default"/>
        </w:rPr>
        <w:t>780</w:t>
      </w:r>
      <w:r>
        <w:rPr/>
        <w:t>万张，发行价格为</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张。本次债券票面 </w:t>
      </w:r>
      <w:r>
        <w:rPr>
          <w:spacing w:val="-3"/>
        </w:rPr>
        <w:t>利率预设区间为</w:t>
      </w:r>
      <w:r>
        <w:rPr>
          <w:rFonts w:ascii="Times New Roman" w:hAnsi="Times New Roman" w:cs="Times New Roman" w:eastAsia="Times New Roman" w:hint="default"/>
          <w:spacing w:val="-3"/>
        </w:rPr>
        <w:t>0.3%-1.8%</w:t>
      </w:r>
      <w:r>
        <w:rPr>
          <w:spacing w:val="-3"/>
        </w:rPr>
        <w:t>，第一年为</w:t>
      </w:r>
      <w:r>
        <w:rPr>
          <w:rFonts w:ascii="Times New Roman" w:hAnsi="Times New Roman" w:cs="Times New Roman" w:eastAsia="Times New Roman" w:hint="default"/>
          <w:spacing w:val="-3"/>
        </w:rPr>
        <w:t>0.3%</w:t>
      </w:r>
      <w:r>
        <w:rPr>
          <w:spacing w:val="-3"/>
        </w:rPr>
        <w:t>，第二年为</w:t>
      </w:r>
      <w:r>
        <w:rPr>
          <w:rFonts w:ascii="Times New Roman" w:hAnsi="Times New Roman" w:cs="Times New Roman" w:eastAsia="Times New Roman" w:hint="default"/>
          <w:spacing w:val="-3"/>
        </w:rPr>
        <w:t>0.5%</w:t>
      </w:r>
      <w:r>
        <w:rPr>
          <w:spacing w:val="-3"/>
        </w:rPr>
        <w:t>，第三年为</w:t>
      </w:r>
      <w:r>
        <w:rPr>
          <w:rFonts w:ascii="Times New Roman" w:hAnsi="Times New Roman" w:cs="Times New Roman" w:eastAsia="Times New Roman" w:hint="default"/>
          <w:spacing w:val="-3"/>
        </w:rPr>
        <w:t>1.0%</w:t>
      </w:r>
      <w:r>
        <w:rPr>
          <w:spacing w:val="-3"/>
        </w:rPr>
        <w:t>，第四年为</w:t>
      </w:r>
      <w:r>
        <w:rPr>
          <w:rFonts w:ascii="Times New Roman" w:hAnsi="Times New Roman" w:cs="Times New Roman" w:eastAsia="Times New Roman" w:hint="default"/>
          <w:spacing w:val="-3"/>
        </w:rPr>
        <w:t>1.3%</w:t>
      </w:r>
      <w:r>
        <w:rPr>
          <w:spacing w:val="-3"/>
        </w:rPr>
        <w:t>，第五年为</w:t>
      </w:r>
      <w:r>
        <w:rPr>
          <w:rFonts w:ascii="Times New Roman" w:hAnsi="Times New Roman" w:cs="Times New Roman" w:eastAsia="Times New Roman" w:hint="default"/>
          <w:spacing w:val="-3"/>
        </w:rPr>
        <w:t>1.5%</w:t>
      </w:r>
      <w:r>
        <w:rPr>
          <w:spacing w:val="-3"/>
        </w:rPr>
        <w:t>，第六年为</w:t>
      </w:r>
      <w:r>
        <w:rPr>
          <w:rFonts w:ascii="Times New Roman" w:hAnsi="Times New Roman" w:cs="Times New Roman" w:eastAsia="Times New Roman" w:hint="default"/>
          <w:spacing w:val="-3"/>
        </w:rPr>
        <w:t>1.8%</w:t>
      </w:r>
      <w:r>
        <w:rPr>
          <w:spacing w:val="-3"/>
        </w:rPr>
        <w:t>。</w:t>
      </w:r>
      <w:r>
        <w:rPr>
          <w:spacing w:val="-54"/>
        </w:rPr>
        <w:t> </w:t>
      </w:r>
      <w:r>
        <w:rPr/>
        <w:t>扣除发行费用后，计入负债部分公允价值为</w:t>
      </w:r>
      <w:r>
        <w:rPr>
          <w:rFonts w:ascii="Times New Roman" w:hAnsi="Times New Roman" w:cs="Times New Roman" w:eastAsia="Times New Roman" w:hint="default"/>
        </w:rPr>
        <w:t>611,192,859.76</w:t>
      </w:r>
      <w:r>
        <w:rPr/>
        <w:t>元，计入权益部分公允价值为</w:t>
      </w:r>
      <w:r>
        <w:rPr>
          <w:rFonts w:ascii="Times New Roman" w:hAnsi="Times New Roman" w:cs="Times New Roman" w:eastAsia="Times New Roman" w:hint="default"/>
        </w:rPr>
        <w:t>154,607,993.81</w:t>
      </w:r>
      <w:r>
        <w:rPr/>
        <w:t>，合计</w:t>
      </w:r>
      <w:r>
        <w:rPr>
          <w:rFonts w:ascii="Times New Roman" w:hAnsi="Times New Roman" w:cs="Times New Roman" w:eastAsia="Times New Roman" w:hint="default"/>
        </w:rPr>
        <w:t>765,800,853.57 </w:t>
      </w:r>
      <w:r>
        <w:rPr>
          <w:spacing w:val="-2"/>
        </w:rPr>
        <w:t>元。按面值计提利息</w:t>
      </w:r>
      <w:r>
        <w:rPr>
          <w:rFonts w:ascii="Times New Roman" w:hAnsi="Times New Roman" w:cs="Times New Roman" w:eastAsia="Times New Roman" w:hint="default"/>
          <w:spacing w:val="-2"/>
        </w:rPr>
        <w:t>1,345,500.00</w:t>
      </w:r>
      <w:r>
        <w:rPr>
          <w:spacing w:val="-2"/>
        </w:rPr>
        <w:t>元，按实际利率和摊余成本计提利息</w:t>
      </w:r>
      <w:r>
        <w:rPr>
          <w:rFonts w:ascii="Times New Roman" w:hAnsi="Times New Roman" w:cs="Times New Roman" w:eastAsia="Times New Roman" w:hint="default"/>
          <w:spacing w:val="-2"/>
        </w:rPr>
        <w:t>18,763,977.37</w:t>
      </w:r>
      <w:r>
        <w:rPr>
          <w:spacing w:val="-2"/>
        </w:rPr>
        <w:t>元。</w:t>
      </w:r>
      <w:r>
        <w:rPr>
          <w:rFonts w:ascii="Times New Roman" w:hAnsi="Times New Roman" w:cs="Times New Roman" w:eastAsia="Times New Roman" w:hint="default"/>
          <w:spacing w:val="-2"/>
        </w:rPr>
        <w:t>2017</w:t>
      </w:r>
      <w:r>
        <w:rPr>
          <w:spacing w:val="-2"/>
        </w:rPr>
        <w:t>年第四季度，久其转债因转股减</w:t>
      </w:r>
      <w:r>
        <w:rPr>
          <w:spacing w:val="-42"/>
        </w:rPr>
        <w:t> </w:t>
      </w:r>
      <w:r>
        <w:rPr>
          <w:spacing w:val="-42"/>
        </w:rPr>
      </w:r>
      <w:r>
        <w:rPr/>
        <w:t>少</w:t>
      </w:r>
      <w:r>
        <w:rPr>
          <w:rFonts w:ascii="Times New Roman" w:hAnsi="Times New Roman" w:cs="Times New Roman" w:eastAsia="Times New Roman" w:hint="default"/>
        </w:rPr>
        <w:t>31,700</w:t>
      </w:r>
      <w:r>
        <w:rPr/>
        <w:t>元（</w:t>
      </w:r>
      <w:r>
        <w:rPr>
          <w:rFonts w:ascii="Times New Roman" w:hAnsi="Times New Roman" w:cs="Times New Roman" w:eastAsia="Times New Roman" w:hint="default"/>
        </w:rPr>
        <w:t>317</w:t>
      </w:r>
      <w:r>
        <w:rPr/>
        <w:t>张），转股数量为</w:t>
      </w:r>
      <w:r>
        <w:rPr>
          <w:rFonts w:ascii="Times New Roman" w:hAnsi="Times New Roman" w:cs="Times New Roman" w:eastAsia="Times New Roman" w:hint="default"/>
        </w:rPr>
        <w:t>2,456</w:t>
      </w:r>
      <w:r>
        <w:rPr/>
        <w:t>股，剩余可转债余额为</w:t>
      </w:r>
      <w:r>
        <w:rPr>
          <w:rFonts w:ascii="Times New Roman" w:hAnsi="Times New Roman" w:cs="Times New Roman" w:eastAsia="Times New Roman" w:hint="default"/>
        </w:rPr>
        <w:t>779,968,300</w:t>
      </w:r>
      <w:r>
        <w:rPr/>
        <w:t>元（</w:t>
      </w:r>
      <w:r>
        <w:rPr>
          <w:rFonts w:ascii="Times New Roman" w:hAnsi="Times New Roman" w:cs="Times New Roman" w:eastAsia="Times New Roman" w:hint="default"/>
        </w:rPr>
        <w:t>7,799,683</w:t>
      </w:r>
      <w:r>
        <w:rPr/>
        <w:t>张），减少应付债券金额</w:t>
      </w:r>
      <w:r>
        <w:rPr>
          <w:rFonts w:ascii="Times New Roman" w:hAnsi="Times New Roman" w:cs="Times New Roman" w:eastAsia="Times New Roman" w:hint="default"/>
        </w:rPr>
        <w:t>2,270.49 </w:t>
      </w:r>
      <w:r>
        <w:rPr/>
        <w:t>元。 </w:t>
      </w:r>
      <w:r>
        <w:rPr>
          <w:spacing w:val="-2"/>
        </w:rPr>
        <w:t>根据相关法规和《北京久其软件股份有限公司公开发行可转换公司债券募集说明书》的规定，本次发行的可转换公司债券转</w:t>
      </w:r>
      <w:r>
        <w:rPr>
          <w:spacing w:val="-66"/>
        </w:rPr>
        <w:t> </w:t>
      </w:r>
      <w:r>
        <w:rPr>
          <w:spacing w:val="-66"/>
        </w:rPr>
      </w:r>
      <w:r>
        <w:rPr/>
        <w:t>股期限自发行结束之日起满六个月后的第一个交易日起至可转换公司债券到期日止，本次发行的可转债的初始转股价格为 </w:t>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股，由于公司实施股权激励限制性股票首次授予而新增的</w:t>
      </w:r>
      <w:r>
        <w:rPr>
          <w:rFonts w:ascii="Times New Roman" w:hAnsi="Times New Roman" w:cs="Times New Roman" w:eastAsia="Times New Roman" w:hint="default"/>
        </w:rPr>
        <w:t>707.08</w:t>
      </w:r>
      <w:r>
        <w:rPr/>
        <w:t>万股股份上市流通日期为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日，久其转债 的转股价格于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日由初始的</w:t>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股调整至</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w:t>
      </w:r>
    </w:p>
    <w:p>
      <w:pPr>
        <w:spacing w:line="240" w:lineRule="auto" w:before="8"/>
        <w:rPr>
          <w:rFonts w:ascii="宋体" w:hAnsi="宋体" w:cs="宋体" w:eastAsia="宋体" w:hint="default"/>
          <w:sz w:val="21"/>
          <w:szCs w:val="21"/>
        </w:rPr>
      </w:pPr>
    </w:p>
    <w:p>
      <w:pPr>
        <w:pStyle w:val="Heading3"/>
        <w:spacing w:line="240" w:lineRule="auto"/>
        <w:ind w:right="983"/>
        <w:jc w:val="left"/>
        <w:rPr>
          <w:b w:val="0"/>
          <w:bCs w:val="0"/>
        </w:rPr>
      </w:pPr>
      <w:bookmarkStart w:name="（4）划分为金融负债的其他金融工具说明" w:id="338"/>
      <w:bookmarkEnd w:id="33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6252"/>
        <w:jc w:val="left"/>
      </w:pPr>
      <w:r>
        <w:rPr/>
        <w:t>期末发行在外的优先股、永续债等其他金融工具基本情况 无</w:t>
      </w:r>
    </w:p>
    <w:p>
      <w:pPr>
        <w:spacing w:line="240" w:lineRule="auto" w:before="2"/>
        <w:rPr>
          <w:rFonts w:ascii="宋体" w:hAnsi="宋体" w:cs="宋体" w:eastAsia="宋体" w:hint="default"/>
          <w:sz w:val="20"/>
          <w:szCs w:val="20"/>
        </w:rPr>
      </w:pPr>
    </w:p>
    <w:p>
      <w:pPr>
        <w:pStyle w:val="Heading3"/>
        <w:spacing w:line="240" w:lineRule="auto"/>
        <w:ind w:right="983"/>
        <w:jc w:val="left"/>
        <w:rPr>
          <w:b w:val="0"/>
          <w:bCs w:val="0"/>
        </w:rPr>
      </w:pPr>
      <w:bookmarkStart w:name="35、长期应付款" w:id="339"/>
      <w:bookmarkEnd w:id="339"/>
      <w:r>
        <w:rPr>
          <w:b w:val="0"/>
          <w:bCs w:val="0"/>
        </w:rPr>
      </w:r>
      <w:r>
        <w:rPr>
          <w:rFonts w:ascii="Times New Roman" w:hAnsi="Times New Roman" w:cs="Times New Roman" w:eastAsia="Times New Roman" w:hint="default"/>
        </w:rPr>
        <w:t>35</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报告期内不存在长期应付款。</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36、长期应付职工薪酬" w:id="340"/>
      <w:bookmarkEnd w:id="340"/>
      <w:r>
        <w:rPr>
          <w:b w:val="0"/>
          <w:bCs w:val="0"/>
        </w:rPr>
      </w:r>
      <w:r>
        <w:rPr>
          <w:rFonts w:ascii="Times New Roman" w:hAnsi="Times New Roman" w:cs="Times New Roman" w:eastAsia="Times New Roman" w:hint="default"/>
        </w:rPr>
        <w:t>36</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报告期内不存在长期应付职工薪酬。</w:t>
      </w:r>
    </w:p>
    <w:p>
      <w:pPr>
        <w:spacing w:line="240" w:lineRule="auto" w:before="12"/>
        <w:rPr>
          <w:rFonts w:ascii="宋体" w:hAnsi="宋体" w:cs="宋体" w:eastAsia="宋体" w:hint="default"/>
          <w:sz w:val="26"/>
          <w:szCs w:val="26"/>
        </w:rPr>
      </w:pPr>
    </w:p>
    <w:p>
      <w:pPr>
        <w:pStyle w:val="Heading3"/>
        <w:spacing w:line="240" w:lineRule="auto"/>
        <w:ind w:left="153" w:right="983"/>
        <w:jc w:val="left"/>
        <w:rPr>
          <w:b w:val="0"/>
          <w:bCs w:val="0"/>
        </w:rPr>
      </w:pPr>
      <w:bookmarkStart w:name="37、预计负债" w:id="341"/>
      <w:bookmarkEnd w:id="341"/>
      <w:r>
        <w:rPr>
          <w:b w:val="0"/>
          <w:bCs w:val="0"/>
        </w:rPr>
      </w:r>
      <w:r>
        <w:rPr>
          <w:rFonts w:ascii="Times New Roman" w:hAnsi="Times New Roman" w:cs="Times New Roman" w:eastAsia="Times New Roman" w:hint="default"/>
        </w:rPr>
        <w:t>37</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报告期内不存在预计负债。</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38、递延收益" w:id="342"/>
      <w:bookmarkEnd w:id="342"/>
      <w:r>
        <w:rPr>
          <w:b w:val="0"/>
          <w:bCs w:val="0"/>
        </w:rPr>
      </w:r>
      <w:r>
        <w:rPr>
          <w:rFonts w:ascii="Times New Roman" w:hAnsi="Times New Roman" w:cs="Times New Roman" w:eastAsia="Times New Roman" w:hint="default"/>
        </w:rPr>
        <w:t>38</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18,310,303.15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4,448,944.36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13,861,358.79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补贴款</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18,310,303.15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4,448,944.36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13,861,358.79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3"/>
        <w:jc w:val="left"/>
      </w:pPr>
      <w:r>
        <w:rPr/>
        <w:t>涉及政府补助的项目：</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852"/>
        <w:gridCol w:w="1134"/>
        <w:gridCol w:w="991"/>
        <w:gridCol w:w="851"/>
        <w:gridCol w:w="1134"/>
        <w:gridCol w:w="1063"/>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基于新一代开 发平台的集团 管控软件的升 级改造项目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580,953.60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315,940.08</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265,013.52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久其智慧物流 公共服务平台 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6,574,799.35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1,489,129.68</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5,085,669.67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10,828,866.51</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2,438,412.24</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8,390,454.27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华夏电通数字 媒体综合控制 系统生产项目 补贴款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325,683.69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205,462.36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120,221.33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18,310,303.15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4,448,944.36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13,861,358.79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3"/>
        <w:jc w:val="left"/>
      </w:pPr>
      <w:r>
        <w:rPr/>
        <w:t>其他说明：</w:t>
      </w:r>
    </w:p>
    <w:p>
      <w:pPr>
        <w:pStyle w:val="BodyText"/>
        <w:spacing w:line="300" w:lineRule="auto" w:before="116"/>
        <w:ind w:right="1123"/>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月，根据北京市发展和改革委员会《关于北京久其软件股份有限公司基于新一代开发平台的集团管控软件的升级</w:t>
      </w:r>
      <w:r>
        <w:rPr>
          <w:spacing w:val="-60"/>
        </w:rPr>
        <w:t> </w:t>
      </w:r>
      <w:r>
        <w:rPr>
          <w:spacing w:val="-60"/>
        </w:rPr>
      </w:r>
      <w:r>
        <w:rPr/>
        <w:t>改造项目资金申请报告的批复》（京发改【</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1313</w:t>
      </w:r>
      <w:r>
        <w:rPr/>
        <w:t>号），公司收到</w:t>
      </w:r>
      <w:r>
        <w:rPr>
          <w:rFonts w:ascii="Times New Roman" w:hAnsi="Times New Roman" w:cs="Times New Roman" w:eastAsia="Times New Roman" w:hint="default"/>
        </w:rPr>
        <w:t>“</w:t>
      </w:r>
      <w:r>
        <w:rPr/>
        <w:t>基于新一代开发平台的集团管控软件的升级改造项 目</w:t>
      </w:r>
      <w:r>
        <w:rPr>
          <w:rFonts w:ascii="Times New Roman" w:hAnsi="Times New Roman" w:cs="Times New Roman" w:eastAsia="Times New Roman" w:hint="default"/>
        </w:rPr>
        <w:t>”</w:t>
      </w:r>
      <w:r>
        <w:rPr/>
        <w:t>专项补贴</w:t>
      </w:r>
      <w:r>
        <w:rPr>
          <w:rFonts w:ascii="Times New Roman" w:hAnsi="Times New Roman" w:cs="Times New Roman" w:eastAsia="Times New Roman" w:hint="default"/>
        </w:rPr>
        <w:t>1,700,000.00</w:t>
      </w:r>
      <w:r>
        <w:rPr/>
        <w:t>元；截止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月，该资金已全部用于购买机器设备和无形资产，该专项补贴按机器设备和无形 资产使用年限分摊计入其他收益，本年计入其他收益</w:t>
      </w:r>
      <w:r>
        <w:rPr>
          <w:rFonts w:ascii="Times New Roman" w:hAnsi="Times New Roman" w:cs="Times New Roman" w:eastAsia="Times New Roman" w:hint="default"/>
        </w:rPr>
        <w:t>315,940.08</w:t>
      </w:r>
      <w:r>
        <w:rPr/>
        <w:t>元。 </w:t>
      </w:r>
      <w:r>
        <w:rPr>
          <w:rFonts w:ascii="Times New Roman" w:hAnsi="Times New Roman" w:cs="Times New Roman" w:eastAsia="Times New Roman" w:hint="default"/>
          <w:spacing w:val="-1"/>
        </w:rPr>
        <w:t>2</w:t>
      </w:r>
      <w:r>
        <w:rPr>
          <w:spacing w:val="-1"/>
        </w:rPr>
        <w:t>、根据《财政部发展改革委商务部科技部关于批复中关村现代服务业试点方案的通知》</w:t>
      </w:r>
      <w:r>
        <w:rPr>
          <w:rFonts w:ascii="Times New Roman" w:hAnsi="Times New Roman" w:cs="Times New Roman" w:eastAsia="Times New Roman" w:hint="default"/>
          <w:spacing w:val="-1"/>
        </w:rPr>
        <w:t>(</w:t>
      </w:r>
      <w:r>
        <w:rPr>
          <w:spacing w:val="-1"/>
        </w:rPr>
        <w:t>财建函</w:t>
      </w:r>
      <w:r>
        <w:rPr>
          <w:rFonts w:ascii="Times New Roman" w:hAnsi="Times New Roman" w:cs="Times New Roman" w:eastAsia="Times New Roman" w:hint="default"/>
          <w:spacing w:val="-1"/>
        </w:rPr>
        <w:t>[2011]32</w:t>
      </w:r>
      <w:r>
        <w:rPr>
          <w:spacing w:val="-1"/>
        </w:rPr>
        <w:t>号</w:t>
      </w:r>
      <w:r>
        <w:rPr>
          <w:rFonts w:ascii="Times New Roman" w:hAnsi="Times New Roman" w:cs="Times New Roman" w:eastAsia="Times New Roman" w:hint="default"/>
          <w:spacing w:val="-1"/>
        </w:rPr>
        <w:t>)</w:t>
      </w:r>
      <w:r>
        <w:rPr>
          <w:spacing w:val="-1"/>
        </w:rPr>
        <w:t>文件要求，公司</w:t>
      </w:r>
      <w:r>
        <w:rPr>
          <w:spacing w:val="-86"/>
        </w:rPr>
        <w:t> </w:t>
      </w:r>
      <w:r>
        <w:rPr>
          <w:spacing w:val="-86"/>
        </w:rPr>
      </w:r>
      <w:r>
        <w:rPr>
          <w:spacing w:val="-1"/>
        </w:rPr>
        <w:t>申报</w:t>
      </w:r>
      <w:r>
        <w:rPr>
          <w:rFonts w:ascii="Times New Roman" w:hAnsi="Times New Roman" w:cs="Times New Roman" w:eastAsia="Times New Roman" w:hint="default"/>
          <w:spacing w:val="-1"/>
        </w:rPr>
        <w:t>2014</w:t>
      </w:r>
      <w:r>
        <w:rPr>
          <w:spacing w:val="-1"/>
        </w:rPr>
        <w:t>年中关村现代服务业试点项目通过审批，于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月收到</w:t>
      </w:r>
      <w:r>
        <w:rPr>
          <w:rFonts w:ascii="Times New Roman" w:hAnsi="Times New Roman" w:cs="Times New Roman" w:eastAsia="Times New Roman" w:hint="default"/>
          <w:spacing w:val="-1"/>
        </w:rPr>
        <w:t>“</w:t>
      </w:r>
      <w:r>
        <w:rPr>
          <w:spacing w:val="-1"/>
        </w:rPr>
        <w:t>久其智慧物流公共服务平台</w:t>
      </w:r>
      <w:r>
        <w:rPr>
          <w:rFonts w:ascii="Times New Roman" w:hAnsi="Times New Roman" w:cs="Times New Roman" w:eastAsia="Times New Roman" w:hint="default"/>
          <w:spacing w:val="-1"/>
        </w:rPr>
        <w:t>”</w:t>
      </w:r>
      <w:r>
        <w:rPr>
          <w:spacing w:val="-1"/>
        </w:rPr>
        <w:t>政府支持资金</w:t>
      </w:r>
      <w:r>
        <w:rPr>
          <w:rFonts w:ascii="Times New Roman" w:hAnsi="Times New Roman" w:cs="Times New Roman" w:eastAsia="Times New Roman" w:hint="default"/>
          <w:spacing w:val="-1"/>
        </w:rPr>
        <w:t>8,370,000.00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元，该专项补贴按平台使用年限分摊计入其他收益，本年计入其他收益</w:t>
      </w:r>
      <w:r>
        <w:rPr>
          <w:rFonts w:ascii="Times New Roman" w:hAnsi="Times New Roman" w:cs="Times New Roman" w:eastAsia="Times New Roman" w:hint="default"/>
        </w:rPr>
        <w:t>1,489,129.68</w:t>
      </w:r>
      <w:r>
        <w:rPr/>
        <w:t>元。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月，根据北京市发展和改革委员会《关于北京久其软件股份有限公司基于大数据的预测预警技术北京市工程实验</w:t>
      </w:r>
      <w:r>
        <w:rPr>
          <w:spacing w:val="-60"/>
        </w:rPr>
        <w:t> </w:t>
      </w:r>
      <w:r>
        <w:rPr>
          <w:spacing w:val="-60"/>
        </w:rPr>
      </w:r>
      <w:r>
        <w:rPr/>
        <w:t>室创新能力建设项目补助资金的批复》（京发改【</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1039</w:t>
      </w:r>
      <w:r>
        <w:rPr/>
        <w:t>号），公司收到</w:t>
      </w:r>
      <w:r>
        <w:rPr>
          <w:rFonts w:ascii="Times New Roman" w:hAnsi="Times New Roman" w:cs="Times New Roman" w:eastAsia="Times New Roman" w:hint="default"/>
        </w:rPr>
        <w:t>“</w:t>
      </w:r>
      <w:r>
        <w:rPr/>
        <w:t>基于大数据的预测预警技术北京市工程实验 室创新能力建设项目</w:t>
      </w:r>
      <w:r>
        <w:rPr>
          <w:rFonts w:ascii="Times New Roman" w:hAnsi="Times New Roman" w:cs="Times New Roman" w:eastAsia="Times New Roman" w:hint="default"/>
        </w:rPr>
        <w:t>”</w:t>
      </w:r>
      <w:r>
        <w:rPr/>
        <w:t>专项补贴</w:t>
      </w:r>
      <w:r>
        <w:rPr>
          <w:rFonts w:ascii="Times New Roman" w:hAnsi="Times New Roman" w:cs="Times New Roman" w:eastAsia="Times New Roman" w:hint="default"/>
        </w:rPr>
        <w:t>11,540,000.00</w:t>
      </w:r>
      <w:r>
        <w:rPr/>
        <w:t>元。该专项补贴按实验室项目使用年限分摊计入其他收益，本年计入其他收益 </w:t>
      </w:r>
      <w:r>
        <w:rPr>
          <w:rFonts w:ascii="Times New Roman" w:hAnsi="Times New Roman" w:cs="Times New Roman" w:eastAsia="Times New Roman" w:hint="default"/>
        </w:rPr>
        <w:t>2,438,412.24</w:t>
      </w:r>
      <w:r>
        <w:rPr/>
        <w:t>元。</w:t>
      </w:r>
    </w:p>
    <w:p>
      <w:pPr>
        <w:pStyle w:val="BodyText"/>
        <w:spacing w:line="300" w:lineRule="auto" w:before="13"/>
        <w:ind w:left="154" w:right="1122"/>
        <w:jc w:val="left"/>
      </w:pPr>
      <w:r>
        <w:rPr>
          <w:rFonts w:ascii="Times New Roman" w:hAnsi="Times New Roman" w:cs="Times New Roman" w:eastAsia="Times New Roman" w:hint="default"/>
        </w:rPr>
        <w:t>4</w:t>
      </w:r>
      <w:r>
        <w:rPr/>
        <w:t>、根据北京市经济和信息化委员会发布的《关于组织申报</w:t>
      </w:r>
      <w:r>
        <w:rPr>
          <w:rFonts w:ascii="Times New Roman" w:hAnsi="Times New Roman" w:cs="Times New Roman" w:eastAsia="Times New Roman" w:hint="default"/>
        </w:rPr>
        <w:t>2012</w:t>
      </w:r>
      <w:r>
        <w:rPr/>
        <w:t>年第二批北京市中小企业发展专项资金项目的通知》的有关 </w:t>
      </w:r>
      <w:r>
        <w:rPr>
          <w:spacing w:val="-2"/>
        </w:rPr>
        <w:t>规定，本公司申报</w:t>
      </w:r>
      <w:r>
        <w:rPr>
          <w:rFonts w:ascii="Times New Roman" w:hAnsi="Times New Roman" w:cs="Times New Roman" w:eastAsia="Times New Roman" w:hint="default"/>
          <w:spacing w:val="-2"/>
        </w:rPr>
        <w:t>“</w:t>
      </w:r>
      <w:r>
        <w:rPr>
          <w:spacing w:val="-2"/>
        </w:rPr>
        <w:t>华夏电通数字媒体综合控制系统生产项目</w:t>
      </w:r>
      <w:r>
        <w:rPr>
          <w:rFonts w:ascii="Times New Roman" w:hAnsi="Times New Roman" w:cs="Times New Roman" w:eastAsia="Times New Roman" w:hint="default"/>
          <w:spacing w:val="-2"/>
        </w:rPr>
        <w:t>”</w:t>
      </w:r>
      <w:r>
        <w:rPr>
          <w:spacing w:val="-2"/>
        </w:rPr>
        <w:t>专项补贴，于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月与北京市经济和信息化委员会签订了</w:t>
      </w:r>
    </w:p>
    <w:p>
      <w:pPr>
        <w:pStyle w:val="BodyText"/>
        <w:spacing w:line="300" w:lineRule="auto" w:before="13"/>
        <w:ind w:right="1132"/>
        <w:jc w:val="both"/>
      </w:pPr>
      <w:r>
        <w:rPr>
          <w:spacing w:val="-1"/>
        </w:rPr>
        <w:t>《北京市工业发展资金拨款项目合同书》，合同约定本公司获得专项发展资金</w:t>
      </w:r>
      <w:r>
        <w:rPr>
          <w:rFonts w:ascii="Times New Roman" w:hAnsi="Times New Roman" w:cs="Times New Roman" w:eastAsia="Times New Roman" w:hint="default"/>
          <w:spacing w:val="-1"/>
        </w:rPr>
        <w:t>1,140,000.00</w:t>
      </w:r>
      <w:r>
        <w:rPr>
          <w:spacing w:val="-1"/>
        </w:rPr>
        <w:t>元，该项资金用于购买</w:t>
      </w:r>
      <w:r>
        <w:rPr>
          <w:rFonts w:ascii="Times New Roman" w:hAnsi="Times New Roman" w:cs="Times New Roman" w:eastAsia="Times New Roman" w:hint="default"/>
          <w:spacing w:val="-1"/>
        </w:rPr>
        <w:t>“</w:t>
      </w:r>
      <w:r>
        <w:rPr>
          <w:spacing w:val="-1"/>
        </w:rPr>
        <w:t>华夏电通</w:t>
      </w:r>
      <w:r>
        <w:rPr>
          <w:spacing w:val="-62"/>
        </w:rPr>
        <w:t> </w:t>
      </w:r>
      <w:r>
        <w:rPr/>
        <w:t>数字媒体综合控制系统生产项目</w:t>
      </w:r>
      <w:r>
        <w:rPr>
          <w:rFonts w:ascii="Times New Roman" w:hAnsi="Times New Roman" w:cs="Times New Roman" w:eastAsia="Times New Roman" w:hint="default"/>
        </w:rPr>
        <w:t>”</w:t>
      </w:r>
      <w:r>
        <w:rPr/>
        <w:t>相关资产，包括</w:t>
      </w:r>
      <w:r>
        <w:rPr>
          <w:rFonts w:ascii="Times New Roman" w:hAnsi="Times New Roman" w:cs="Times New Roman" w:eastAsia="Times New Roman" w:hint="default"/>
        </w:rPr>
        <w:t>IBM</w:t>
      </w:r>
      <w:r>
        <w:rPr/>
        <w:t>服务器、多点控制单元、视频会议终端、机柜、软件，在实际收到资 金时计入递延收益并在资产使用期限内分期计入其他收益，本年计入其他收益</w:t>
      </w:r>
      <w:r>
        <w:rPr>
          <w:rFonts w:ascii="Times New Roman" w:hAnsi="Times New Roman" w:cs="Times New Roman" w:eastAsia="Times New Roman" w:hint="default"/>
        </w:rPr>
        <w:t>205,462.36</w:t>
      </w:r>
      <w:r>
        <w:rPr/>
        <w:t>元。</w:t>
      </w:r>
    </w:p>
    <w:p>
      <w:pPr>
        <w:spacing w:after="0" w:line="300"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39、股本" w:id="343"/>
      <w:bookmarkEnd w:id="343"/>
      <w:r>
        <w:rPr>
          <w:b w:val="0"/>
          <w:bCs w:val="0"/>
        </w:rPr>
      </w:r>
      <w:r>
        <w:rPr>
          <w:rFonts w:ascii="Times New Roman" w:hAnsi="Times New Roman" w:cs="Times New Roman" w:eastAsia="Times New Roman" w:hint="default"/>
        </w:rPr>
        <w:t>39</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541,491,950.00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7,070,800.00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162,381,729.00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-217,062.00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169,235,467.00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710,727,417.00</w:t>
            </w:r>
          </w:p>
        </w:tc>
      </w:tr>
    </w:tbl>
    <w:p>
      <w:pPr>
        <w:pStyle w:val="BodyText"/>
        <w:spacing w:line="240" w:lineRule="auto" w:before="51"/>
        <w:ind w:left="154" w:right="983"/>
        <w:jc w:val="left"/>
      </w:pPr>
      <w:r>
        <w:rPr/>
        <w:t>其他说明：</w:t>
      </w:r>
    </w:p>
    <w:p>
      <w:pPr>
        <w:pStyle w:val="BodyText"/>
        <w:spacing w:line="300" w:lineRule="auto" w:before="115"/>
        <w:ind w:right="11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月，根据</w:t>
      </w:r>
      <w:r>
        <w:rPr>
          <w:rFonts w:ascii="Times New Roman" w:hAnsi="Times New Roman" w:cs="Times New Roman" w:eastAsia="Times New Roman" w:hint="default"/>
        </w:rPr>
        <w:t>2016</w:t>
      </w:r>
      <w:r>
        <w:rPr/>
        <w:t>年度股东大会决议通过的《关于定向回购王新、李勇</w:t>
      </w:r>
      <w:r>
        <w:rPr>
          <w:rFonts w:ascii="Times New Roman" w:hAnsi="Times New Roman" w:cs="Times New Roman" w:eastAsia="Times New Roman" w:hint="default"/>
        </w:rPr>
        <w:t>2016</w:t>
      </w:r>
      <w:r>
        <w:rPr/>
        <w:t>年度应补偿股份暨关联交易的议案》，公司 </w:t>
      </w:r>
      <w:r>
        <w:rPr>
          <w:spacing w:val="-1"/>
        </w:rPr>
        <w:t>以</w:t>
      </w:r>
      <w:r>
        <w:rPr>
          <w:rFonts w:ascii="Times New Roman" w:hAnsi="Times New Roman" w:cs="Times New Roman" w:eastAsia="Times New Roman" w:hint="default"/>
          <w:spacing w:val="-1"/>
        </w:rPr>
        <w:t>1</w:t>
      </w:r>
      <w:r>
        <w:rPr>
          <w:spacing w:val="-1"/>
        </w:rPr>
        <w:t>元总价回购股东王新</w:t>
      </w:r>
      <w:r>
        <w:rPr>
          <w:rFonts w:ascii="Times New Roman" w:hAnsi="Times New Roman" w:cs="Times New Roman" w:eastAsia="Times New Roman" w:hint="default"/>
          <w:spacing w:val="-1"/>
        </w:rPr>
        <w:t>125,125</w:t>
      </w:r>
      <w:r>
        <w:rPr>
          <w:spacing w:val="-1"/>
        </w:rPr>
        <w:t>股，股东李勇</w:t>
      </w:r>
      <w:r>
        <w:rPr>
          <w:rFonts w:ascii="Times New Roman" w:hAnsi="Times New Roman" w:cs="Times New Roman" w:eastAsia="Times New Roman" w:hint="default"/>
          <w:spacing w:val="-1"/>
        </w:rPr>
        <w:t>94,393</w:t>
      </w:r>
      <w:r>
        <w:rPr>
          <w:spacing w:val="-1"/>
        </w:rPr>
        <w:t>股并予以注销，本次回购股份小计</w:t>
      </w:r>
      <w:r>
        <w:rPr>
          <w:rFonts w:ascii="Times New Roman" w:hAnsi="Times New Roman" w:cs="Times New Roman" w:eastAsia="Times New Roman" w:hint="default"/>
          <w:spacing w:val="-1"/>
        </w:rPr>
        <w:t>219,518</w:t>
      </w:r>
      <w:r>
        <w:rPr>
          <w:spacing w:val="-1"/>
        </w:rPr>
        <w:t>股，本次回购的股份已于</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日在中国证券登记结算有限责任公司深圳分公司完成注销手续，回购后公司注册资本变更为</w:t>
      </w:r>
      <w:r>
        <w:rPr>
          <w:rFonts w:ascii="Times New Roman" w:hAnsi="Times New Roman" w:cs="Times New Roman" w:eastAsia="Times New Roman" w:hint="default"/>
        </w:rPr>
        <w:t>541,272,432.00</w:t>
      </w:r>
      <w:r>
        <w:rPr/>
        <w:t>元。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月，根据</w:t>
      </w:r>
      <w:r>
        <w:rPr>
          <w:rFonts w:ascii="Times New Roman" w:hAnsi="Times New Roman" w:cs="Times New Roman" w:eastAsia="Times New Roman" w:hint="default"/>
          <w:spacing w:val="-1"/>
        </w:rPr>
        <w:t>2016</w:t>
      </w:r>
      <w:r>
        <w:rPr>
          <w:spacing w:val="-1"/>
        </w:rPr>
        <w:t>年度股东大会通过的有关决议，公司以截止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日的总股本为基数，每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0.30</w:t>
      </w:r>
      <w:r>
        <w:rPr>
          <w:rFonts w:ascii="Times New Roman" w:hAnsi="Times New Roman" w:cs="Times New Roman" w:eastAsia="Times New Roman" w:hint="default"/>
          <w:spacing w:val="-19"/>
        </w:rPr>
        <w:t> </w:t>
      </w:r>
      <w:r>
        <w:rPr/>
        <w:t>元（含税），共计派送现金</w:t>
      </w:r>
      <w:r>
        <w:rPr>
          <w:rFonts w:ascii="Times New Roman" w:hAnsi="Times New Roman" w:cs="Times New Roman" w:eastAsia="Times New Roman" w:hint="default"/>
        </w:rPr>
        <w:t>16,238,172.96</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股，转增后公司注册资本变更为 </w:t>
      </w:r>
      <w:r>
        <w:rPr>
          <w:rFonts w:ascii="Times New Roman" w:hAnsi="Times New Roman" w:cs="Times New Roman" w:eastAsia="Times New Roman" w:hint="default"/>
        </w:rPr>
        <w:t>703,654,161.00</w:t>
      </w:r>
      <w:r>
        <w:rPr/>
        <w:t>元。</w:t>
      </w:r>
    </w:p>
    <w:p>
      <w:pPr>
        <w:pStyle w:val="BodyText"/>
        <w:spacing w:line="300" w:lineRule="auto" w:before="13"/>
        <w:ind w:right="98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月，公司召开的第六届董事会第十四次会议审议通过了《关于向公司</w:t>
      </w:r>
      <w:r>
        <w:rPr>
          <w:rFonts w:ascii="Times New Roman" w:hAnsi="Times New Roman" w:cs="Times New Roman" w:eastAsia="Times New Roman" w:hint="default"/>
        </w:rPr>
        <w:t>2017</w:t>
      </w:r>
      <w:r>
        <w:rPr/>
        <w:t>年度限制性股票激励计划激励对象首次授 </w:t>
      </w:r>
      <w:r>
        <w:rPr>
          <w:spacing w:val="-2"/>
        </w:rPr>
        <w:t>予限制性股票的议案》，授予日为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日，授予</w:t>
      </w:r>
      <w:r>
        <w:rPr>
          <w:rFonts w:ascii="Times New Roman" w:hAnsi="Times New Roman" w:cs="Times New Roman" w:eastAsia="Times New Roman" w:hint="default"/>
          <w:spacing w:val="-2"/>
        </w:rPr>
        <w:t>347</w:t>
      </w:r>
      <w:r>
        <w:rPr>
          <w:spacing w:val="-2"/>
        </w:rPr>
        <w:t>名激励对象</w:t>
      </w:r>
      <w:r>
        <w:rPr>
          <w:rFonts w:ascii="Times New Roman" w:hAnsi="Times New Roman" w:cs="Times New Roman" w:eastAsia="Times New Roman" w:hint="default"/>
          <w:spacing w:val="-2"/>
        </w:rPr>
        <w:t>720</w:t>
      </w:r>
      <w:r>
        <w:rPr>
          <w:spacing w:val="-2"/>
        </w:rPr>
        <w:t>万股限制性股票，在资金缴纳、股份登记过程中，</w:t>
      </w:r>
      <w:r>
        <w:rPr>
          <w:spacing w:val="-52"/>
        </w:rPr>
        <w:t> </w:t>
      </w:r>
      <w:r>
        <w:rPr>
          <w:spacing w:val="-52"/>
        </w:rPr>
      </w:r>
      <w:r>
        <w:rPr/>
        <w:t>有</w:t>
      </w:r>
      <w:r>
        <w:rPr>
          <w:rFonts w:ascii="Times New Roman" w:hAnsi="Times New Roman" w:cs="Times New Roman" w:eastAsia="Times New Roman" w:hint="default"/>
        </w:rPr>
        <w:t>21</w:t>
      </w:r>
      <w:r>
        <w:rPr/>
        <w:t>名激励对象因个人原因放弃认购，因此，公司激励计划实际授予</w:t>
      </w:r>
      <w:r>
        <w:rPr>
          <w:rFonts w:ascii="Times New Roman" w:hAnsi="Times New Roman" w:cs="Times New Roman" w:eastAsia="Times New Roman" w:hint="default"/>
        </w:rPr>
        <w:t>326</w:t>
      </w:r>
      <w:r>
        <w:rPr/>
        <w:t>名激励对象共计</w:t>
      </w:r>
      <w:r>
        <w:rPr>
          <w:rFonts w:ascii="Times New Roman" w:hAnsi="Times New Roman" w:cs="Times New Roman" w:eastAsia="Times New Roman" w:hint="default"/>
        </w:rPr>
        <w:t>707.08</w:t>
      </w:r>
      <w:r>
        <w:rPr/>
        <w:t>万股限制性股票，本次激励 计划授予完成后，公司增加注册资本人民币</w:t>
      </w:r>
      <w:r>
        <w:rPr>
          <w:rFonts w:ascii="Times New Roman" w:hAnsi="Times New Roman" w:cs="Times New Roman" w:eastAsia="Times New Roman" w:hint="default"/>
        </w:rPr>
        <w:t>7,070,800.00</w:t>
      </w:r>
      <w:r>
        <w:rPr/>
        <w:t>元，变更后的注册资本为人民币</w:t>
      </w:r>
      <w:r>
        <w:rPr>
          <w:rFonts w:ascii="Times New Roman" w:hAnsi="Times New Roman" w:cs="Times New Roman" w:eastAsia="Times New Roman" w:hint="default"/>
        </w:rPr>
        <w:t>710,724,961.00</w:t>
      </w:r>
      <w:r>
        <w:rPr/>
        <w:t>元；上述变更经立信 会计师事务所（特殊普通合伙）出具信会师报字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ZG12200</w:t>
      </w:r>
      <w:r>
        <w:rPr/>
        <w:t>号验资报告予以验证。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月，久其转债因转股减少</w:t>
      </w:r>
      <w:r>
        <w:rPr>
          <w:rFonts w:ascii="Times New Roman" w:hAnsi="Times New Roman" w:cs="Times New Roman" w:eastAsia="Times New Roman" w:hint="default"/>
        </w:rPr>
        <w:t>31,700</w:t>
      </w:r>
      <w:r>
        <w:rPr/>
        <w:t>元（</w:t>
      </w:r>
      <w:r>
        <w:rPr>
          <w:rFonts w:ascii="Times New Roman" w:hAnsi="Times New Roman" w:cs="Times New Roman" w:eastAsia="Times New Roman" w:hint="default"/>
        </w:rPr>
        <w:t>317</w:t>
      </w:r>
      <w:r>
        <w:rPr/>
        <w:t>张），转股数量为</w:t>
      </w:r>
      <w:r>
        <w:rPr>
          <w:rFonts w:ascii="Times New Roman" w:hAnsi="Times New Roman" w:cs="Times New Roman" w:eastAsia="Times New Roman" w:hint="default"/>
        </w:rPr>
        <w:t>2,456</w:t>
      </w:r>
      <w:r>
        <w:rPr/>
        <w:t>股，可转债公司债券转股后，公司总股本变更为</w:t>
      </w:r>
    </w:p>
    <w:p>
      <w:pPr>
        <w:pStyle w:val="BodyText"/>
        <w:spacing w:line="240" w:lineRule="auto" w:before="13"/>
        <w:ind w:right="983"/>
        <w:jc w:val="left"/>
      </w:pPr>
      <w:r>
        <w:rPr>
          <w:rFonts w:ascii="Times New Roman" w:hAnsi="Times New Roman" w:cs="Times New Roman" w:eastAsia="Times New Roman" w:hint="default"/>
        </w:rPr>
        <w:t>710,727,417.00</w:t>
      </w:r>
      <w:r>
        <w:rPr/>
        <w:t>元，尚未完成注册资本工商变更手续。</w:t>
      </w:r>
    </w:p>
    <w:p>
      <w:pPr>
        <w:spacing w:line="240" w:lineRule="auto" w:before="12"/>
        <w:rPr>
          <w:rFonts w:ascii="宋体" w:hAnsi="宋体" w:cs="宋体" w:eastAsia="宋体" w:hint="default"/>
          <w:sz w:val="25"/>
          <w:szCs w:val="25"/>
        </w:rPr>
      </w:pPr>
    </w:p>
    <w:p>
      <w:pPr>
        <w:pStyle w:val="Heading3"/>
        <w:spacing w:line="240" w:lineRule="auto"/>
        <w:ind w:left="153" w:right="983"/>
        <w:jc w:val="left"/>
        <w:rPr>
          <w:b w:val="0"/>
          <w:bCs w:val="0"/>
        </w:rPr>
      </w:pPr>
      <w:bookmarkStart w:name="40、其他权益工具" w:id="344"/>
      <w:bookmarkEnd w:id="344"/>
      <w:r>
        <w:rPr>
          <w:b w:val="0"/>
          <w:bCs w:val="0"/>
        </w:rPr>
      </w:r>
      <w:r>
        <w:rPr>
          <w:rFonts w:ascii="Times New Roman" w:hAnsi="Times New Roman" w:cs="Times New Roman" w:eastAsia="Times New Roman" w:hint="default"/>
        </w:rPr>
        <w:t>40</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期末发行在外的优先股、永续债等金融工具变动情况表" w:id="345"/>
      <w:bookmarkEnd w:id="345"/>
      <w:r>
        <w:rPr>
          <w:b w:val="0"/>
          <w:bCs w:val="0"/>
        </w:rPr>
      </w:r>
      <w:r>
        <w:rPr/>
        <w:t>（</w:t>
      </w:r>
      <w:r>
        <w:rPr>
          <w:rFonts w:ascii="Times New Roman" w:hAnsi="Times New Roman" w:cs="Times New Roman" w:eastAsia="Times New Roman" w:hint="default"/>
        </w:rPr>
        <w:t>1</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数量（张）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数量（张）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数量（张）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可转换公司 债券</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154,607,993.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7,799,683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154,607,862.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154,607,993.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7,799,683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154,607,862.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bl>
    <w:p>
      <w:pPr>
        <w:pStyle w:val="BodyText"/>
        <w:spacing w:line="240" w:lineRule="auto" w:before="51"/>
        <w:ind w:left="154" w:right="0"/>
        <w:jc w:val="both"/>
      </w:pPr>
      <w:r>
        <w:rPr/>
        <w:t>其他权益工具本期增减变动情况、变动原因说明，以及相关会计处理的依据：</w:t>
      </w:r>
    </w:p>
    <w:p>
      <w:pPr>
        <w:pStyle w:val="BodyText"/>
        <w:spacing w:line="300" w:lineRule="auto" w:before="116"/>
        <w:ind w:right="1132"/>
        <w:jc w:val="both"/>
      </w:pPr>
      <w:r>
        <w:rPr>
          <w:spacing w:val="-2"/>
        </w:rPr>
        <w:t>本公司于</w:t>
      </w:r>
      <w:r>
        <w:rPr>
          <w:rFonts w:ascii="Times New Roman" w:hAnsi="Times New Roman" w:cs="Times New Roman" w:eastAsia="Times New Roman" w:hint="default"/>
          <w:spacing w:val="-2"/>
        </w:rPr>
        <w:t>2017</w:t>
      </w:r>
      <w:r>
        <w:rPr>
          <w:spacing w:val="-2"/>
        </w:rPr>
        <w:t>年第六届董事会第七次（临时）会议通过了关于公司公开发行可转换公司债券上市的议案，经中国证券监督管</w:t>
      </w:r>
      <w:r>
        <w:rPr>
          <w:spacing w:val="-62"/>
        </w:rPr>
        <w:t> </w:t>
      </w:r>
      <w:r>
        <w:rPr>
          <w:spacing w:val="-62"/>
        </w:rPr>
      </w:r>
      <w:r>
        <w:rPr/>
        <w:t>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[2017]392</w:t>
      </w:r>
      <w:r>
        <w:rPr/>
        <w:t>号</w:t>
      </w:r>
      <w:r>
        <w:rPr>
          <w:rFonts w:ascii="Times New Roman" w:hAnsi="Times New Roman" w:cs="Times New Roman" w:eastAsia="Times New Roman" w:hint="default"/>
        </w:rPr>
        <w:t>”</w:t>
      </w:r>
      <w:r>
        <w:rPr/>
        <w:t>文核准，公司于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日公开发行了</w:t>
      </w:r>
      <w:r>
        <w:rPr>
          <w:rFonts w:ascii="Times New Roman" w:hAnsi="Times New Roman" w:cs="Times New Roman" w:eastAsia="Times New Roman" w:hint="default"/>
        </w:rPr>
        <w:t>780</w:t>
      </w:r>
      <w:r>
        <w:rPr/>
        <w:t>万张可转换公司债券（以下简称</w:t>
      </w:r>
      <w:r>
        <w:rPr>
          <w:rFonts w:ascii="Times New Roman" w:hAnsi="Times New Roman" w:cs="Times New Roman" w:eastAsia="Times New Roman" w:hint="default"/>
        </w:rPr>
        <w:t>“</w:t>
      </w:r>
      <w:r>
        <w:rPr/>
        <w:t>可转债</w:t>
      </w:r>
      <w:r>
        <w:rPr>
          <w:rFonts w:ascii="Times New Roman" w:hAnsi="Times New Roman" w:cs="Times New Roman" w:eastAsia="Times New Roman" w:hint="default"/>
        </w:rPr>
        <w:t>”</w:t>
      </w:r>
      <w:r>
        <w:rPr/>
        <w:t>）， 每张面值</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78,000</w:t>
      </w:r>
      <w:r>
        <w:rPr/>
        <w:t>万元。</w:t>
      </w:r>
      <w:r>
        <w:rPr>
          <w:rFonts w:ascii="Times New Roman" w:hAnsi="Times New Roman" w:cs="Times New Roman" w:eastAsia="Times New Roman" w:hint="default"/>
        </w:rPr>
        <w:t>2017</w:t>
      </w:r>
      <w:r>
        <w:rPr/>
        <w:t>年第四季度，久其转债因转股减少</w:t>
      </w:r>
      <w:r>
        <w:rPr>
          <w:rFonts w:ascii="Times New Roman" w:hAnsi="Times New Roman" w:cs="Times New Roman" w:eastAsia="Times New Roman" w:hint="default"/>
        </w:rPr>
        <w:t>31,700</w:t>
      </w:r>
      <w:r>
        <w:rPr/>
        <w:t>元（</w:t>
      </w:r>
      <w:r>
        <w:rPr>
          <w:rFonts w:ascii="Times New Roman" w:hAnsi="Times New Roman" w:cs="Times New Roman" w:eastAsia="Times New Roman" w:hint="default"/>
        </w:rPr>
        <w:t>317</w:t>
      </w:r>
      <w:r>
        <w:rPr/>
        <w:t>张）。</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41、资本公积" w:id="346"/>
      <w:bookmarkEnd w:id="346"/>
      <w:r>
        <w:rPr>
          <w:b w:val="0"/>
          <w:bCs w:val="0"/>
        </w:rPr>
      </w:r>
      <w:r>
        <w:rPr>
          <w:rFonts w:ascii="Times New Roman" w:hAnsi="Times New Roman" w:cs="Times New Roman" w:eastAsia="Times New Roman" w:hint="default"/>
        </w:rPr>
        <w:t>41</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989,055,624.47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36,276,461.98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862,950,357.45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21,767,320.30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7,238,731.50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29,006,051.80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1,010,822,944.77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43,515,193.48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891,956,409.25</w:t>
            </w:r>
          </w:p>
        </w:tc>
      </w:tr>
    </w:tbl>
    <w:p>
      <w:pPr>
        <w:pStyle w:val="BodyText"/>
        <w:spacing w:line="240" w:lineRule="auto" w:before="51"/>
        <w:ind w:left="154" w:right="983"/>
        <w:jc w:val="left"/>
      </w:pPr>
      <w:r>
        <w:rPr/>
        <w:t>其他说明，包括本期增减变动情况、变动原因说明：</w:t>
      </w:r>
    </w:p>
    <w:p>
      <w:pPr>
        <w:pStyle w:val="BodyText"/>
        <w:spacing w:line="300" w:lineRule="auto" w:before="116"/>
        <w:ind w:right="1168"/>
        <w:jc w:val="left"/>
      </w:pPr>
      <w:r>
        <w:rPr>
          <w:rFonts w:ascii="Times New Roman" w:hAnsi="Times New Roman" w:cs="Times New Roman" w:eastAsia="Times New Roman" w:hint="default"/>
        </w:rPr>
        <w:t>1</w:t>
      </w:r>
      <w:r>
        <w:rPr/>
        <w:t>、本期资本溢价增加系收到员工股权激励款计入资本溢价部分</w:t>
      </w:r>
      <w:r>
        <w:rPr>
          <w:rFonts w:ascii="Times New Roman" w:hAnsi="Times New Roman" w:cs="Times New Roman" w:eastAsia="Times New Roman" w:hint="default"/>
        </w:rPr>
        <w:t>36,061,080.00</w:t>
      </w:r>
      <w:r>
        <w:rPr/>
        <w:t>元，以及将回购股东王新、股东李勇股份并予 以注销增加资本溢价</w:t>
      </w:r>
      <w:r>
        <w:rPr>
          <w:rFonts w:ascii="Times New Roman" w:hAnsi="Times New Roman" w:cs="Times New Roman" w:eastAsia="Times New Roman" w:hint="default"/>
        </w:rPr>
        <w:t>215,381.98</w:t>
      </w:r>
      <w:r>
        <w:rPr/>
        <w:t>元，减少系资本公积转增股本。 </w:t>
      </w:r>
      <w:r>
        <w:rPr>
          <w:rFonts w:ascii="Times New Roman" w:hAnsi="Times New Roman" w:cs="Times New Roman" w:eastAsia="Times New Roman" w:hint="default"/>
        </w:rPr>
        <w:t>2</w:t>
      </w:r>
      <w:r>
        <w:rPr/>
        <w:t>、其他资本公积本年增加系确认</w:t>
      </w:r>
      <w:r>
        <w:rPr>
          <w:rFonts w:ascii="Times New Roman" w:hAnsi="Times New Roman" w:cs="Times New Roman" w:eastAsia="Times New Roman" w:hint="default"/>
        </w:rPr>
        <w:t>7,238,731.50</w:t>
      </w:r>
      <w:r>
        <w:rPr/>
        <w:t>元限制性股票激励费用。</w:t>
      </w:r>
    </w:p>
    <w:p>
      <w:pPr>
        <w:spacing w:line="240" w:lineRule="auto" w:before="1"/>
        <w:rPr>
          <w:rFonts w:ascii="宋体" w:hAnsi="宋体" w:cs="宋体" w:eastAsia="宋体" w:hint="default"/>
          <w:sz w:val="22"/>
          <w:szCs w:val="22"/>
        </w:rPr>
      </w:pPr>
    </w:p>
    <w:p>
      <w:pPr>
        <w:pStyle w:val="Heading3"/>
        <w:spacing w:line="240" w:lineRule="auto"/>
        <w:ind w:left="153" w:right="983"/>
        <w:jc w:val="left"/>
        <w:rPr>
          <w:b w:val="0"/>
          <w:bCs w:val="0"/>
        </w:rPr>
      </w:pPr>
      <w:bookmarkStart w:name="42、库存股" w:id="347"/>
      <w:bookmarkEnd w:id="347"/>
      <w:r>
        <w:rPr>
          <w:b w:val="0"/>
          <w:bCs w:val="0"/>
        </w:rPr>
      </w:r>
      <w:r>
        <w:rPr>
          <w:rFonts w:ascii="Times New Roman" w:hAnsi="Times New Roman" w:cs="Times New Roman" w:eastAsia="Times New Roman" w:hint="default"/>
        </w:rPr>
        <w:t>42</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43,131,880.00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43,131,880.00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43,131,880.00</w:t>
            </w:r>
          </w:p>
        </w:tc>
      </w:tr>
    </w:tbl>
    <w:p>
      <w:pPr>
        <w:pStyle w:val="BodyText"/>
        <w:spacing w:line="357" w:lineRule="auto" w:before="51"/>
        <w:ind w:left="154" w:right="6072"/>
        <w:jc w:val="left"/>
      </w:pPr>
      <w:r>
        <w:rPr/>
        <w:t>其他说明，包括本期增减变动情况、变动原因说明： 本期库存股增加系股权激励计划限制性股票回购义务形成。</w:t>
      </w:r>
    </w:p>
    <w:p>
      <w:pPr>
        <w:spacing w:line="240" w:lineRule="auto" w:before="2"/>
        <w:rPr>
          <w:rFonts w:ascii="宋体" w:hAnsi="宋体" w:cs="宋体" w:eastAsia="宋体" w:hint="default"/>
          <w:sz w:val="20"/>
          <w:szCs w:val="20"/>
        </w:rPr>
      </w:pPr>
    </w:p>
    <w:p>
      <w:pPr>
        <w:pStyle w:val="Heading3"/>
        <w:spacing w:line="240" w:lineRule="auto"/>
        <w:ind w:right="983"/>
        <w:jc w:val="left"/>
        <w:rPr>
          <w:b w:val="0"/>
          <w:bCs w:val="0"/>
        </w:rPr>
      </w:pPr>
      <w:bookmarkStart w:name="43、其他综合收益" w:id="348"/>
      <w:bookmarkEnd w:id="348"/>
      <w:r>
        <w:rPr>
          <w:b w:val="0"/>
          <w:bCs w:val="0"/>
        </w:rPr>
      </w:r>
      <w:r>
        <w:rPr>
          <w:rFonts w:ascii="Times New Roman" w:hAnsi="Times New Roman" w:cs="Times New Roman" w:eastAsia="Times New Roman" w:hint="default"/>
        </w:rPr>
        <w:t>43</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1,302,230.62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-989,779.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1,302,230.62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-989,779.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1,302,230.62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-989,779.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38" w:lineRule="auto" w:before="51"/>
        <w:ind w:right="983"/>
        <w:jc w:val="left"/>
      </w:pPr>
      <w:r>
        <w:rPr/>
        <w:t>其他说明，包括对现金流量套期损益的有效部分转为被套期项目初始确认金额调整： </w:t>
      </w:r>
      <w:r>
        <w:rPr>
          <w:spacing w:val="-2"/>
        </w:rPr>
        <w:t>本期外币财务报表折算差额为全资子公司北京亿起联科技有限公司三级子公司亿起联科技（香港）有限公司期末外币报表折</w:t>
      </w:r>
      <w:r>
        <w:rPr>
          <w:spacing w:val="-64"/>
        </w:rPr>
        <w:t> </w:t>
      </w:r>
      <w:r>
        <w:rPr>
          <w:spacing w:val="-64"/>
        </w:rPr>
      </w:r>
      <w:r>
        <w:rPr/>
        <w:t>算产生。</w:t>
      </w:r>
    </w:p>
    <w:p>
      <w:pPr>
        <w:spacing w:line="240" w:lineRule="auto" w:before="4"/>
        <w:rPr>
          <w:rFonts w:ascii="宋体" w:hAnsi="宋体" w:cs="宋体" w:eastAsia="宋体" w:hint="default"/>
          <w:sz w:val="21"/>
          <w:szCs w:val="21"/>
        </w:rPr>
      </w:pPr>
    </w:p>
    <w:p>
      <w:pPr>
        <w:pStyle w:val="Heading3"/>
        <w:spacing w:line="240" w:lineRule="auto"/>
        <w:ind w:left="153" w:right="983"/>
        <w:jc w:val="left"/>
        <w:rPr>
          <w:b w:val="0"/>
          <w:bCs w:val="0"/>
        </w:rPr>
      </w:pPr>
      <w:bookmarkStart w:name="44、盈余公积" w:id="349"/>
      <w:bookmarkEnd w:id="349"/>
      <w:r>
        <w:rPr>
          <w:b w:val="0"/>
          <w:bCs w:val="0"/>
        </w:rPr>
      </w:r>
      <w:r>
        <w:rPr>
          <w:rFonts w:ascii="Times New Roman" w:hAnsi="Times New Roman" w:cs="Times New Roman" w:eastAsia="Times New Roman" w:hint="default"/>
        </w:rPr>
        <w:t>44</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61,567,741.04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10,927,963.40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72,495,704.44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61,567,741.04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10,927,963.40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72,495,704.44</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45、未分配利润" w:id="350"/>
      <w:bookmarkEnd w:id="350"/>
      <w:r>
        <w:rPr>
          <w:b w:val="0"/>
          <w:bCs w:val="0"/>
        </w:rPr>
      </w:r>
      <w:r>
        <w:rPr>
          <w:rFonts w:ascii="Times New Roman" w:hAnsi="Times New Roman" w:cs="Times New Roman" w:eastAsia="Times New Roman" w:hint="default"/>
        </w:rPr>
        <w:t>45</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548,613,579.60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361,670,071.14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548,613,579.60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361,670,071.14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306,943,384.51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218,609,712.88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10,927,963.40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10,006,526.42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16,238,172.96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21,659,678.00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828,390,827.75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548,613,579.60</w:t>
            </w:r>
          </w:p>
        </w:tc>
      </w:tr>
    </w:tbl>
    <w:p>
      <w:pPr>
        <w:pStyle w:val="BodyText"/>
        <w:spacing w:line="240" w:lineRule="auto" w:before="51"/>
        <w:ind w:left="154" w:right="983"/>
        <w:jc w:val="left"/>
      </w:pPr>
      <w:r>
        <w:rPr/>
        <w:t>调整期初未分配利润明细：</w:t>
      </w:r>
    </w:p>
    <w:p>
      <w:pPr>
        <w:pStyle w:val="BodyText"/>
        <w:spacing w:line="240" w:lineRule="auto" w:before="117"/>
        <w:ind w:left="154" w:right="983"/>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8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983"/>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983"/>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83"/>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983"/>
        <w:jc w:val="left"/>
        <w:rPr>
          <w:b w:val="0"/>
          <w:bCs w:val="0"/>
        </w:rPr>
      </w:pPr>
      <w:bookmarkStart w:name="46、营业收入和营业成本" w:id="351"/>
      <w:bookmarkEnd w:id="351"/>
      <w:r>
        <w:rPr>
          <w:b w:val="0"/>
          <w:bCs w:val="0"/>
        </w:rPr>
      </w:r>
      <w:r>
        <w:rPr>
          <w:rFonts w:ascii="Times New Roman" w:hAnsi="Times New Roman" w:cs="Times New Roman" w:eastAsia="Times New Roman" w:hint="default"/>
        </w:rPr>
        <w:t>46</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1,983,180,235.78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1,006,545,322.82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1,315,796,813.69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553,214,502.52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8,996,745.22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211,053.10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5,005,217.62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933,280.92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1,992,176,981.00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1,006,756,375.92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1,320,802,031.31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554,147,783.44</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47、税金及附加" w:id="352"/>
      <w:bookmarkEnd w:id="352"/>
      <w:r>
        <w:rPr>
          <w:b w:val="0"/>
          <w:bCs w:val="0"/>
        </w:rPr>
      </w:r>
      <w:r>
        <w:rPr>
          <w:rFonts w:ascii="Times New Roman" w:hAnsi="Times New Roman" w:cs="Times New Roman" w:eastAsia="Times New Roman" w:hint="default"/>
        </w:rPr>
        <w:t>47</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4,376,049.05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3,552,691.76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3,215,265.95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2,725,307.12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2,450,350.53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49,215.42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3,209,617.42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2,323,787.26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1,320,771.76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15,575,070.21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7,736,128.06</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48、销售费用" w:id="353"/>
      <w:bookmarkEnd w:id="353"/>
      <w:r>
        <w:rPr>
          <w:b w:val="0"/>
          <w:bCs w:val="0"/>
        </w:rPr>
      </w:r>
      <w:r>
        <w:rPr>
          <w:rFonts w:ascii="Times New Roman" w:hAnsi="Times New Roman" w:cs="Times New Roman" w:eastAsia="Times New Roman" w:hint="default"/>
        </w:rPr>
        <w:t>48</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48,903,239.24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51,438,713.51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8,752,212.89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6,556,461.85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6,875,062.15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6,166,643.20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9,862,440.14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7,278,540.09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2,022,910.00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3,596,553.81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9,556,713.78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9,240,118.63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85,972,578.20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84,277,031.09</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49、管理费用" w:id="354"/>
      <w:bookmarkEnd w:id="354"/>
      <w:r>
        <w:rPr>
          <w:b w:val="0"/>
          <w:bCs w:val="0"/>
        </w:rPr>
      </w:r>
      <w:r>
        <w:rPr>
          <w:rFonts w:ascii="Times New Roman" w:hAnsi="Times New Roman" w:cs="Times New Roman" w:eastAsia="Times New Roman" w:hint="default"/>
        </w:rPr>
        <w:t>49</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232,757,317.80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208,966,078.17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226,943,893.28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173,223,630.10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7,947,971.84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7,855,966.05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14,935,258.42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10,831,334.43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8,453,997.59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7,960,415.33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6,848,505.22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5,848,928.42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3,510,358.05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3,432,263.35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5,153,316.23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3,835,060.78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7,539,675.51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6,811,949.26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1,075,655.61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2,226,122.04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42,333,029.48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35,554,561.16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557,498,979.03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466,546,309.09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983"/>
        <w:jc w:val="left"/>
        <w:rPr>
          <w:b w:val="0"/>
          <w:bCs w:val="0"/>
        </w:rPr>
      </w:pPr>
      <w:bookmarkStart w:name="50、财务费用" w:id="355"/>
      <w:bookmarkEnd w:id="355"/>
      <w:r>
        <w:rPr>
          <w:b w:val="0"/>
          <w:bCs w:val="0"/>
        </w:rPr>
      </w:r>
      <w:r>
        <w:rPr>
          <w:rFonts w:ascii="Times New Roman" w:hAnsi="Times New Roman" w:cs="Times New Roman" w:eastAsia="Times New Roman" w:hint="default"/>
        </w:rPr>
        <w:t>50</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22,324,534.16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2,416,494.61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11,703,464.58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6,762,292.51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7,001,739.45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3,014,896.77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171,356.37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225,916.42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17,794,165.40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-1,104,984.71</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1、资产减值损失" w:id="356"/>
      <w:bookmarkEnd w:id="356"/>
      <w:r>
        <w:rPr>
          <w:b w:val="0"/>
          <w:bCs w:val="0"/>
        </w:rPr>
      </w:r>
      <w:r>
        <w:rPr>
          <w:rFonts w:ascii="Times New Roman" w:hAnsi="Times New Roman" w:cs="Times New Roman" w:eastAsia="Times New Roman" w:hint="default"/>
        </w:rPr>
        <w:t>51</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3,065,681.04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4,825,019.03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5,466,681.04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4,825,019.03</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2、投资收益" w:id="357"/>
      <w:bookmarkEnd w:id="357"/>
      <w:r>
        <w:rPr>
          <w:b w:val="0"/>
          <w:bCs w:val="0"/>
        </w:rPr>
      </w:r>
      <w:r>
        <w:rPr>
          <w:rFonts w:ascii="Times New Roman" w:hAnsi="Times New Roman" w:cs="Times New Roman" w:eastAsia="Times New Roman" w:hint="default"/>
        </w:rPr>
        <w:t>52</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4,162,658.65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2,882,722.35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770,852.79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4,933,511.44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2,882,722.35</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3、资产处置收益" w:id="358"/>
      <w:bookmarkEnd w:id="358"/>
      <w:r>
        <w:rPr>
          <w:b w:val="0"/>
          <w:bCs w:val="0"/>
        </w:rPr>
      </w:r>
      <w:r>
        <w:rPr>
          <w:rFonts w:ascii="Times New Roman" w:hAnsi="Times New Roman" w:cs="Times New Roman" w:eastAsia="Times New Roman" w:hint="default"/>
        </w:rPr>
        <w:t>53</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28,335,690.17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23,879.71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28,335,690.17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23,879.71</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4、其他收益" w:id="359"/>
      <w:bookmarkEnd w:id="359"/>
      <w:r>
        <w:rPr>
          <w:b w:val="0"/>
          <w:bCs w:val="0"/>
        </w:rPr>
      </w:r>
      <w:r>
        <w:rPr>
          <w:rFonts w:ascii="Times New Roman" w:hAnsi="Times New Roman" w:cs="Times New Roman" w:eastAsia="Times New Roman" w:hint="default"/>
        </w:rPr>
        <w:t>54</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21,042,422.42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基于新一代开发平台的集团管控软件的 升级改造项目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315,940.08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久其智慧物流公共服务平台项目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1,489,129.68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2,438,412.24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华夏电通数字媒体综合控制系统产生项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205,462.36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25,491,366.78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5、营业外收入" w:id="360"/>
      <w:bookmarkEnd w:id="360"/>
      <w:r>
        <w:rPr>
          <w:b w:val="0"/>
          <w:bCs w:val="0"/>
        </w:rPr>
      </w:r>
      <w:r>
        <w:rPr>
          <w:rFonts w:ascii="Times New Roman" w:hAnsi="Times New Roman" w:cs="Times New Roman" w:eastAsia="Times New Roman" w:hint="default"/>
        </w:rPr>
        <w:t>55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10,163,803.92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7,796,435.38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10,163,803.92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19,353,898.05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7,179,852.87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466,000.73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7,179,852.87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17,343,656.79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27,616,334.16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17,343,656.79</w:t>
            </w:r>
          </w:p>
        </w:tc>
      </w:tr>
    </w:tbl>
    <w:p>
      <w:pPr>
        <w:pStyle w:val="BodyText"/>
        <w:spacing w:line="240" w:lineRule="auto" w:before="51"/>
        <w:ind w:left="154" w:right="983"/>
        <w:jc w:val="left"/>
      </w:pPr>
      <w:r>
        <w:rPr/>
        <w:t>计入当期损益的政府补助：</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779"/>
        <w:gridCol w:w="1348"/>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上海市静安 区产业专项 资金扶持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上海市静安 区财政局直 接支付零余 额账户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成果转化项 目补助经费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海南省科学 技术厅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中介资金补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779"/>
        <w:gridCol w:w="1348"/>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9"/>
              <w:jc w:val="righ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北京市标准 化交流服务 中心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北京市标准 化交流服务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海南省互联 网产业发展 专项资金非 社保类项目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0"/>
              <w:jc w:val="left"/>
              <w:rPr>
                <w:rFonts w:ascii="宋体" w:hAnsi="宋体" w:cs="宋体" w:eastAsia="宋体" w:hint="default"/>
                <w:sz w:val="18"/>
                <w:szCs w:val="18"/>
              </w:rPr>
            </w:pPr>
            <w:r>
              <w:rPr>
                <w:rFonts w:ascii="宋体" w:hAnsi="宋体" w:cs="宋体" w:eastAsia="宋体" w:hint="default"/>
                <w:sz w:val="18"/>
                <w:szCs w:val="18"/>
              </w:rPr>
              <w:t>海南省工信 </w:t>
            </w:r>
            <w:r>
              <w:rPr>
                <w:rFonts w:ascii="宋体" w:hAnsi="宋体" w:cs="宋体" w:eastAsia="宋体" w:hint="default"/>
                <w:spacing w:val="-13"/>
                <w:sz w:val="18"/>
                <w:szCs w:val="18"/>
              </w:rPr>
              <w:t>厅、海南老城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经济技术开 发区管委会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海南省互联 网产业发展 专项资金社 保补贴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海南省工信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123,407.00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年新认 定高新技术 产品研发补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海南省科技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779"/>
        <w:gridCol w:w="1348"/>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海南省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互联网专项 资金社保</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海南省工信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66,618.75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北京中关村 企业信用促 进会信用评 级中介资金 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北京中关村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 村技术创新 能力建设专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专利 部分</w:t>
            </w:r>
            <w:r>
              <w:rPr>
                <w:rFonts w:ascii="Times New Roman" w:hAnsi="Times New Roman" w:cs="Times New Roman" w:eastAsia="Times New Roman" w:hint="default"/>
                <w:sz w:val="18"/>
                <w:szCs w:val="18"/>
              </w:rPr>
              <w:t>)</w:t>
            </w:r>
            <w:r>
              <w:rPr>
                <w:rFonts w:ascii="宋体" w:hAnsi="宋体" w:cs="宋体" w:eastAsia="宋体" w:hint="default"/>
                <w:sz w:val="18"/>
                <w:szCs w:val="18"/>
              </w:rPr>
              <w:t>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中关村标准 创新服务中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征信报告补 贴</w:t>
            </w:r>
            <w:r>
              <w:rPr>
                <w:rFonts w:ascii="Times New Roman" w:hAnsi="Times New Roman" w:cs="Times New Roman" w:eastAsia="Times New Roman" w:hint="default"/>
                <w:sz w:val="18"/>
                <w:szCs w:val="18"/>
              </w:rPr>
              <w:t>--</w:t>
            </w:r>
            <w:r>
              <w:rPr>
                <w:rFonts w:ascii="宋体" w:hAnsi="宋体" w:cs="宋体" w:eastAsia="宋体" w:hint="default"/>
                <w:sz w:val="18"/>
                <w:szCs w:val="18"/>
              </w:rPr>
              <w:t>中关村 科技园区海 淀园管委会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海淀园管委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证认证补贴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证认证补贴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证认证补贴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779"/>
        <w:gridCol w:w="1348"/>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海淀区企业 专利商用化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2"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年区品 牌建设补贴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上海市静安 区中小企业 服务中心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专精特新补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上海市静安 区财政局直 接支付零余 额账户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型中小企业 促进专项立 项项目首拨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北京市科委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5pt;mso-position-horizontal-relative:char;mso-position-vertical-relative:line" coordorigin="0,0" coordsize="1054,625">
                  <v:group style="position:absolute;left:0;top:0;width:1054;height:625" coordorigin="0,0" coordsize="1054,625">
                    <v:shape style="position:absolute;left:0;top:0;width:1054;height:625" coordorigin="0,0" coordsize="1054,625"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基于新一代 开发平台的 集团管控软 件的升级改 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315,940.08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中介服务支 持资金补贴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专利申请资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北京市中关 村企业信用 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智慧物流公 共服务平台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1,567,992.27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779"/>
        <w:gridCol w:w="1348"/>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怀柔区企业 发展资金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怀柔区渤海 镇人民政府 财政科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679,218.00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892,918.00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华夏电通数 字媒体综合 控制系统生 产项目补助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208,956.36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31"/>
              <w:jc w:val="right"/>
              <w:rPr>
                <w:rFonts w:ascii="宋体" w:hAnsi="宋体" w:cs="宋体" w:eastAsia="宋体" w:hint="default"/>
                <w:sz w:val="18"/>
                <w:szCs w:val="18"/>
              </w:rPr>
            </w:pPr>
            <w:r>
              <w:rPr>
                <w:rFonts w:ascii="宋体" w:hAnsi="宋体" w:cs="宋体" w:eastAsia="宋体" w:hint="default"/>
                <w:sz w:val="18"/>
                <w:szCs w:val="18"/>
              </w:rPr>
              <w:t>工程实验室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711,133.49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北京市商务 委员会北京 市外经贸发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园区管理委 员会企业并 购中介服务 支持资金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广州市天河 区财政局高 新技术企业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天河区科技 工业和信息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北京经济技 术开发区财 政局创新工 程领军人才 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北京经济技 术开发区管 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海南省科学 技术厅创业 英才培训计 划资助资金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海南省科学 技术厅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澄迈县财政 局项目扶持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澄迈县人民 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779"/>
        <w:gridCol w:w="1348"/>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澄迈教育和 科学技术局 项目扶持资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澄迈教具和 科学技术局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北京市海淀 区社保基金 管理中心稳 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区社保基金 管理中心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58,342.17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67,294.18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中关村国家 自主创新示 范区科技型 中小企业信 用贷款扶持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中关村国家 自主创新示 范区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329,041.00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西北旺镇人 民政府奖励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 务经济建设 先进单位资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西北旺镇人 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武清发展基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北京市怀柔 镇镇政府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95,418.00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南翔发展基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北京市怀柔 镇镇政府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783,900.00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178,960.00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10,163,803.92</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7,796,435.38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3"/>
        <w:jc w:val="left"/>
        <w:rPr>
          <w:b w:val="0"/>
          <w:bCs w:val="0"/>
        </w:rPr>
      </w:pPr>
      <w:bookmarkStart w:name="56、营业外支出" w:id="361"/>
      <w:bookmarkEnd w:id="361"/>
      <w:r>
        <w:rPr>
          <w:b w:val="0"/>
          <w:bCs w:val="0"/>
        </w:rPr>
      </w:r>
      <w:r>
        <w:rPr>
          <w:rFonts w:ascii="Times New Roman" w:hAnsi="Times New Roman" w:cs="Times New Roman" w:eastAsia="Times New Roman" w:hint="default"/>
        </w:rPr>
        <w:t>56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200,398.89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247,889.86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200,398.89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174,950.21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163,581.29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174,950.21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395,349.10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451,471.15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395,349.10</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7、所得税费用" w:id="362"/>
      <w:bookmarkEnd w:id="362"/>
      <w:r>
        <w:rPr>
          <w:b w:val="0"/>
          <w:bCs w:val="0"/>
        </w:rPr>
      </w:r>
      <w:r>
        <w:rPr>
          <w:rFonts w:ascii="Times New Roman" w:hAnsi="Times New Roman" w:cs="Times New Roman" w:eastAsia="Times New Roman" w:hint="default"/>
        </w:rPr>
        <w:t>57</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所得税费用表" w:id="363"/>
      <w:bookmarkEnd w:id="36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35,258,633.75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22,226,850.96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-147,524.34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985,272.35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35,111,109.41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23,212,123.31</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会计利润与所得税费用调整过程" w:id="364"/>
      <w:bookmarkEnd w:id="36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378,822,007.28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37,882,200.73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-8,513,598.75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-5,309,710.09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-3,806,658.10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14,858,875.62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35,111,109.41</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8、其他综合收益" w:id="365"/>
      <w:bookmarkEnd w:id="365"/>
      <w:r>
        <w:rPr>
          <w:b w:val="0"/>
          <w:bCs w:val="0"/>
        </w:rPr>
      </w:r>
      <w:r>
        <w:rPr>
          <w:rFonts w:ascii="Times New Roman" w:hAnsi="Times New Roman" w:cs="Times New Roman" w:eastAsia="Times New Roman" w:hint="default"/>
        </w:rPr>
        <w:t>58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详见附注“七、合并财务报表项目注释 </w:t>
      </w:r>
      <w:r>
        <w:rPr>
          <w:rFonts w:ascii="Times New Roman" w:hAnsi="Times New Roman" w:cs="Times New Roman" w:eastAsia="Times New Roman" w:hint="default"/>
        </w:rPr>
        <w:t>43</w:t>
      </w:r>
      <w:r>
        <w:rPr/>
        <w:t>、其他综合收益</w:t>
      </w:r>
      <w:r>
        <w:rPr>
          <w:spacing w:val="-90"/>
        </w:rPr>
        <w:t>”</w:t>
      </w:r>
      <w:r>
        <w:rPr/>
        <w:t>。</w:t>
      </w:r>
    </w:p>
    <w:p>
      <w:pPr>
        <w:spacing w:line="240" w:lineRule="auto" w:before="9"/>
        <w:rPr>
          <w:rFonts w:ascii="宋体" w:hAnsi="宋体" w:cs="宋体" w:eastAsia="宋体" w:hint="default"/>
          <w:sz w:val="25"/>
          <w:szCs w:val="25"/>
        </w:rPr>
      </w:pPr>
    </w:p>
    <w:p>
      <w:pPr>
        <w:pStyle w:val="Heading3"/>
        <w:spacing w:line="240" w:lineRule="auto"/>
        <w:ind w:right="983"/>
        <w:jc w:val="left"/>
        <w:rPr>
          <w:b w:val="0"/>
          <w:bCs w:val="0"/>
        </w:rPr>
      </w:pPr>
      <w:bookmarkStart w:name="59、现金流量表项目" w:id="366"/>
      <w:bookmarkEnd w:id="366"/>
      <w:r>
        <w:rPr>
          <w:b w:val="0"/>
          <w:bCs w:val="0"/>
        </w:rPr>
      </w:r>
      <w:r>
        <w:rPr>
          <w:rFonts w:ascii="Times New Roman" w:hAnsi="Times New Roman" w:cs="Times New Roman" w:eastAsia="Times New Roman" w:hint="default"/>
        </w:rPr>
        <w:t>59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983"/>
        <w:jc w:val="left"/>
        <w:rPr>
          <w:b w:val="0"/>
          <w:bCs w:val="0"/>
        </w:rPr>
      </w:pPr>
      <w:bookmarkStart w:name="（1）收到的其他与经营活动有关的现金" w:id="367"/>
      <w:bookmarkEnd w:id="36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11,703,464.58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6,762,292.51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8,605,267.92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4,149,495.18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收到诉讼赔偿金等其他款项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3,894,917.29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24,203,649.79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10,911,787.69</w:t>
            </w:r>
          </w:p>
        </w:tc>
      </w:tr>
    </w:tbl>
    <w:p>
      <w:pPr>
        <w:spacing w:line="240" w:lineRule="auto" w:before="3"/>
        <w:rPr>
          <w:rFonts w:ascii="宋体" w:hAnsi="宋体" w:cs="宋体" w:eastAsia="宋体" w:hint="default"/>
          <w:sz w:val="19"/>
          <w:szCs w:val="19"/>
        </w:rPr>
      </w:pPr>
    </w:p>
    <w:p>
      <w:pPr>
        <w:pStyle w:val="Heading3"/>
        <w:spacing w:line="240" w:lineRule="auto" w:before="35"/>
        <w:ind w:right="983"/>
        <w:jc w:val="left"/>
        <w:rPr>
          <w:b w:val="0"/>
          <w:bCs w:val="0"/>
        </w:rPr>
      </w:pPr>
      <w:bookmarkStart w:name="（2）支付的其他与经营活动有关的现金" w:id="368"/>
      <w:bookmarkEnd w:id="36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支付销售费用、管理费用和其他支出等 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150,000,784.31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169,730,010.70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150,000,784.31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169,730,010.70</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收到的其他与投资活动有关的现金" w:id="369"/>
      <w:bookmarkEnd w:id="36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收到子公司原股东的承诺补偿款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1,142,635.00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1,142,635.00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4992"/>
        <w:jc w:val="left"/>
      </w:pPr>
      <w:r>
        <w:rPr/>
        <w:t>收到的其他与投资活动有关的现金说明： 系收到子公司北京瑞意恒动科技有限公司原股东履行承诺义务的补偿款。</w:t>
      </w:r>
    </w:p>
    <w:p>
      <w:pPr>
        <w:spacing w:line="240" w:lineRule="auto" w:before="2"/>
        <w:rPr>
          <w:rFonts w:ascii="宋体" w:hAnsi="宋体" w:cs="宋体" w:eastAsia="宋体" w:hint="default"/>
          <w:sz w:val="20"/>
          <w:szCs w:val="20"/>
        </w:rPr>
      </w:pPr>
    </w:p>
    <w:p>
      <w:pPr>
        <w:pStyle w:val="Heading3"/>
        <w:spacing w:line="240" w:lineRule="auto"/>
        <w:ind w:left="153" w:right="983"/>
        <w:jc w:val="left"/>
        <w:rPr>
          <w:b w:val="0"/>
          <w:bCs w:val="0"/>
        </w:rPr>
      </w:pPr>
      <w:bookmarkStart w:name="（4）收到的其他与筹资活动有关的现金" w:id="370"/>
      <w:bookmarkEnd w:id="370"/>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收到子公司原股东资金拆借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072"/>
        <w:jc w:val="left"/>
      </w:pPr>
      <w:r>
        <w:rPr/>
        <w:t>收到的其他与筹资活动有关的现金说明： 系收到子公司上海移通网络有限公司原股东黄家骁往来款。</w:t>
      </w:r>
    </w:p>
    <w:p>
      <w:pPr>
        <w:spacing w:line="240" w:lineRule="auto" w:before="2"/>
        <w:rPr>
          <w:rFonts w:ascii="宋体" w:hAnsi="宋体" w:cs="宋体" w:eastAsia="宋体" w:hint="default"/>
          <w:sz w:val="20"/>
          <w:szCs w:val="20"/>
        </w:rPr>
      </w:pPr>
    </w:p>
    <w:p>
      <w:pPr>
        <w:pStyle w:val="Heading3"/>
        <w:spacing w:line="240" w:lineRule="auto"/>
        <w:ind w:right="983"/>
        <w:jc w:val="left"/>
        <w:rPr>
          <w:b w:val="0"/>
          <w:bCs w:val="0"/>
        </w:rPr>
      </w:pPr>
      <w:bookmarkStart w:name="（5）支付的其他与筹资活动有关的现金" w:id="371"/>
      <w:bookmarkEnd w:id="371"/>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支付股份发行费用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支付华夏电通原股东后续对价</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89,999,999.95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支付瑞意恒动原股东后续对价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支付可转债发行费用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15,078,000.00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94.109985pt;width:151.25pt;height:40.8pt;mso-position-horizontal-relative:page;mso-position-vertical-relative:page;z-index:-1056544" coordorigin="4467,9882" coordsize="3025,816">
            <v:group style="position:absolute;left:4478;top:9894;width:2;height:392" coordorigin="4478,9894" coordsize="2,392">
              <v:shape style="position:absolute;left:4478;top:9894;width:2;height:392" coordorigin="4478,9894" coordsize="0,392" path="m4478,9894l4478,10285e" filled="false" stroked="true" strokeweight="1.140pt" strokecolor="#ffffff">
                <v:path arrowok="t"/>
              </v:shape>
            </v:group>
            <v:group style="position:absolute;left:4490;top:9894;width:3002;height:392" coordorigin="4490,9894" coordsize="3002,392">
              <v:shape style="position:absolute;left:4490;top:9894;width:3002;height:392" coordorigin="4490,9894" coordsize="3002,392" path="m4490,10285l7491,10285,7491,9894,4490,9894,4490,10285xe" filled="true" fillcolor="#ffffff" stroked="false">
                <v:path arrowok="t"/>
                <v:fill type="solid"/>
              </v:shape>
            </v:group>
            <v:group style="position:absolute;left:4478;top:10296;width:2;height:392" coordorigin="4478,10296" coordsize="2,392">
              <v:shape style="position:absolute;left:4478;top:10296;width:2;height:392" coordorigin="4478,10296" coordsize="0,392" path="m4478,10296l4478,10687e" filled="false" stroked="true" strokeweight="1.140pt" strokecolor="#ffffff">
                <v:path arrowok="t"/>
              </v:shape>
            </v:group>
            <v:group style="position:absolute;left:4490;top:10296;width:3002;height:392" coordorigin="4490,10296" coordsize="3002,392">
              <v:shape style="position:absolute;left:4490;top:10296;width:3002;height:392" coordorigin="4490,10296" coordsize="3002,392" path="m4490,10687l7491,10687,7491,10296,4490,10296,4490,1068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90,899,999.95</w:t>
            </w:r>
          </w:p>
        </w:tc>
      </w:tr>
    </w:tbl>
    <w:p>
      <w:pPr>
        <w:pStyle w:val="BodyText"/>
        <w:spacing w:line="357" w:lineRule="auto" w:before="51"/>
        <w:ind w:left="154" w:right="3642"/>
        <w:jc w:val="left"/>
      </w:pPr>
      <w:r>
        <w:rPr/>
        <w:t>支付的其他与筹资活动有关的现金说明： 系支付给瑞意恒动原股东后续对价</w:t>
      </w:r>
      <w:r>
        <w:rPr>
          <w:rFonts w:ascii="Times New Roman" w:hAnsi="Times New Roman" w:cs="Times New Roman" w:eastAsia="Times New Roman" w:hint="default"/>
        </w:rPr>
        <w:t>61,500,000.00</w:t>
      </w:r>
      <w:r>
        <w:rPr/>
        <w:t>元及支付可转债发行费用</w:t>
      </w:r>
      <w:r>
        <w:rPr>
          <w:rFonts w:ascii="Times New Roman" w:hAnsi="Times New Roman" w:cs="Times New Roman" w:eastAsia="Times New Roman" w:hint="default"/>
        </w:rPr>
        <w:t>15,078,000.00</w:t>
      </w:r>
      <w:r>
        <w:rPr/>
        <w:t>元。</w:t>
      </w:r>
    </w:p>
    <w:p>
      <w:pPr>
        <w:spacing w:line="240" w:lineRule="auto" w:before="5"/>
        <w:rPr>
          <w:rFonts w:ascii="宋体" w:hAnsi="宋体" w:cs="宋体" w:eastAsia="宋体" w:hint="default"/>
          <w:sz w:val="18"/>
          <w:szCs w:val="18"/>
        </w:rPr>
      </w:pPr>
    </w:p>
    <w:p>
      <w:pPr>
        <w:pStyle w:val="Heading3"/>
        <w:spacing w:line="240" w:lineRule="auto"/>
        <w:ind w:right="983"/>
        <w:jc w:val="left"/>
        <w:rPr>
          <w:b w:val="0"/>
          <w:bCs w:val="0"/>
        </w:rPr>
      </w:pPr>
      <w:bookmarkStart w:name="60、现金流量表补充资料" w:id="372"/>
      <w:bookmarkEnd w:id="372"/>
      <w:r>
        <w:rPr>
          <w:b w:val="0"/>
          <w:bCs w:val="0"/>
        </w:rPr>
      </w:r>
      <w:r>
        <w:rPr>
          <w:rFonts w:ascii="Times New Roman" w:hAnsi="Times New Roman" w:cs="Times New Roman" w:eastAsia="Times New Roman" w:hint="default"/>
        </w:rPr>
        <w:t>60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现金流量表补充资料" w:id="373"/>
      <w:bookmarkEnd w:id="37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343,710,897.87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211,234,087.07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5,466,681.04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4,825,019.03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18,588,114.42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15,208,069.62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17,814,378.13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15,150,960.10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1,444,410.60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723,915.01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-28,335,690.17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224,010.15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200,398.89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29,482,140.23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4,255,039.21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25" w:right="0"/>
              <w:jc w:val="left"/>
              <w:rPr>
                <w:rFonts w:ascii="Times New Roman" w:hAnsi="Times New Roman" w:cs="Times New Roman" w:eastAsia="Times New Roman" w:hint="default"/>
                <w:sz w:val="18"/>
                <w:szCs w:val="18"/>
              </w:rPr>
            </w:pPr>
            <w:r>
              <w:rPr>
                <w:rFonts w:ascii="Times New Roman"/>
                <w:sz w:val="18"/>
              </w:rPr>
              <w:t>-4,933,511.44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-2,882,722.35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54,270.66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939,091.23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-231,795.00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9,082,226.96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21,630,689.75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-356,060,854.99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-228,673,412.46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82,147,276.83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53,832,601.53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9,490,981.50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127,919,925.53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96,467,347.89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909,580,073.82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686,418,668.57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686,418,668.57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835,294,556.06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223,161,405.25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7" w:right="0"/>
              <w:jc w:val="left"/>
              <w:rPr>
                <w:rFonts w:ascii="Times New Roman" w:hAnsi="Times New Roman" w:cs="Times New Roman" w:eastAsia="Times New Roman" w:hint="default"/>
                <w:sz w:val="18"/>
                <w:szCs w:val="18"/>
              </w:rPr>
            </w:pPr>
            <w:r>
              <w:rPr>
                <w:rFonts w:ascii="Times New Roman"/>
                <w:sz w:val="18"/>
              </w:rPr>
              <w:t>-148,875,887.49</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本期支付的取得子公司的现金净额" w:id="374"/>
      <w:bookmarkEnd w:id="37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139,265,366.23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139,265,366.23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105,534,633.77</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3）现金和现金等价物的构成" w:id="375"/>
      <w:bookmarkEnd w:id="375"/>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909,580,073.82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686,418,668.57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551,375.25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734,794.64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908,215,833.27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684,924,301.98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812,865.30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759,571.95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909,580,073.82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686,418,668.57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23,368,051.49</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61、所有者权益变动表项目注释" w:id="376"/>
      <w:bookmarkEnd w:id="376"/>
      <w:r>
        <w:rPr>
          <w:b w:val="0"/>
          <w:bCs w:val="0"/>
        </w:rPr>
      </w:r>
      <w:r>
        <w:rPr>
          <w:rFonts w:ascii="Times New Roman" w:hAnsi="Times New Roman" w:cs="Times New Roman" w:eastAsia="Times New Roman" w:hint="default"/>
        </w:rPr>
        <w:t>61</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3"/>
        <w:spacing w:line="240" w:lineRule="auto"/>
        <w:ind w:right="983"/>
        <w:jc w:val="left"/>
        <w:rPr>
          <w:b w:val="0"/>
          <w:bCs w:val="0"/>
        </w:rPr>
      </w:pPr>
      <w:bookmarkStart w:name="62、所有权或使用权受到限制的资产" w:id="377"/>
      <w:bookmarkEnd w:id="377"/>
      <w:r>
        <w:rPr>
          <w:b w:val="0"/>
          <w:bCs w:val="0"/>
        </w:rPr>
      </w:r>
      <w:r>
        <w:rPr>
          <w:rFonts w:ascii="Times New Roman" w:hAnsi="Times New Roman" w:cs="Times New Roman" w:eastAsia="Times New Roman" w:hint="default"/>
        </w:rPr>
        <w:t>62</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23,368,051.49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80"/>
        <w:gridCol w:w="3161"/>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23,368,051.49</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63、外币货币性项目" w:id="378"/>
      <w:bookmarkEnd w:id="378"/>
      <w:r>
        <w:rPr>
          <w:b w:val="0"/>
          <w:bCs w:val="0"/>
        </w:rPr>
      </w:r>
      <w:r>
        <w:rPr>
          <w:rFonts w:ascii="Times New Roman" w:hAnsi="Times New Roman" w:cs="Times New Roman" w:eastAsia="Times New Roman" w:hint="default"/>
        </w:rPr>
        <w:t>63</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外币货币性项目" w:id="379"/>
      <w:bookmarkEnd w:id="37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23,171,378.75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19,368,955.50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23,171,378.75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19,368,955.50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168,520,079.52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140,865,934.47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168,520,079.52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140,865,934.47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1,321,073.00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1,104,284.92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1,321,073.00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1,104,284.92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122,453,630.09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102,358,989.39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122,453,630.09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102,358,989.39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22,292,038.53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18,633,915.01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22,292,038.53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18,633,915.01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85,825,300.00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05"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85,825,300.00</w:t>
            </w:r>
          </w:p>
        </w:tc>
      </w:tr>
    </w:tbl>
    <w:p>
      <w:pPr>
        <w:spacing w:line="240" w:lineRule="auto" w:before="2"/>
        <w:rPr>
          <w:rFonts w:ascii="宋体" w:hAnsi="宋体" w:cs="宋体" w:eastAsia="宋体" w:hint="default"/>
          <w:sz w:val="19"/>
          <w:szCs w:val="19"/>
        </w:rPr>
      </w:pPr>
    </w:p>
    <w:p>
      <w:pPr>
        <w:pStyle w:val="Heading3"/>
        <w:spacing w:line="259" w:lineRule="auto" w:before="35"/>
        <w:ind w:right="983"/>
        <w:jc w:val="left"/>
        <w:rPr>
          <w:b w:val="0"/>
          <w:bCs w:val="0"/>
        </w:rPr>
      </w:pPr>
      <w:bookmarkStart w:name="（2）境外经营实体说明，包括对于重要的境外经营实体，应披露其境外主要经营地、记账" w:id="380"/>
      <w:bookmarkEnd w:id="38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bookmarkStart w:name="八、合并范围的变更" w:id="381"/>
      <w:bookmarkEnd w:id="381"/>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非同一控制下企业合并" w:id="382"/>
      <w:bookmarkEnd w:id="38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本期发生的非同一控制下企业合并" w:id="383"/>
      <w:bookmarkEnd w:id="38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922"/>
        <w:gridCol w:w="1417"/>
        <w:gridCol w:w="851"/>
        <w:gridCol w:w="851"/>
        <w:gridCol w:w="992"/>
        <w:gridCol w:w="993"/>
        <w:gridCol w:w="1276"/>
        <w:gridCol w:w="1205"/>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5" w:right="9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0" w:right="40"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56"/>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上海移通网 络有限公司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734,400,000.00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448,112,736.90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87,222,837.58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其他说明：</w:t>
      </w:r>
    </w:p>
    <w:p>
      <w:pPr>
        <w:pStyle w:val="BodyText"/>
        <w:spacing w:line="300" w:lineRule="auto" w:before="115"/>
        <w:ind w:right="1132"/>
        <w:jc w:val="both"/>
      </w:pPr>
      <w:r>
        <w:rPr/>
        <w:t>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日第六届董事会第二次（临时）会议以及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日第一次临时股东大会审议通过，公司与北京久其 </w:t>
      </w:r>
      <w:r>
        <w:rPr>
          <w:spacing w:val="-3"/>
        </w:rPr>
        <w:t>科技投资有限公司以支付现金方式作价</w:t>
      </w:r>
      <w:r>
        <w:rPr>
          <w:rFonts w:ascii="Times New Roman" w:hAnsi="Times New Roman" w:cs="Times New Roman" w:eastAsia="Times New Roman" w:hint="default"/>
          <w:spacing w:val="-3"/>
        </w:rPr>
        <w:t>14.4</w:t>
      </w:r>
      <w:r>
        <w:rPr>
          <w:spacing w:val="-3"/>
        </w:rPr>
        <w:t>亿元人民币分别受让上海移通</w:t>
      </w:r>
      <w:r>
        <w:rPr>
          <w:rFonts w:ascii="Times New Roman" w:hAnsi="Times New Roman" w:cs="Times New Roman" w:eastAsia="Times New Roman" w:hint="default"/>
          <w:spacing w:val="-3"/>
        </w:rPr>
        <w:t>51%</w:t>
      </w:r>
      <w:r>
        <w:rPr>
          <w:spacing w:val="-3"/>
        </w:rPr>
        <w:t>股权和</w:t>
      </w:r>
      <w:r>
        <w:rPr>
          <w:rFonts w:ascii="Times New Roman" w:hAnsi="Times New Roman" w:cs="Times New Roman" w:eastAsia="Times New Roman" w:hint="default"/>
          <w:spacing w:val="-3"/>
        </w:rPr>
        <w:t>49%</w:t>
      </w:r>
      <w:r>
        <w:rPr>
          <w:spacing w:val="-3"/>
        </w:rPr>
        <w:t>股权，其中，公司取得上海移通</w:t>
      </w:r>
      <w:r>
        <w:rPr>
          <w:rFonts w:ascii="Times New Roman" w:hAnsi="Times New Roman" w:cs="Times New Roman" w:eastAsia="Times New Roman" w:hint="default"/>
          <w:spacing w:val="-3"/>
        </w:rPr>
        <w:t>51%</w:t>
      </w:r>
      <w:r>
        <w:rPr>
          <w:rFonts w:ascii="Times New Roman" w:hAnsi="Times New Roman" w:cs="Times New Roman" w:eastAsia="Times New Roman" w:hint="default"/>
          <w:spacing w:val="6"/>
        </w:rPr>
        <w:t> </w:t>
      </w:r>
      <w:r>
        <w:rPr/>
        <w:t>股权的对价为</w:t>
      </w:r>
      <w:r>
        <w:rPr>
          <w:rFonts w:ascii="Times New Roman" w:hAnsi="Times New Roman" w:cs="Times New Roman" w:eastAsia="Times New Roman" w:hint="default"/>
        </w:rPr>
        <w:t>7.344</w:t>
      </w:r>
      <w:r>
        <w:rPr/>
        <w:t>亿元人民币，前述交易已于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日完成股权资产过户手续及相关工商变更登记工作。</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合并成本及商誉" w:id="384"/>
      <w:bookmarkEnd w:id="38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487"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86,739,603.18</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647,660,396.82</w:t>
            </w:r>
          </w:p>
        </w:tc>
      </w:tr>
    </w:tbl>
    <w:p>
      <w:pPr>
        <w:pStyle w:val="BodyText"/>
        <w:spacing w:line="240" w:lineRule="auto" w:before="51"/>
        <w:ind w:left="154" w:right="983"/>
        <w:jc w:val="left"/>
      </w:pPr>
      <w:r>
        <w:rPr/>
        <w:t>合并成本公允价值的确定方法、或有对价及其变动的说明：公司收购上海移通网络有限公司合并成本共</w:t>
      </w:r>
      <w:r>
        <w:rPr>
          <w:spacing w:val="-46"/>
        </w:rPr>
        <w:t> </w:t>
      </w:r>
      <w:r>
        <w:rPr>
          <w:rFonts w:ascii="Times New Roman" w:hAnsi="Times New Roman" w:cs="Times New Roman" w:eastAsia="Times New Roman" w:hint="default"/>
        </w:rPr>
        <w:t>73,440</w:t>
      </w:r>
      <w:r>
        <w:rPr>
          <w:rFonts w:ascii="Times New Roman" w:hAnsi="Times New Roman" w:cs="Times New Roman" w:eastAsia="Times New Roman" w:hint="default"/>
          <w:spacing w:val="-1"/>
        </w:rPr>
        <w:t> </w:t>
      </w:r>
      <w:r>
        <w:rPr/>
        <w:t>万元；现金</w:t>
      </w:r>
    </w:p>
    <w:p>
      <w:pPr>
        <w:pStyle w:val="BodyText"/>
        <w:spacing w:line="340" w:lineRule="auto" w:before="63"/>
        <w:ind w:right="2293"/>
        <w:jc w:val="left"/>
      </w:pPr>
      <w:r>
        <w:rPr/>
        <w:t>支付对价共</w:t>
      </w:r>
      <w:r>
        <w:rPr>
          <w:spacing w:val="-46"/>
        </w:rPr>
        <w:t> </w:t>
      </w:r>
      <w:r>
        <w:rPr>
          <w:rFonts w:ascii="Times New Roman" w:hAnsi="Times New Roman" w:cs="Times New Roman" w:eastAsia="Times New Roman" w:hint="default"/>
        </w:rPr>
        <w:t>73,440</w:t>
      </w:r>
      <w:r>
        <w:rPr>
          <w:rFonts w:ascii="Times New Roman" w:hAnsi="Times New Roman" w:cs="Times New Roman" w:eastAsia="Times New Roman" w:hint="default"/>
          <w:spacing w:val="-1"/>
        </w:rPr>
        <w:t> </w:t>
      </w:r>
      <w:r>
        <w:rPr/>
        <w:t>万元，现金支付占全部交易总额比例</w:t>
      </w:r>
      <w:r>
        <w:rPr>
          <w:spacing w:val="-46"/>
        </w:rPr>
        <w:t> </w:t>
      </w:r>
      <w:r>
        <w:rPr>
          <w:rFonts w:ascii="Times New Roman" w:hAnsi="Times New Roman" w:cs="Times New Roman" w:eastAsia="Times New Roman" w:hint="default"/>
        </w:rPr>
        <w:t>100%</w:t>
      </w:r>
      <w:r>
        <w:rPr/>
        <w:t>；报告期内实际支付</w:t>
      </w:r>
      <w:r>
        <w:rPr>
          <w:spacing w:val="-46"/>
        </w:rPr>
        <w:t> </w:t>
      </w:r>
      <w:r>
        <w:rPr>
          <w:rFonts w:ascii="Times New Roman" w:hAnsi="Times New Roman" w:cs="Times New Roman" w:eastAsia="Times New Roman" w:hint="default"/>
        </w:rPr>
        <w:t>24,480 </w:t>
      </w:r>
      <w:r>
        <w:rPr/>
        <w:t>万元。 大额商誉形成的主要原因：大额商誉是由收购总价与被购买方购买日可辨认净资产的公允价值差额确定的。</w:t>
      </w:r>
    </w:p>
    <w:p>
      <w:pPr>
        <w:spacing w:line="240" w:lineRule="auto" w:before="12"/>
        <w:rPr>
          <w:rFonts w:ascii="宋体" w:hAnsi="宋体" w:cs="宋体" w:eastAsia="宋体" w:hint="default"/>
          <w:sz w:val="20"/>
          <w:szCs w:val="20"/>
        </w:rPr>
      </w:pPr>
    </w:p>
    <w:p>
      <w:pPr>
        <w:pStyle w:val="Heading3"/>
        <w:spacing w:line="240" w:lineRule="auto"/>
        <w:ind w:left="153" w:right="983"/>
        <w:jc w:val="left"/>
        <w:rPr>
          <w:b w:val="0"/>
          <w:bCs w:val="0"/>
        </w:rPr>
      </w:pPr>
      <w:bookmarkStart w:name="（3）被购买方于购买日可辨认资产、负债" w:id="385"/>
      <w:bookmarkEnd w:id="38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0CECE"/>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上海移通网络有限公司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274,187,142.27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254,441,642.27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139,265,366.23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139,265,366.23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58,073,776.82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58,073,776.82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19,766,503.72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51,822,829.24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51,822,829.24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101,147,663.97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101,147,663.97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77,954,593.57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77,954,593.57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12,289,142.85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12,289,142.85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173,039,478.30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153,293,978.30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83,338,050.12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86,739,603.18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3553"/>
        <w:jc w:val="left"/>
      </w:pPr>
      <w:r>
        <w:rPr/>
        <w:t>可辨认资产、负债公允价值的确定方法： 上海移通网络有限公司收购时有评估报告，可辨认资产、负债公允价值根据评估报告确定。 企业合并中承担的被购买方的或有负债：</w:t>
      </w:r>
    </w:p>
    <w:p>
      <w:pPr>
        <w:pStyle w:val="BodyText"/>
        <w:spacing w:line="240" w:lineRule="auto" w:before="27"/>
        <w:ind w:right="983"/>
        <w:jc w:val="left"/>
      </w:pPr>
      <w:r>
        <w:rPr/>
        <w:t>无</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983"/>
        <w:jc w:val="left"/>
        <w:rPr>
          <w:b w:val="0"/>
          <w:bCs w:val="0"/>
        </w:rPr>
      </w:pPr>
      <w:bookmarkStart w:name="（4）购买日之前持有的股权按照公允价值重新计量产生的利得或损失" w:id="386"/>
      <w:bookmarkEnd w:id="38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是否存在通过多次交易分步实现企业合并且在报告期内取得控制权的交易</w:t>
      </w:r>
    </w:p>
    <w:p>
      <w:pPr>
        <w:pStyle w:val="BodyText"/>
        <w:spacing w:line="240" w:lineRule="auto" w:before="116"/>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left="153" w:right="983"/>
        <w:jc w:val="left"/>
        <w:rPr>
          <w:b w:val="0"/>
          <w:bCs w:val="0"/>
        </w:rPr>
      </w:pPr>
      <w:bookmarkStart w:name="（5）购买日或合并当期期末无法合理确定合并对价或被购买方可辨认资产、负债公允价值" w:id="387"/>
      <w:bookmarkEnd w:id="38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6）其他说明" w:id="388"/>
      <w:bookmarkEnd w:id="38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2、其他原因的合并范围变动" w:id="389"/>
      <w:bookmarkEnd w:id="389"/>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说明其他原因导致的合并范围变动（如，新设子公司、清算子公司等）及其相关情况：</w:t>
      </w:r>
    </w:p>
    <w:p>
      <w:pPr>
        <w:pStyle w:val="BodyText"/>
        <w:spacing w:line="300" w:lineRule="auto" w:before="115"/>
        <w:ind w:right="11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日，经公司第六届董事会第五次（临时）会议审议通过，公司以货币出资</w:t>
      </w:r>
      <w:r>
        <w:rPr>
          <w:rFonts w:ascii="Times New Roman" w:hAnsi="Times New Roman" w:cs="Times New Roman" w:eastAsia="Times New Roman" w:hint="default"/>
        </w:rPr>
        <w:t>5,000</w:t>
      </w:r>
      <w:r>
        <w:rPr/>
        <w:t>万元设立久其数字传播有限 公司。持有</w:t>
      </w:r>
      <w:r>
        <w:rPr>
          <w:rFonts w:ascii="Times New Roman" w:hAnsi="Times New Roman" w:cs="Times New Roman" w:eastAsia="Times New Roman" w:hint="default"/>
        </w:rPr>
        <w:t>100%</w:t>
      </w:r>
      <w:r>
        <w:rPr/>
        <w:t>股权。截止报告期末，公司累计向久其数字传播有限公司出资</w:t>
      </w:r>
      <w:r>
        <w:rPr>
          <w:rFonts w:ascii="Times New Roman" w:hAnsi="Times New Roman" w:cs="Times New Roman" w:eastAsia="Times New Roman" w:hint="default"/>
        </w:rPr>
        <w:t>1,000</w:t>
      </w:r>
      <w:r>
        <w:rPr/>
        <w:t>万元。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日，经公司第六届董事会第三次（临时）会议审议通过了公司与中铁建资产管理有限公司共同出资设立北京 </w:t>
      </w:r>
      <w:r>
        <w:rPr>
          <w:spacing w:val="-1"/>
        </w:rPr>
        <w:t>久其金建科技有限公司，本公司以货币资金出资</w:t>
      </w:r>
      <w:r>
        <w:rPr>
          <w:rFonts w:ascii="Times New Roman" w:hAnsi="Times New Roman" w:cs="Times New Roman" w:eastAsia="Times New Roman" w:hint="default"/>
          <w:spacing w:val="-1"/>
        </w:rPr>
        <w:t>2,250</w:t>
      </w:r>
      <w:r>
        <w:rPr>
          <w:spacing w:val="-1"/>
        </w:rPr>
        <w:t>万元，持有</w:t>
      </w:r>
      <w:r>
        <w:rPr>
          <w:rFonts w:ascii="Times New Roman" w:hAnsi="Times New Roman" w:cs="Times New Roman" w:eastAsia="Times New Roman" w:hint="default"/>
          <w:spacing w:val="-1"/>
        </w:rPr>
        <w:t>75%</w:t>
      </w:r>
      <w:r>
        <w:rPr>
          <w:spacing w:val="-1"/>
        </w:rPr>
        <w:t>股权，中铁建资产管理有限公司以货币资金出资</w:t>
      </w:r>
      <w:r>
        <w:rPr>
          <w:rFonts w:ascii="Times New Roman" w:hAnsi="Times New Roman" w:cs="Times New Roman" w:eastAsia="Times New Roman" w:hint="default"/>
          <w:spacing w:val="-1"/>
        </w:rPr>
        <w:t>750</w:t>
      </w:r>
      <w:r>
        <w:rPr>
          <w:spacing w:val="-1"/>
        </w:rPr>
        <w:t>万</w:t>
      </w:r>
      <w:r>
        <w:rPr>
          <w:spacing w:val="-42"/>
        </w:rPr>
        <w:t> </w:t>
      </w:r>
      <w:r>
        <w:rPr/>
        <w:t>元，持有</w:t>
      </w:r>
      <w:r>
        <w:rPr>
          <w:rFonts w:ascii="Times New Roman" w:hAnsi="Times New Roman" w:cs="Times New Roman" w:eastAsia="Times New Roman" w:hint="default"/>
        </w:rPr>
        <w:t>25%</w:t>
      </w:r>
      <w:r>
        <w:rPr/>
        <w:t>股权。截至报告期末，公司累计向北京久其金建科技有限公司出资</w:t>
      </w:r>
      <w:r>
        <w:rPr>
          <w:rFonts w:ascii="Times New Roman" w:hAnsi="Times New Roman" w:cs="Times New Roman" w:eastAsia="Times New Roman" w:hint="default"/>
        </w:rPr>
        <w:t>2,250</w:t>
      </w:r>
      <w:r>
        <w:rPr/>
        <w:t>万元。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日，小驿科技（海南）有限公司股东海南久其云计算科技有限公司的法定代表人赵福君、股东王宏斌和股东</w:t>
      </w:r>
      <w:r>
        <w:rPr>
          <w:spacing w:val="-58"/>
        </w:rPr>
        <w:t> </w:t>
      </w:r>
      <w:r>
        <w:rPr>
          <w:spacing w:val="-58"/>
        </w:rPr>
      </w:r>
      <w:r>
        <w:rPr/>
        <w:t>曲天来共三人召开股东会，会议形成决议注销新疆小驿物流有限公司。截至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日，已完成工商税务注销。</w:t>
      </w:r>
    </w:p>
    <w:p>
      <w:pPr>
        <w:spacing w:line="240" w:lineRule="auto" w:before="4"/>
        <w:rPr>
          <w:rFonts w:ascii="宋体" w:hAnsi="宋体" w:cs="宋体" w:eastAsia="宋体" w:hint="default"/>
          <w:sz w:val="20"/>
          <w:szCs w:val="20"/>
        </w:rPr>
      </w:pPr>
    </w:p>
    <w:p>
      <w:pPr>
        <w:pStyle w:val="Heading2"/>
        <w:spacing w:line="240" w:lineRule="auto"/>
        <w:ind w:right="983"/>
        <w:jc w:val="left"/>
        <w:rPr>
          <w:b w:val="0"/>
          <w:bCs w:val="0"/>
        </w:rPr>
      </w:pPr>
      <w:bookmarkStart w:name="九、在其他主体中的权益" w:id="390"/>
      <w:bookmarkEnd w:id="39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在子公司中的权益" w:id="391"/>
      <w:bookmarkEnd w:id="39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企业集团的构成" w:id="392"/>
      <w:bookmarkEnd w:id="39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西安久其软件有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北京久其政务软 件股份有限公司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新疆久其科技有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海南久其云计算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北京亿起联科技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北京久其龙信数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北京久其互联网 金融信息服务有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北京华夏电通科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北京蜂语网络科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北京中民颐养科 技服务有限公司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深圳市久金保商 业保理有限公司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北京瑞意恒动科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海南久其互联网 产业研究院有限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上海移通网络有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北京久其金建科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久其数字传播有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1"/>
        <w:ind w:left="154" w:right="6972"/>
        <w:jc w:val="left"/>
      </w:pPr>
      <w:r>
        <w:rPr/>
        <w:t>在子公司的持股比例不同于表决权比例的说明： 无</w:t>
      </w:r>
    </w:p>
    <w:p>
      <w:pPr>
        <w:pStyle w:val="BodyText"/>
        <w:spacing w:line="240" w:lineRule="auto" w:before="29"/>
        <w:ind w:left="154" w:right="983"/>
        <w:jc w:val="left"/>
      </w:pPr>
      <w:r>
        <w:rPr/>
        <w:t>持有半数或以下表决权但仍控制被投资单位、以及持有半数以上表决权但不控制被投资单位的依据：</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left="154" w:right="6432"/>
        <w:jc w:val="left"/>
      </w:pPr>
      <w:r>
        <w:rPr/>
        <w:t>无 对于纳入合并范围的重要的结构化主体，控制的依据： 无</w:t>
      </w:r>
    </w:p>
    <w:p>
      <w:pPr>
        <w:pStyle w:val="BodyText"/>
        <w:spacing w:line="357" w:lineRule="auto" w:before="27"/>
        <w:ind w:left="154" w:right="7692"/>
        <w:jc w:val="left"/>
      </w:pPr>
      <w:r>
        <w:rPr/>
        <w:t>确定公司是代理人还是委托人的依据：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983"/>
        <w:jc w:val="left"/>
        <w:rPr>
          <w:b w:val="0"/>
          <w:bCs w:val="0"/>
        </w:rPr>
      </w:pPr>
      <w:bookmarkStart w:name="（2）重要的非全资子公司" w:id="393"/>
      <w:bookmarkEnd w:id="39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396,417.16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2,852,254.42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北京久其政务软件股份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10,169.67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1,888,031.90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北京久其智通数据科技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-2,847,249.99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1,237,211.80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北京久其龙信数据科技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-1,233,594.95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1,572,352.87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北京久其互联网金融信 息服务有限公司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-574,963.77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1,469,046.82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北京蜂语网络科技有限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-2,971,506.13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2,642,755.89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北京中民颐养科技服务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3,639.77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1,963,631.30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北京久其金建科技有限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1,069,971.25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8,569,971.25</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42,625,610.86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127,414,955.23</w:t>
            </w:r>
          </w:p>
        </w:tc>
      </w:tr>
    </w:tbl>
    <w:p>
      <w:pPr>
        <w:pStyle w:val="BodyText"/>
        <w:spacing w:line="357" w:lineRule="auto" w:before="51"/>
        <w:ind w:left="154" w:right="6432"/>
        <w:jc w:val="left"/>
      </w:pPr>
      <w:r>
        <w:rPr/>
        <w:t>子公司少数股东的持股比例不同于表决权比例的说明：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983"/>
        <w:jc w:val="left"/>
        <w:rPr>
          <w:b w:val="0"/>
          <w:bCs w:val="0"/>
        </w:rPr>
      </w:pPr>
      <w:bookmarkStart w:name="（3）重要非全资子公司的主要财务信息" w:id="394"/>
      <w:bookmarkEnd w:id="39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652"/>
        <w:gridCol w:w="1182"/>
        <w:gridCol w:w="1091"/>
        <w:gridCol w:w="1181"/>
        <w:gridCol w:w="1181"/>
        <w:gridCol w:w="590"/>
        <w:gridCol w:w="1182"/>
        <w:gridCol w:w="1091"/>
        <w:gridCol w:w="1091"/>
        <w:gridCol w:w="1181"/>
        <w:gridCol w:w="1001"/>
        <w:gridCol w:w="591"/>
        <w:gridCol w:w="1002"/>
      </w:tblGrid>
      <w:tr>
        <w:trPr>
          <w:trHeight w:val="402"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7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40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89"/>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9" w:right="109"/>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8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 w:right="108"/>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5"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广东久其软件有限 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9,820,256.80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108,820.04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9,929,076.84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1,363,748.26</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1,363,748.26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8,567,099.30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264,483.84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8,831,583.14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1,456,696.49</w:t>
            </w: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1,456,696.49</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北京久其政务软件 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320,182,575.69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70,066,819.17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390,249,394.86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12,643,015.01</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12,643,015.01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63,973,661.15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41,189,324.95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105,162,986.10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9,590,540.75</w:t>
            </w: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9,590,540.75</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北京久其智通数据 科技有限公司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2,739,220.09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3,444,565.50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6,183,785.59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3,658,863.55</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3,658,863.55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5,120,740.21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3,960,544.74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9,081,284.95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745,648.66</w:t>
            </w: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745,648.66</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北京久其龙信数据 科技有限公司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3,248,139.79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152,142.01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3,400,281.80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191,398.39</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191,398.39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4,225,103.23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206,544.71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4,431,647.94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705,223.81</w:t>
            </w: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705,223.81</w:t>
            </w:r>
          </w:p>
        </w:tc>
      </w:tr>
      <w:tr>
        <w:trPr>
          <w:trHeight w:val="102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北京久其互联网金 融信息服务有限公 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7,477,818.03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714,883.40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8,192,701.43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3,295,878.71</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3,295,878.71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7,297,970.02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865,311.72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8,163,281.74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1,349,913.12</w:t>
            </w: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1,349,913.12</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北京蜂语网络科技 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4,226,340.17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980,800.48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5,207,140.65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2,058,920.18</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2,058,920.18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8,676,807.56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486,667.83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9,163,475.39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695,937.23</w:t>
            </w: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695,937.23</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北京中民颐养科技 服务有限公司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4,065,125.28</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4,065,125.28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57,714.47</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57,714.47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4,000,088.71</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4,000,088.71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106.00</w:t>
            </w: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106.00</w:t>
            </w:r>
          </w:p>
        </w:tc>
      </w:tr>
      <w:tr>
        <w:trPr>
          <w:trHeight w:val="71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北京久其金建科技 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39,482,315.92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21,634.72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39,503,950.64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5,224,065.64</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5,224,065.64</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上海移通网络有限 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347,264,976.48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1,907,150.45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349,172,126.92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107,341,806.05</w:t>
            </w:r>
          </w:p>
        </w:tc>
        <w:tc>
          <w:tcPr>
            <w:tcW w:w="59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107,341,806.05</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1"/>
          <w:footerReference w:type="default" r:id="rId42"/>
          <w:pgSz w:w="16840" w:h="11910" w:orient="landscape"/>
          <w:pgMar w:header="867" w:footer="979" w:top="1060" w:bottom="1160" w:left="1300" w:right="0"/>
          <w:pgNumType w:start="174"/>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346"/>
        <w:gridCol w:w="1270"/>
        <w:gridCol w:w="1270"/>
        <w:gridCol w:w="1270"/>
        <w:gridCol w:w="1607"/>
        <w:gridCol w:w="1171"/>
        <w:gridCol w:w="1236"/>
        <w:gridCol w:w="1236"/>
        <w:gridCol w:w="1610"/>
      </w:tblGrid>
      <w:tr>
        <w:trPr>
          <w:trHeight w:val="402" w:hRule="exact"/>
        </w:trPr>
        <w:tc>
          <w:tcPr>
            <w:tcW w:w="3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4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46"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6,457,419.69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1,190,441.93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1,190,441.93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-3,257,623.67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7,730,413.04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2,691,109.40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2,691,109.40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4,217,168.32</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43,905,202.69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2,033,934.50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2,033,934.50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9,761,650.55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41,840,959.99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5,815,567.27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5,815,567.27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95,202.93</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2,099,764.20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-5,810,714.26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-5,810,714.26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-4,033,970.73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7,275,551.84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-1,011,105.63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-1,011,105.63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-3,476,220.09</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北京久其龙信数据科技有限公司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660,377.34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-2,517,540.72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-2,517,540.72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-1,121,774.05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4,738,679.22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-4,309,302.92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-4,309,302.92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-6,343,978.87</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5,294,489.44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-1,916,545.90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-1,916,545.90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1,697,195.89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2,573,653.64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-12,059,146.20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-12,059,146.20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-12,954,412.07</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3,407,363.63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-5,319,317.69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-5,319,317.69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-4,838,202.44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502,746.66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-3,387,421.54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-3,387,421.54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-2,808,885.98</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503,883.49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7,428.10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7,428.10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65,036.57</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88.71</w:t>
            </w:r>
          </w:p>
        </w:tc>
      </w:tr>
      <w:tr>
        <w:trPr>
          <w:trHeight w:val="40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20,036,646.16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4,279,885.00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4,279,885.00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372,147.61</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532,650,464.10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104,945,740.42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104,945,740.42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79,411,472.61</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40" w:right="0"/>
        <w:jc w:val="left"/>
        <w:rPr>
          <w:b w:val="0"/>
          <w:bCs w:val="0"/>
        </w:rPr>
      </w:pPr>
      <w:bookmarkStart w:name="（4）使用企业集团资产和清偿企业集团债务的重大限制" w:id="395"/>
      <w:bookmarkEnd w:id="39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40" w:right="0"/>
        <w:jc w:val="left"/>
        <w:rPr>
          <w:b w:val="0"/>
          <w:bCs w:val="0"/>
        </w:rPr>
      </w:pPr>
      <w:bookmarkStart w:name="（5）向纳入合并财务报表范围的结构化主体提供的财务支持或其他支持" w:id="396"/>
      <w:bookmarkEnd w:id="39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t>无</w:t>
      </w:r>
    </w:p>
    <w:p>
      <w:pPr>
        <w:spacing w:after="0" w:line="240" w:lineRule="auto"/>
        <w:jc w:val="left"/>
        <w:sectPr>
          <w:pgSz w:w="16840" w:h="11910" w:orient="landscape"/>
          <w:pgMar w:header="867" w:footer="979" w:top="1060" w:bottom="1160" w:left="130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983"/>
        <w:jc w:val="left"/>
        <w:rPr>
          <w:b w:val="0"/>
          <w:bCs w:val="0"/>
        </w:rPr>
      </w:pPr>
      <w:bookmarkStart w:name="2、在合营安排或联营企业中的权益" w:id="397"/>
      <w:bookmarkEnd w:id="397"/>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重要的合营企业或联营企业" w:id="398"/>
      <w:bookmarkEnd w:id="39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37" w:right="47" w:hanging="90"/>
              <w:jc w:val="left"/>
              <w:rPr>
                <w:rFonts w:ascii="宋体" w:hAnsi="宋体" w:cs="宋体" w:eastAsia="宋体" w:hint="default"/>
                <w:sz w:val="18"/>
                <w:szCs w:val="18"/>
              </w:rPr>
            </w:pPr>
            <w:r>
              <w:rPr>
                <w:rFonts w:ascii="宋体" w:hAnsi="宋体" w:cs="宋体" w:eastAsia="宋体" w:hint="default"/>
                <w:sz w:val="18"/>
                <w:szCs w:val="18"/>
              </w:rPr>
              <w:t>联营企业投资的 会计处理方法</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同望科技股份有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北京信诺软通信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深圳前海数聚成 长投资中心（有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983"/>
        <w:jc w:val="left"/>
        <w:rPr>
          <w:b w:val="0"/>
          <w:bCs w:val="0"/>
        </w:rPr>
      </w:pPr>
      <w:bookmarkStart w:name="（2）重要联营企业的主要财务信息" w:id="399"/>
      <w:bookmarkEnd w:id="399"/>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0CECE"/>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同望科技股份有限公司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同望科技股份有限公司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78,540,731.43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70,348,183.86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92,682,264.84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92,376,173.60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171,222,996.27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162,724,357.46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24,543,430.81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26,031,707.34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2,105,083.65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26,648,514.46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26,887,957.34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243,447.32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295,631.52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144,331,034.49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135,540,768.60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28,851,773.79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27,094,599.64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30,268,501.19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30,268,501.19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59,800,172.08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57,363,100.83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101,618,669.30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103,780,123.21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17,767,081.69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13,232,369.39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17,767,081.69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13,232,369.39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563,131.65</w:t>
            </w:r>
          </w:p>
        </w:tc>
      </w:tr>
    </w:tbl>
    <w:p>
      <w:pPr>
        <w:spacing w:after="0" w:line="240" w:lineRule="auto"/>
        <w:jc w:val="right"/>
        <w:rPr>
          <w:rFonts w:ascii="Times New Roman" w:hAnsi="Times New Roman" w:cs="Times New Roman" w:eastAsia="Times New Roman" w:hint="default"/>
          <w:sz w:val="18"/>
          <w:szCs w:val="18"/>
        </w:rPr>
        <w:sectPr>
          <w:headerReference w:type="default" r:id="rId43"/>
          <w:footerReference w:type="default" r:id="rId44"/>
          <w:pgSz w:w="11910" w:h="16840"/>
          <w:pgMar w:header="877" w:footer="979" w:top="1100" w:bottom="1160" w:left="980" w:right="0"/>
          <w:pgNumType w:start="176"/>
        </w:sectPr>
      </w:pPr>
    </w:p>
    <w:p>
      <w:pPr>
        <w:spacing w:line="240" w:lineRule="auto" w:before="10"/>
        <w:rPr>
          <w:rFonts w:ascii="宋体" w:hAnsi="宋体" w:cs="宋体" w:eastAsia="宋体" w:hint="default"/>
          <w:sz w:val="20"/>
          <w:szCs w:val="20"/>
        </w:rPr>
      </w:pPr>
    </w:p>
    <w:p>
      <w:pPr>
        <w:pStyle w:val="Heading3"/>
        <w:spacing w:line="240" w:lineRule="auto" w:before="35"/>
        <w:ind w:left="153" w:right="983"/>
        <w:jc w:val="left"/>
        <w:rPr>
          <w:b w:val="0"/>
          <w:bCs w:val="0"/>
        </w:rPr>
      </w:pPr>
      <w:bookmarkStart w:name="（4）不重要的合营企业和联营企业的汇总财务信息" w:id="400"/>
      <w:bookmarkEnd w:id="40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73,857,875.54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33,257,288.15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2,301,136.12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1,178,805.86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2,301,136.12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1,178,805.86</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合营企业或联营企业向本公司转移资金的能力存在重大限制的说明" w:id="401"/>
      <w:bookmarkEnd w:id="40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6）合营企业或联营企业发生的超额亏损" w:id="402"/>
      <w:bookmarkEnd w:id="40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bookmarkStart w:name="（7）与合营企业投资相关的未确认承诺" w:id="403"/>
      <w:bookmarkEnd w:id="40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8）与合营企业或联营企业投资相关的或有负债" w:id="404"/>
      <w:bookmarkEnd w:id="40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983"/>
        <w:jc w:val="left"/>
        <w:rPr>
          <w:b w:val="0"/>
          <w:bCs w:val="0"/>
        </w:rPr>
      </w:pPr>
      <w:bookmarkStart w:name="十、与金融工具相关的风险" w:id="405"/>
      <w:bookmarkEnd w:id="40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3"/>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定，并对风险管理目标和政策承担最终责任，但是董事会已授权本公司风险管理部门设计和实施能确保风险管理目标和政策</w:t>
      </w:r>
      <w:r>
        <w:rPr>
          <w:spacing w:val="-64"/>
        </w:rPr>
        <w:t> </w:t>
      </w:r>
      <w:r>
        <w:rPr>
          <w:spacing w:val="-64"/>
        </w:rPr>
      </w:r>
      <w:r>
        <w:rPr>
          <w:spacing w:val="-2"/>
        </w:rPr>
        <w:t>得以有效执行的程序。董事会通过风险管理部门主管递交的月度报告来审查已执行程序的有效性以及风险管理目标和政策的</w:t>
      </w:r>
      <w:r>
        <w:rPr>
          <w:spacing w:val="-63"/>
        </w:rPr>
        <w:t> </w:t>
      </w:r>
      <w:r>
        <w:rPr>
          <w:spacing w:val="-63"/>
        </w:rPr>
      </w:r>
      <w:r>
        <w:rPr/>
        <w:t>合理性。本公司的内部审计师也会审计风险管理的政策和程序，并且将有关发现汇报给审计委员会。 本公司风险管理的总体目标是在不过度影响公司竞争力和应变力的情况下，制定尽可能降低风险的风险管理政策。</w:t>
      </w:r>
    </w:p>
    <w:p>
      <w:pPr>
        <w:spacing w:line="240" w:lineRule="auto" w:before="4"/>
        <w:rPr>
          <w:rFonts w:ascii="宋体" w:hAnsi="宋体" w:cs="宋体" w:eastAsia="宋体" w:hint="default"/>
          <w:sz w:val="25"/>
          <w:szCs w:val="25"/>
        </w:rPr>
      </w:pPr>
    </w:p>
    <w:p>
      <w:pPr>
        <w:pStyle w:val="BodyText"/>
        <w:spacing w:line="316" w:lineRule="auto"/>
        <w:ind w:right="983"/>
        <w:jc w:val="left"/>
      </w:pPr>
      <w:r>
        <w:rPr/>
        <w:t>（一）信用风险 </w:t>
      </w:r>
      <w:r>
        <w:rPr>
          <w:spacing w:val="-2"/>
        </w:rPr>
        <w:t>信用风险是指金融工具的一方不履行义务，造成另一方发生财务损失的风险。本公司主要面临赊销导致的客户信用风险。在</w:t>
      </w:r>
      <w:r>
        <w:rPr>
          <w:spacing w:val="-66"/>
        </w:rPr>
        <w:t> </w:t>
      </w:r>
      <w:r>
        <w:rPr>
          <w:spacing w:val="-66"/>
        </w:rPr>
      </w:r>
      <w:r>
        <w:rPr>
          <w:spacing w:val="-2"/>
        </w:rPr>
        <w:t>签订新合同之前，本公司会对新客户的信用风险进行评估，包括外部信用评级和在某些情况下的银行资信证明（当此信息可</w:t>
      </w:r>
      <w:r>
        <w:rPr>
          <w:spacing w:val="-66"/>
        </w:rPr>
        <w:t> </w:t>
      </w:r>
      <w:r>
        <w:rPr>
          <w:spacing w:val="-66"/>
        </w:rPr>
      </w:r>
      <w:r>
        <w:rPr/>
        <w:t>获取时）。公司对每一客户均设置了赊销限额，该限额为无需获得额外批准的最大额度。 </w:t>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983"/>
        <w:jc w:val="left"/>
      </w:pPr>
      <w:r>
        <w:rPr/>
        <w:t>额外批准的前提下，公司才可在未来期间内对其赊销，否则必须要求其提前支付相应款项。</w:t>
      </w:r>
    </w:p>
    <w:p>
      <w:pPr>
        <w:pStyle w:val="BodyText"/>
        <w:spacing w:line="316" w:lineRule="auto" w:before="76"/>
        <w:ind w:right="983"/>
        <w:jc w:val="left"/>
      </w:pPr>
      <w:r>
        <w:rPr/>
        <w:t>（二）市场风险 </w:t>
      </w:r>
      <w:r>
        <w:rPr>
          <w:spacing w:val="-2"/>
        </w:rPr>
        <w:t>金融工具的市场风险，是指金融工具的公允价值或未来现金流量因市场价格变动而发生波动的风险，包括汇率风险、利率风</w:t>
      </w:r>
      <w:r>
        <w:rPr>
          <w:spacing w:val="-66"/>
        </w:rPr>
        <w:t> </w:t>
      </w:r>
      <w:r>
        <w:rPr>
          <w:spacing w:val="-66"/>
        </w:rPr>
      </w:r>
      <w:r>
        <w:rPr/>
        <w:t>险和其他价格风险。</w:t>
      </w:r>
    </w:p>
    <w:p>
      <w:pPr>
        <w:pStyle w:val="BodyText"/>
        <w:spacing w:line="304" w:lineRule="auto" w:before="19"/>
        <w:ind w:right="983"/>
        <w:jc w:val="left"/>
      </w:pPr>
      <w:r>
        <w:rPr/>
        <w:t>（</w:t>
      </w:r>
      <w:r>
        <w:rPr>
          <w:rFonts w:ascii="Times New Roman" w:hAnsi="Times New Roman" w:cs="Times New Roman" w:eastAsia="Times New Roman" w:hint="default"/>
        </w:rPr>
        <w:t>1</w:t>
      </w:r>
      <w:r>
        <w:rPr/>
        <w:t>）利率风险 </w:t>
      </w:r>
      <w:r>
        <w:rPr>
          <w:spacing w:val="-2"/>
        </w:rPr>
        <w:t>利利率风险，是指金融工具的公允价值或未来现金流量因市场利率变动而发生波动的风险。本公司面临的利率风险主要来源</w:t>
      </w:r>
      <w:r>
        <w:rPr>
          <w:spacing w:val="-64"/>
        </w:rPr>
        <w:t> </w:t>
      </w:r>
      <w:r>
        <w:rPr>
          <w:spacing w:val="-64"/>
        </w:rPr>
      </w:r>
      <w:r>
        <w:rPr>
          <w:spacing w:val="-2"/>
        </w:rPr>
        <w:t>于银行短期借款及应付债券。截至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日止，本公司以同期同档次国家基准利率或上浮一定百分比的利率计息的银</w:t>
      </w:r>
      <w:r>
        <w:rPr>
          <w:spacing w:val="-56"/>
        </w:rPr>
        <w:t> </w:t>
      </w:r>
      <w:r>
        <w:rPr>
          <w:spacing w:val="-56"/>
        </w:rPr>
      </w:r>
      <w:r>
        <w:rPr>
          <w:spacing w:val="-1"/>
        </w:rPr>
        <w:t>行借款人民币</w:t>
      </w:r>
      <w:r>
        <w:rPr>
          <w:rFonts w:ascii="Times New Roman" w:hAnsi="Times New Roman" w:cs="Times New Roman" w:eastAsia="Times New Roman" w:hint="default"/>
          <w:spacing w:val="-1"/>
        </w:rPr>
        <w:t>185,825,300.00</w:t>
      </w:r>
      <w:r>
        <w:rPr>
          <w:spacing w:val="-1"/>
        </w:rPr>
        <w:t>元，应付债券人民币</w:t>
      </w:r>
      <w:r>
        <w:rPr>
          <w:rFonts w:ascii="Times New Roman" w:hAnsi="Times New Roman" w:cs="Times New Roman" w:eastAsia="Times New Roman" w:hint="default"/>
          <w:spacing w:val="-1"/>
        </w:rPr>
        <w:t>628,609,066.64</w:t>
      </w:r>
      <w:r>
        <w:rPr>
          <w:spacing w:val="-1"/>
        </w:rPr>
        <w:t>元。在其他变量不变的假设下，利率发生合理、可能的</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36"/>
        </w:rPr>
        <w:t> </w:t>
      </w:r>
      <w:r>
        <w:rPr/>
        <w:t>基准点的变动时，将不会对本公司的利润总额和股东权益产生重大的影响。</w:t>
      </w:r>
    </w:p>
    <w:p>
      <w:pPr>
        <w:pStyle w:val="BodyText"/>
        <w:spacing w:line="307" w:lineRule="auto" w:before="28"/>
        <w:ind w:right="983"/>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3"/>
        </w:rPr>
        <w:t> </w:t>
      </w:r>
      <w:r>
        <w:rPr>
          <w:spacing w:val="-63"/>
        </w:rPr>
      </w:r>
      <w:r>
        <w:rPr>
          <w:spacing w:val="-2"/>
        </w:rPr>
        <w:t>出相匹配以降低汇率风险。此外，公司还可能签署远期外汇合约或货币互换合约以达到规避汇率风险的目的。于</w:t>
      </w:r>
      <w:r>
        <w:rPr>
          <w:rFonts w:ascii="Times New Roman" w:hAnsi="Times New Roman" w:cs="Times New Roman" w:eastAsia="Times New Roman" w:hint="default"/>
          <w:spacing w:val="-2"/>
        </w:rPr>
        <w:t>2017</w:t>
      </w:r>
      <w:r>
        <w:rPr>
          <w:spacing w:val="-2"/>
        </w:rPr>
        <w:t>年度及</w:t>
      </w:r>
      <w:r>
        <w:rPr>
          <w:spacing w:val="-61"/>
        </w:rPr>
        <w:t> </w:t>
      </w:r>
      <w:r>
        <w:rPr>
          <w:rFonts w:ascii="Times New Roman" w:hAnsi="Times New Roman" w:cs="Times New Roman" w:eastAsia="Times New Roman" w:hint="default"/>
        </w:rPr>
        <w:t>2016</w:t>
      </w:r>
      <w:r>
        <w:rPr/>
        <w:t>年度，本公司未签署任何远期外汇合约或货币互换合约。 </w:t>
      </w:r>
      <w:r>
        <w:rPr>
          <w:spacing w:val="-2"/>
        </w:rPr>
        <w:t>本公司面临的汇率风险主要来源于以美元、欧元、港币计价的金融资产和金融负债，外币金融资产和外币金融负债折算成人</w:t>
      </w:r>
      <w:r>
        <w:rPr>
          <w:spacing w:val="-66"/>
        </w:rPr>
        <w:t> </w:t>
      </w:r>
      <w:r>
        <w:rPr>
          <w:spacing w:val="-66"/>
        </w:rPr>
      </w:r>
      <w:r>
        <w:rPr/>
        <w:t>民币的金额列示如下：</w:t>
      </w:r>
    </w:p>
    <w:p>
      <w:pPr>
        <w:pStyle w:val="BodyText"/>
        <w:spacing w:line="240" w:lineRule="auto" w:before="26"/>
        <w:ind w:left="0" w:right="1130"/>
        <w:jc w:val="right"/>
      </w:pPr>
      <w:r>
        <w:rPr/>
        <w:t>单位：元</w:t>
      </w:r>
    </w:p>
    <w:p>
      <w:pPr>
        <w:spacing w:line="240" w:lineRule="auto" w:before="6"/>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116"/>
        <w:gridCol w:w="395"/>
        <w:gridCol w:w="1164"/>
        <w:gridCol w:w="1245"/>
        <w:gridCol w:w="1250"/>
        <w:gridCol w:w="1157"/>
        <w:gridCol w:w="1166"/>
        <w:gridCol w:w="918"/>
        <w:gridCol w:w="1246"/>
      </w:tblGrid>
      <w:tr>
        <w:trPr>
          <w:trHeight w:val="337"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86"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37"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2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95" w:type="dxa"/>
            <w:tcBorders>
              <w:top w:val="single" w:sz="8" w:space="0" w:color="000000"/>
              <w:left w:val="single" w:sz="4" w:space="0" w:color="000000"/>
              <w:bottom w:val="single" w:sz="4" w:space="0" w:color="000000"/>
              <w:right w:val="single" w:sz="4" w:space="0" w:color="000000"/>
            </w:tcBorders>
          </w:tcPr>
          <w:p>
            <w:pPr/>
          </w:p>
        </w:tc>
        <w:tc>
          <w:tcPr>
            <w:tcW w:w="1164" w:type="dxa"/>
            <w:tcBorders>
              <w:top w:val="single" w:sz="8" w:space="0" w:color="000000"/>
              <w:left w:val="single" w:sz="4" w:space="0" w:color="000000"/>
              <w:bottom w:val="single" w:sz="4" w:space="0" w:color="000000"/>
              <w:right w:val="single" w:sz="4" w:space="0" w:color="000000"/>
            </w:tcBorders>
          </w:tcPr>
          <w:p>
            <w:pPr/>
          </w:p>
        </w:tc>
        <w:tc>
          <w:tcPr>
            <w:tcW w:w="124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19,368,955.50</w:t>
            </w:r>
          </w:p>
        </w:tc>
        <w:tc>
          <w:tcPr>
            <w:tcW w:w="12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19,368,955.50</w:t>
            </w:r>
          </w:p>
        </w:tc>
        <w:tc>
          <w:tcPr>
            <w:tcW w:w="11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25,511,486.78</w:t>
            </w:r>
          </w:p>
        </w:tc>
        <w:tc>
          <w:tcPr>
            <w:tcW w:w="11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33,066.19</w:t>
            </w:r>
          </w:p>
        </w:tc>
        <w:tc>
          <w:tcPr>
            <w:tcW w:w="9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65,873.86</w:t>
            </w:r>
          </w:p>
        </w:tc>
        <w:tc>
          <w:tcPr>
            <w:tcW w:w="124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25,610,426.83</w:t>
            </w:r>
          </w:p>
        </w:tc>
      </w:tr>
      <w:tr>
        <w:trPr>
          <w:trHeight w:val="342"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140,865,934.47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140,865,934.47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1,104,284.92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1,104,284.92</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9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161,339,174.89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161,339,174.89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25,511,486.78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33,066.19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65,873.86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25,610,426.83</w:t>
            </w:r>
          </w:p>
        </w:tc>
      </w:tr>
      <w:tr>
        <w:trPr>
          <w:trHeight w:val="342"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9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0" w:right="0"/>
              <w:jc w:val="center"/>
              <w:rPr>
                <w:rFonts w:ascii="Times New Roman" w:hAnsi="Times New Roman" w:cs="Times New Roman" w:eastAsia="Times New Roman" w:hint="default"/>
                <w:sz w:val="18"/>
                <w:szCs w:val="18"/>
              </w:rPr>
            </w:pPr>
            <w:r>
              <w:rPr>
                <w:rFonts w:ascii="Times New Roman"/>
                <w:sz w:val="18"/>
              </w:rPr>
              <w:t>85,825,300.00</w:t>
            </w:r>
          </w:p>
        </w:tc>
        <w:tc>
          <w:tcPr>
            <w:tcW w:w="124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85,825,300.00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80,374,800.00</w:t>
            </w:r>
          </w:p>
        </w:tc>
        <w:tc>
          <w:tcPr>
            <w:tcW w:w="9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80,374,800.00</w:t>
            </w:r>
          </w:p>
        </w:tc>
      </w:tr>
      <w:tr>
        <w:trPr>
          <w:trHeight w:val="342"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102,358,989.39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102,358,989.39</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18,633,915.01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18,633,915.01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9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0" w:right="0"/>
              <w:jc w:val="center"/>
              <w:rPr>
                <w:rFonts w:ascii="Times New Roman" w:hAnsi="Times New Roman" w:cs="Times New Roman" w:eastAsia="Times New Roman" w:hint="default"/>
                <w:sz w:val="18"/>
                <w:szCs w:val="18"/>
              </w:rPr>
            </w:pPr>
            <w:r>
              <w:rPr>
                <w:rFonts w:ascii="Times New Roman"/>
                <w:sz w:val="18"/>
              </w:rPr>
              <w:t>85,825,300.00</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120,992,904.40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206,818,204.40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80,374,800.00</w:t>
            </w:r>
          </w:p>
        </w:tc>
        <w:tc>
          <w:tcPr>
            <w:tcW w:w="91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80,374,800.00</w:t>
            </w:r>
          </w:p>
        </w:tc>
      </w:tr>
    </w:tbl>
    <w:p>
      <w:pPr>
        <w:pStyle w:val="BodyText"/>
        <w:spacing w:line="300" w:lineRule="auto" w:before="10"/>
        <w:ind w:right="983"/>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1%</w:t>
      </w:r>
      <w:r>
        <w:rPr/>
        <w:t>，则公司将增加或减少净利润</w:t>
      </w:r>
      <w:r>
        <w:rPr>
          <w:rFonts w:ascii="Times New Roman" w:hAnsi="Times New Roman" w:cs="Times New Roman" w:eastAsia="Times New Roman" w:hint="default"/>
        </w:rPr>
        <w:t>0 </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255,114.87</w:t>
      </w:r>
      <w:r>
        <w:rPr/>
        <w:t>元）；如果人民币对欧元升值或贬值</w:t>
      </w:r>
      <w:r>
        <w:rPr>
          <w:rFonts w:ascii="Times New Roman" w:hAnsi="Times New Roman" w:cs="Times New Roman" w:eastAsia="Times New Roman" w:hint="default"/>
        </w:rPr>
        <w:t>1%</w:t>
      </w:r>
      <w:r>
        <w:rPr/>
        <w:t>，则公司将增加或减少净利润</w:t>
      </w:r>
      <w:r>
        <w:rPr>
          <w:rFonts w:ascii="Times New Roman" w:hAnsi="Times New Roman" w:cs="Times New Roman" w:eastAsia="Times New Roman" w:hint="default"/>
        </w:rPr>
        <w:t>854,766.00</w:t>
      </w:r>
      <w:r>
        <w:rPr/>
        <w:t>元（</w:t>
      </w:r>
      <w:r>
        <w:rPr>
          <w:rFonts w:ascii="Times New Roman" w:hAnsi="Times New Roman" w:cs="Times New Roman" w:eastAsia="Times New Roman" w:hint="default"/>
        </w:rPr>
        <w:t>2016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803,417.34</w:t>
      </w:r>
      <w:r>
        <w:rPr>
          <w:spacing w:val="-1"/>
        </w:rPr>
        <w:t>元）；如果人民币对港币升值或贬值</w:t>
      </w:r>
      <w:r>
        <w:rPr>
          <w:rFonts w:ascii="Times New Roman" w:hAnsi="Times New Roman" w:cs="Times New Roman" w:eastAsia="Times New Roman" w:hint="default"/>
          <w:spacing w:val="-1"/>
        </w:rPr>
        <w:t>1%</w:t>
      </w:r>
      <w:r>
        <w:rPr>
          <w:spacing w:val="-1"/>
        </w:rPr>
        <w:t>，则公司将增加或减少净利润</w:t>
      </w:r>
      <w:r>
        <w:rPr>
          <w:rFonts w:ascii="Times New Roman" w:hAnsi="Times New Roman" w:cs="Times New Roman" w:eastAsia="Times New Roman" w:hint="default"/>
          <w:spacing w:val="-1"/>
        </w:rPr>
        <w:t>337,254.48</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75"/>
        </w:rPr>
        <w:t> </w:t>
      </w:r>
      <w:r>
        <w:rPr>
          <w:rFonts w:ascii="Times New Roman" w:hAnsi="Times New Roman" w:cs="Times New Roman" w:eastAsia="Times New Roman" w:hint="default"/>
        </w:rPr>
        <w:t>658.74</w:t>
      </w:r>
      <w:r>
        <w:rPr/>
        <w:t>元）。管理层认为</w:t>
      </w:r>
      <w:r>
        <w:rPr>
          <w:rFonts w:ascii="Times New Roman" w:hAnsi="Times New Roman" w:cs="Times New Roman" w:eastAsia="Times New Roman" w:hint="default"/>
        </w:rPr>
        <w:t>1%</w:t>
      </w:r>
      <w:r>
        <w:rPr/>
        <w:t>合理反映了下一年度人民币对欧元可能发生变动的合理范围。</w:t>
      </w:r>
    </w:p>
    <w:p>
      <w:pPr>
        <w:pStyle w:val="BodyText"/>
        <w:spacing w:line="300" w:lineRule="auto" w:before="13"/>
        <w:ind w:left="154" w:right="9222"/>
        <w:jc w:val="left"/>
      </w:pPr>
      <w:r>
        <w:rPr/>
        <w:t>（</w:t>
      </w:r>
      <w:r>
        <w:rPr>
          <w:rFonts w:ascii="Times New Roman" w:hAnsi="Times New Roman" w:cs="Times New Roman" w:eastAsia="Times New Roman" w:hint="default"/>
        </w:rPr>
        <w:t>3</w:t>
      </w:r>
      <w:r>
        <w:rPr/>
        <w:t>）其他价格风险 无</w:t>
      </w:r>
    </w:p>
    <w:p>
      <w:pPr>
        <w:pStyle w:val="BodyText"/>
        <w:spacing w:line="312" w:lineRule="auto" w:before="31"/>
        <w:ind w:left="154" w:right="98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99"/>
        </w:rPr>
        <w:t> </w:t>
      </w:r>
      <w:r>
        <w:rPr>
          <w:spacing w:val="-2"/>
        </w:rPr>
        <w:t>流动性风险，是指企业在履行以交付现金或其他金融资产的方式结算的义务时发生资金短缺的风险。本公司的政策是确保拥</w:t>
      </w:r>
      <w:r>
        <w:rPr>
          <w:spacing w:val="-65"/>
        </w:rPr>
        <w:t> </w:t>
      </w:r>
      <w:r>
        <w:rPr>
          <w:spacing w:val="-65"/>
        </w:rPr>
      </w:r>
      <w:r>
        <w:rPr>
          <w:spacing w:val="-2"/>
        </w:rPr>
        <w:t>有充足的现金以偿还到期债务。流动性风险由本公司的财务部门集中控制。财务部门通过监控现金余额、可随时变现的有价</w:t>
      </w:r>
      <w:r>
        <w:rPr>
          <w:spacing w:val="-67"/>
        </w:rPr>
        <w:t> </w:t>
      </w:r>
      <w:r>
        <w:rPr>
          <w:spacing w:val="-67"/>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2"/>
        <w:spacing w:line="240" w:lineRule="auto"/>
        <w:ind w:right="983"/>
        <w:jc w:val="left"/>
        <w:rPr>
          <w:b w:val="0"/>
          <w:bCs w:val="0"/>
        </w:rPr>
      </w:pPr>
      <w:bookmarkStart w:name="十一、公允价值的披露" w:id="406"/>
      <w:bookmarkEnd w:id="406"/>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83"/>
        <w:jc w:val="left"/>
        <w:rPr>
          <w:b w:val="0"/>
          <w:bCs w:val="0"/>
        </w:rPr>
      </w:pPr>
      <w:bookmarkStart w:name="1、其他" w:id="407"/>
      <w:bookmarkEnd w:id="407"/>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公允价值计量所使用的输入值划分为三个层次：</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2473"/>
        <w:jc w:val="left"/>
      </w:pPr>
      <w:r>
        <w:rPr/>
        <w:t>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 公允价值计量结果所属的层次，由对公允价值计量整体而言具有重要意义的输入值所属的最低层次决定。</w:t>
      </w:r>
    </w:p>
    <w:p>
      <w:pPr>
        <w:spacing w:line="240" w:lineRule="auto" w:before="10"/>
        <w:rPr>
          <w:rFonts w:ascii="宋体" w:hAnsi="宋体" w:cs="宋体" w:eastAsia="宋体" w:hint="default"/>
          <w:sz w:val="20"/>
          <w:szCs w:val="20"/>
        </w:rPr>
      </w:pPr>
    </w:p>
    <w:p>
      <w:pPr>
        <w:pStyle w:val="Heading2"/>
        <w:spacing w:line="240" w:lineRule="auto"/>
        <w:ind w:right="983"/>
        <w:jc w:val="left"/>
        <w:rPr>
          <w:b w:val="0"/>
          <w:bCs w:val="0"/>
        </w:rPr>
      </w:pPr>
      <w:bookmarkStart w:name="十二、关联方及关联交易" w:id="408"/>
      <w:bookmarkEnd w:id="408"/>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本企业的母公司情况" w:id="409"/>
      <w:bookmarkEnd w:id="40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北京久其科技投资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23.94%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23.94%</w:t>
            </w:r>
          </w:p>
        </w:tc>
      </w:tr>
    </w:tbl>
    <w:p>
      <w:pPr>
        <w:pStyle w:val="BodyText"/>
        <w:spacing w:line="240" w:lineRule="auto" w:before="51"/>
        <w:ind w:left="154" w:right="983"/>
        <w:jc w:val="left"/>
      </w:pPr>
      <w:r>
        <w:rPr/>
        <w:t>本企业的母公司情况的说明</w:t>
      </w: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108"/>
        <w:gridCol w:w="805"/>
        <w:gridCol w:w="546"/>
        <w:gridCol w:w="613"/>
        <w:gridCol w:w="741"/>
        <w:gridCol w:w="658"/>
        <w:gridCol w:w="949"/>
        <w:gridCol w:w="948"/>
        <w:gridCol w:w="786"/>
        <w:gridCol w:w="785"/>
        <w:gridCol w:w="1720"/>
      </w:tblGrid>
      <w:tr>
        <w:trPr>
          <w:trHeight w:val="965" w:hRule="exact"/>
        </w:trPr>
        <w:tc>
          <w:tcPr>
            <w:tcW w:w="1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17" w:right="21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87" w:right="86"/>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94" w:right="94" w:firstLine="90"/>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42" w:right="14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19" w:right="1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公司的持股 比例</w:t>
            </w:r>
            <w:r>
              <w:rPr>
                <w:rFonts w:ascii="Times New Roman" w:hAnsi="Times New Roman" w:cs="Times New Roman" w:eastAsia="Times New Roman" w:hint="default"/>
                <w:sz w:val="18"/>
                <w:szCs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28"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对本公司 的表决权 比例</w:t>
            </w:r>
            <w:r>
              <w:rPr>
                <w:rFonts w:ascii="Times New Roman" w:hAnsi="Times New Roman" w:cs="Times New Roman" w:eastAsia="Times New Roman"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7" w:right="25"/>
              <w:jc w:val="left"/>
              <w:rPr>
                <w:rFonts w:ascii="宋体" w:hAnsi="宋体" w:cs="宋体" w:eastAsia="宋体" w:hint="default"/>
                <w:sz w:val="18"/>
                <w:szCs w:val="18"/>
              </w:rPr>
            </w:pPr>
            <w:r>
              <w:rPr>
                <w:rFonts w:ascii="宋体" w:hAnsi="宋体" w:cs="宋体" w:eastAsia="宋体" w:hint="default"/>
                <w:sz w:val="18"/>
                <w:szCs w:val="18"/>
              </w:rPr>
              <w:t>本公司最 终控制方</w:t>
            </w:r>
          </w:p>
        </w:tc>
        <w:tc>
          <w:tcPr>
            <w:tcW w:w="1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统一社会信用代码</w:t>
            </w:r>
          </w:p>
        </w:tc>
      </w:tr>
      <w:tr>
        <w:trPr>
          <w:trHeight w:val="966"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4" w:right="11"/>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7" w:right="8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13" w:right="0"/>
              <w:jc w:val="left"/>
              <w:rPr>
                <w:rFonts w:ascii="Times New Roman" w:hAnsi="Times New Roman" w:cs="Times New Roman" w:eastAsia="Times New Roman" w:hint="default"/>
                <w:sz w:val="18"/>
                <w:szCs w:val="18"/>
              </w:rPr>
            </w:pPr>
            <w:r>
              <w:rPr>
                <w:rFonts w:ascii="Times New Roman"/>
                <w:sz w:val="18"/>
              </w:rPr>
              <w:t>10,000.00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23.94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z w:val="18"/>
              </w:rPr>
              <w:t>23.94</w:t>
            </w:r>
          </w:p>
        </w:tc>
        <w:tc>
          <w:tcPr>
            <w:tcW w:w="785"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9111010863361327XD</w:t>
            </w:r>
          </w:p>
        </w:tc>
      </w:tr>
      <w:tr>
        <w:trPr>
          <w:trHeight w:val="654"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127" w:right="126" w:firstLine="90"/>
              <w:jc w:val="left"/>
              <w:rPr>
                <w:rFonts w:ascii="宋体" w:hAnsi="宋体" w:cs="宋体" w:eastAsia="宋体" w:hint="default"/>
                <w:sz w:val="18"/>
                <w:szCs w:val="18"/>
              </w:rPr>
            </w:pPr>
            <w:r>
              <w:rPr>
                <w:rFonts w:ascii="宋体" w:hAnsi="宋体" w:cs="宋体" w:eastAsia="宋体" w:hint="default"/>
                <w:sz w:val="18"/>
                <w:szCs w:val="18"/>
              </w:rPr>
              <w:t>实际 控制人</w:t>
            </w:r>
          </w:p>
        </w:tc>
        <w:tc>
          <w:tcPr>
            <w:tcW w:w="54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15.14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15.14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是</w:t>
            </w:r>
          </w:p>
        </w:tc>
        <w:tc>
          <w:tcPr>
            <w:tcW w:w="1720"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27" w:right="126" w:firstLine="90"/>
              <w:jc w:val="left"/>
              <w:rPr>
                <w:rFonts w:ascii="宋体" w:hAnsi="宋体" w:cs="宋体" w:eastAsia="宋体" w:hint="default"/>
                <w:sz w:val="18"/>
                <w:szCs w:val="18"/>
              </w:rPr>
            </w:pPr>
            <w:r>
              <w:rPr>
                <w:rFonts w:ascii="宋体" w:hAnsi="宋体" w:cs="宋体" w:eastAsia="宋体" w:hint="default"/>
                <w:sz w:val="18"/>
                <w:szCs w:val="18"/>
              </w:rPr>
              <w:t>实际 控制人</w:t>
            </w:r>
          </w:p>
        </w:tc>
        <w:tc>
          <w:tcPr>
            <w:tcW w:w="54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11.01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是</w:t>
            </w:r>
          </w:p>
        </w:tc>
        <w:tc>
          <w:tcPr>
            <w:tcW w:w="17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left="154" w:right="983"/>
        <w:jc w:val="left"/>
      </w:pPr>
      <w:r>
        <w:rPr/>
        <w:t>本企业最终控制方是董泰湘、赵福君。</w:t>
      </w:r>
    </w:p>
    <w:p>
      <w:pPr>
        <w:spacing w:line="240" w:lineRule="auto" w:before="11"/>
        <w:rPr>
          <w:rFonts w:ascii="宋体" w:hAnsi="宋体" w:cs="宋体" w:eastAsia="宋体" w:hint="default"/>
          <w:sz w:val="26"/>
          <w:szCs w:val="26"/>
        </w:rPr>
      </w:pPr>
    </w:p>
    <w:p>
      <w:pPr>
        <w:spacing w:line="547" w:lineRule="auto" w:before="0"/>
        <w:ind w:left="153" w:right="5380" w:firstLine="0"/>
        <w:jc w:val="left"/>
        <w:rPr>
          <w:rFonts w:ascii="宋体" w:hAnsi="宋体" w:cs="宋体" w:eastAsia="宋体" w:hint="default"/>
          <w:sz w:val="21"/>
          <w:szCs w:val="21"/>
        </w:rPr>
      </w:pPr>
      <w:bookmarkStart w:name="2、本企业的子公司情况" w:id="410"/>
      <w:bookmarkEnd w:id="4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11"/>
      <w:bookmarkEnd w:id="41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4、其他关联方情况" w:id="412"/>
      <w:bookmarkEnd w:id="41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同一董事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left="153" w:right="983"/>
        <w:jc w:val="left"/>
        <w:rPr>
          <w:b w:val="0"/>
          <w:bCs w:val="0"/>
        </w:rPr>
      </w:pPr>
      <w:bookmarkStart w:name="5、关联交易情况" w:id="413"/>
      <w:bookmarkEnd w:id="41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购销商品、提供和接受劳务的关联交易" w:id="414"/>
      <w:bookmarkEnd w:id="41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北京久其移动商务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374,682.80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1,000,000.00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北京信诺软通信息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1,443,101.37</w:t>
            </w:r>
          </w:p>
        </w:tc>
      </w:tr>
    </w:tbl>
    <w:p>
      <w:pPr>
        <w:pStyle w:val="BodyText"/>
        <w:spacing w:line="240" w:lineRule="auto" w:before="51"/>
        <w:ind w:left="154" w:right="98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821"/>
        <w:gridCol w:w="2260"/>
        <w:gridCol w:w="265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135,849.06</w:t>
            </w:r>
          </w:p>
        </w:tc>
      </w:tr>
    </w:tbl>
    <w:p>
      <w:pPr>
        <w:pStyle w:val="BodyText"/>
        <w:spacing w:line="357" w:lineRule="auto" w:before="51"/>
        <w:ind w:left="154" w:right="7332"/>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3"/>
        <w:spacing w:line="240" w:lineRule="auto"/>
        <w:ind w:right="983"/>
        <w:jc w:val="left"/>
        <w:rPr>
          <w:b w:val="0"/>
          <w:bCs w:val="0"/>
        </w:rPr>
      </w:pPr>
      <w:bookmarkStart w:name="（2）关联受托管理/承包及委托管理/出包情况" w:id="415"/>
      <w:bookmarkEnd w:id="41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345" w:lineRule="auto"/>
        <w:ind w:left="154" w:right="8902"/>
        <w:jc w:val="left"/>
      </w:pPr>
      <w:r>
        <w:rPr/>
        <w:t>关联托管</w:t>
      </w:r>
      <w:r>
        <w:rPr>
          <w:rFonts w:ascii="Times New Roman" w:hAnsi="Times New Roman" w:cs="Times New Roman" w:eastAsia="Times New Roman" w:hint="default"/>
        </w:rPr>
        <w:t>/</w:t>
      </w:r>
      <w:r>
        <w:rPr/>
        <w:t>承包情况说明 无 关联管理</w:t>
      </w:r>
      <w:r>
        <w:rPr>
          <w:rFonts w:ascii="Times New Roman" w:hAnsi="Times New Roman" w:cs="Times New Roman" w:eastAsia="Times New Roman" w:hint="default"/>
        </w:rPr>
        <w:t>/</w:t>
      </w:r>
      <w:r>
        <w:rPr/>
        <w:t>出包情况说明 无</w:t>
      </w:r>
    </w:p>
    <w:p>
      <w:pPr>
        <w:spacing w:line="240" w:lineRule="auto" w:before="11"/>
        <w:rPr>
          <w:rFonts w:ascii="宋体" w:hAnsi="宋体" w:cs="宋体" w:eastAsia="宋体" w:hint="default"/>
          <w:sz w:val="20"/>
          <w:szCs w:val="20"/>
        </w:rPr>
      </w:pPr>
    </w:p>
    <w:p>
      <w:pPr>
        <w:pStyle w:val="Heading3"/>
        <w:spacing w:line="240" w:lineRule="auto"/>
        <w:ind w:right="983"/>
        <w:jc w:val="left"/>
        <w:rPr>
          <w:b w:val="0"/>
          <w:bCs w:val="0"/>
        </w:rPr>
      </w:pPr>
      <w:bookmarkStart w:name="（3）关联租赁情况" w:id="416"/>
      <w:bookmarkEnd w:id="41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983"/>
        <w:jc w:val="left"/>
      </w:pPr>
      <w:r>
        <w:rPr/>
        <w:t>本公司作为出租方：</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2,597,608.56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216,467.62</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4）关联担保情况" w:id="417"/>
      <w:bookmarkEnd w:id="41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983"/>
        <w:jc w:val="left"/>
      </w:pPr>
      <w:r>
        <w:rPr/>
        <w:t>本公司作为担保方</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深圳市久金保商业保理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983"/>
        <w:jc w:val="left"/>
      </w:pPr>
      <w:r>
        <w:rPr/>
        <w:t>关联担保情况说明</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98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日深圳市久金保商业保理有限公司与华夏银行北京方庄支行签订最高额保证合同，担保金额为人民币</w:t>
      </w:r>
    </w:p>
    <w:p>
      <w:pPr>
        <w:pStyle w:val="BodyText"/>
        <w:spacing w:line="240" w:lineRule="auto" w:before="63"/>
        <w:ind w:right="983"/>
        <w:jc w:val="left"/>
      </w:pPr>
      <w:r>
        <w:rPr>
          <w:rFonts w:ascii="Times New Roman" w:hAnsi="Times New Roman" w:cs="Times New Roman" w:eastAsia="Times New Roman" w:hint="default"/>
        </w:rPr>
        <w:t>100,000,000.00</w:t>
      </w:r>
      <w:r>
        <w:rPr/>
        <w:t>元，担保期间为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日，保证人为北京久其软件股份有限公司。</w:t>
      </w:r>
    </w:p>
    <w:p>
      <w:pPr>
        <w:spacing w:line="240" w:lineRule="auto" w:before="11"/>
        <w:rPr>
          <w:rFonts w:ascii="宋体" w:hAnsi="宋体" w:cs="宋体" w:eastAsia="宋体" w:hint="default"/>
          <w:sz w:val="25"/>
          <w:szCs w:val="25"/>
        </w:rPr>
      </w:pPr>
    </w:p>
    <w:p>
      <w:pPr>
        <w:pStyle w:val="Heading3"/>
        <w:spacing w:line="240" w:lineRule="auto"/>
        <w:ind w:right="983"/>
        <w:jc w:val="left"/>
        <w:rPr>
          <w:b w:val="0"/>
          <w:bCs w:val="0"/>
        </w:rPr>
      </w:pPr>
      <w:bookmarkStart w:name="（5）关联方资产转让、债务重组情况" w:id="418"/>
      <w:bookmarkEnd w:id="418"/>
      <w:r>
        <w:rPr>
          <w:b w:val="0"/>
          <w:bCs w:val="0"/>
        </w:rPr>
      </w: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8,728,500.00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11,724,100.00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11,747,800.00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6）关键管理人员报酬" w:id="419"/>
      <w:bookmarkEnd w:id="419"/>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6,631,695.34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5,643,328.18</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7）其他关联交易" w:id="420"/>
      <w:bookmarkEnd w:id="420"/>
      <w:r>
        <w:rPr>
          <w:b w:val="0"/>
          <w:bCs w:val="0"/>
        </w:rPr>
      </w: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tabs>
          <w:tab w:pos="573" w:val="left" w:leader="none"/>
        </w:tabs>
        <w:spacing w:line="240" w:lineRule="auto"/>
        <w:ind w:left="154" w:right="983"/>
        <w:jc w:val="left"/>
      </w:pPr>
      <w:r>
        <w:rPr>
          <w:rFonts w:ascii="Times New Roman" w:hAnsi="Times New Roman" w:cs="Times New Roman" w:eastAsia="Times New Roman" w:hint="default"/>
        </w:rPr>
        <w:t>(1)</w:t>
        <w:tab/>
      </w:r>
      <w:r>
        <w:rPr/>
        <w:t>本期本公司向联营企业深圳前海数聚成长投资中心（有限合伙）增资</w:t>
      </w:r>
      <w:r>
        <w:rPr>
          <w:rFonts w:ascii="Times New Roman" w:hAnsi="Times New Roman" w:cs="Times New Roman" w:eastAsia="Times New Roman" w:hint="default"/>
        </w:rPr>
        <w:t>40,000,000.00</w:t>
      </w:r>
      <w:r>
        <w:rPr/>
        <w:t>元，系按协议缴纳的出资款。</w:t>
      </w:r>
    </w:p>
    <w:p>
      <w:pPr>
        <w:pStyle w:val="BodyText"/>
        <w:tabs>
          <w:tab w:pos="573" w:val="left" w:leader="none"/>
        </w:tabs>
        <w:spacing w:line="300" w:lineRule="auto" w:before="63"/>
        <w:ind w:right="1054"/>
        <w:jc w:val="left"/>
      </w:pPr>
      <w:r>
        <w:rPr>
          <w:rFonts w:ascii="Times New Roman" w:hAnsi="Times New Roman" w:cs="Times New Roman" w:eastAsia="Times New Roman" w:hint="default"/>
        </w:rPr>
        <w:t>(2)</w:t>
        <w:tab/>
      </w:r>
      <w:r>
        <w:rPr/>
        <w:t>本期公司与公司实际控制人董泰湘女士共同出资</w:t>
      </w:r>
      <w:r>
        <w:rPr>
          <w:rFonts w:ascii="Times New Roman" w:hAnsi="Times New Roman" w:cs="Times New Roman" w:eastAsia="Times New Roman" w:hint="default"/>
        </w:rPr>
        <w:t>28,000</w:t>
      </w:r>
      <w:r>
        <w:rPr/>
        <w:t>万元对北京久其政务软件股份有限公司（以下简称</w:t>
      </w:r>
      <w:r>
        <w:rPr>
          <w:rFonts w:ascii="Times New Roman" w:hAnsi="Times New Roman" w:cs="Times New Roman" w:eastAsia="Times New Roman" w:hint="default"/>
        </w:rPr>
        <w:t>“</w:t>
      </w:r>
      <w:r>
        <w:rPr/>
        <w:t>久其政务</w:t>
      </w:r>
      <w:r>
        <w:rPr>
          <w:rFonts w:ascii="Times New Roman" w:hAnsi="Times New Roman" w:cs="Times New Roman" w:eastAsia="Times New Roman" w:hint="default"/>
        </w:rPr>
        <w:t>”</w:t>
      </w:r>
      <w:r>
        <w:rPr/>
        <w:t>） </w:t>
      </w:r>
      <w:r>
        <w:rPr>
          <w:spacing w:val="-3"/>
        </w:rPr>
        <w:t>进行增资，其中，公司出资</w:t>
      </w:r>
      <w:r>
        <w:rPr>
          <w:rFonts w:ascii="Times New Roman" w:hAnsi="Times New Roman" w:cs="Times New Roman" w:eastAsia="Times New Roman" w:hint="default"/>
          <w:spacing w:val="-3"/>
        </w:rPr>
        <w:t>27,860</w:t>
      </w:r>
      <w:r>
        <w:rPr>
          <w:spacing w:val="-3"/>
        </w:rPr>
        <w:t>万元（其中以公开发行可转换公司债券募集资金出资</w:t>
      </w:r>
      <w:r>
        <w:rPr>
          <w:rFonts w:ascii="Times New Roman" w:hAnsi="Times New Roman" w:cs="Times New Roman" w:eastAsia="Times New Roman" w:hint="default"/>
          <w:spacing w:val="-3"/>
        </w:rPr>
        <w:t>27,580.23</w:t>
      </w:r>
      <w:r>
        <w:rPr>
          <w:spacing w:val="-3"/>
        </w:rPr>
        <w:t>万元，以自筹资金出资</w:t>
      </w:r>
      <w:r>
        <w:rPr>
          <w:rFonts w:ascii="Times New Roman" w:hAnsi="Times New Roman" w:cs="Times New Roman" w:eastAsia="Times New Roman" w:hint="default"/>
          <w:spacing w:val="-3"/>
        </w:rPr>
        <w:t>279.77</w:t>
      </w:r>
      <w:r>
        <w:rPr>
          <w:rFonts w:ascii="Times New Roman" w:hAnsi="Times New Roman" w:cs="Times New Roman" w:eastAsia="Times New Roman" w:hint="default"/>
          <w:spacing w:val="-25"/>
        </w:rPr>
        <w:t> </w:t>
      </w:r>
      <w:r>
        <w:rPr>
          <w:spacing w:val="-2"/>
        </w:rPr>
        <w:t>万元），董泰湘女士以自有资金出资</w:t>
      </w:r>
      <w:r>
        <w:rPr>
          <w:rFonts w:ascii="Times New Roman" w:hAnsi="Times New Roman" w:cs="Times New Roman" w:eastAsia="Times New Roman" w:hint="default"/>
          <w:spacing w:val="-2"/>
        </w:rPr>
        <w:t>140</w:t>
      </w:r>
      <w:r>
        <w:rPr>
          <w:spacing w:val="-2"/>
        </w:rPr>
        <w:t>万元。本次增资完成后，公司及董泰湘女士对久其政务的持股比例不变，仍为</w:t>
      </w:r>
      <w:r>
        <w:rPr>
          <w:rFonts w:ascii="Times New Roman" w:hAnsi="Times New Roman" w:cs="Times New Roman" w:eastAsia="Times New Roman" w:hint="default"/>
          <w:spacing w:val="-2"/>
        </w:rPr>
        <w:t>99.5%</w:t>
      </w:r>
      <w:r>
        <w:rPr>
          <w:rFonts w:ascii="Times New Roman" w:hAnsi="Times New Roman" w:cs="Times New Roman" w:eastAsia="Times New Roman" w:hint="default"/>
          <w:spacing w:val="-29"/>
        </w:rPr>
        <w:t> </w:t>
      </w:r>
      <w:r>
        <w:rPr/>
        <w:t>和</w:t>
      </w:r>
      <w:r>
        <w:rPr>
          <w:rFonts w:ascii="Times New Roman" w:hAnsi="Times New Roman" w:cs="Times New Roman" w:eastAsia="Times New Roman" w:hint="default"/>
        </w:rPr>
        <w:t>0.5%</w:t>
      </w:r>
      <w:r>
        <w:rPr/>
        <w:t>，公司仍系久其政务控股股东。</w:t>
      </w:r>
    </w:p>
    <w:p>
      <w:pPr>
        <w:pStyle w:val="BodyText"/>
        <w:tabs>
          <w:tab w:pos="573" w:val="left" w:leader="none"/>
        </w:tabs>
        <w:spacing w:line="300" w:lineRule="auto" w:before="13"/>
        <w:ind w:right="1132"/>
        <w:jc w:val="left"/>
      </w:pPr>
      <w:r>
        <w:rPr>
          <w:rFonts w:ascii="Times New Roman" w:hAnsi="Times New Roman" w:cs="Times New Roman" w:eastAsia="Times New Roman" w:hint="default"/>
        </w:rPr>
        <w:t>(3)</w:t>
        <w:tab/>
      </w:r>
      <w:r>
        <w:rPr/>
        <w:t>公司与控股股东北京久其科技投资有限公司以支付现金方式作价</w:t>
      </w:r>
      <w:r>
        <w:rPr>
          <w:rFonts w:ascii="Times New Roman" w:hAnsi="Times New Roman" w:cs="Times New Roman" w:eastAsia="Times New Roman" w:hint="default"/>
        </w:rPr>
        <w:t>14.4</w:t>
      </w:r>
      <w:r>
        <w:rPr/>
        <w:t>亿元人民币分别受让上海移通网络有限公司</w:t>
      </w:r>
      <w:r>
        <w:rPr>
          <w:rFonts w:ascii="Times New Roman" w:hAnsi="Times New Roman" w:cs="Times New Roman" w:eastAsia="Times New Roman" w:hint="default"/>
        </w:rPr>
        <w:t>51%</w:t>
      </w:r>
      <w:r>
        <w:rPr>
          <w:rFonts w:ascii="Times New Roman" w:hAnsi="Times New Roman" w:cs="Times New Roman" w:eastAsia="Times New Roman" w:hint="default"/>
          <w:w w:val="99"/>
        </w:rPr>
        <w:t> </w:t>
      </w:r>
      <w:r>
        <w:rPr>
          <w:spacing w:val="-1"/>
        </w:rPr>
        <w:t>股权和</w:t>
      </w:r>
      <w:r>
        <w:rPr>
          <w:rFonts w:ascii="Times New Roman" w:hAnsi="Times New Roman" w:cs="Times New Roman" w:eastAsia="Times New Roman" w:hint="default"/>
          <w:spacing w:val="-1"/>
        </w:rPr>
        <w:t>49%</w:t>
      </w:r>
      <w:r>
        <w:rPr>
          <w:spacing w:val="-1"/>
        </w:rPr>
        <w:t>股权。本次交易已完成上海移通的股权过户手续及相关工商变更登记工作，上海移通取得了上海市静安区市场监</w:t>
      </w:r>
      <w:r>
        <w:rPr>
          <w:w w:val="99"/>
        </w:rPr>
        <w:t> </w:t>
      </w:r>
      <w:r>
        <w:rPr/>
        <w:t>督管理局于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日颁发的营业执照。标的资产过户完成后，公司持有上海移通</w:t>
      </w:r>
      <w:r>
        <w:rPr>
          <w:rFonts w:ascii="Times New Roman" w:hAnsi="Times New Roman" w:cs="Times New Roman" w:eastAsia="Times New Roman" w:hint="default"/>
        </w:rPr>
        <w:t>51%</w:t>
      </w:r>
      <w:r>
        <w:rPr/>
        <w:t>股权，同时久其科技持有上海移</w:t>
      </w:r>
      <w:r>
        <w:rPr>
          <w:w w:val="99"/>
        </w:rPr>
        <w:t> </w:t>
      </w:r>
      <w:r>
        <w:rPr/>
        <w:t>通</w:t>
      </w:r>
      <w:r>
        <w:rPr>
          <w:rFonts w:ascii="Times New Roman" w:hAnsi="Times New Roman" w:cs="Times New Roman" w:eastAsia="Times New Roman" w:hint="default"/>
        </w:rPr>
        <w:t>49%</w:t>
      </w:r>
      <w:r>
        <w:rPr/>
        <w:t>股权，上海移通已成为公司的控股子公司。</w:t>
      </w:r>
    </w:p>
    <w:p>
      <w:pPr>
        <w:spacing w:line="240" w:lineRule="auto" w:before="1"/>
        <w:rPr>
          <w:rFonts w:ascii="宋体" w:hAnsi="宋体" w:cs="宋体" w:eastAsia="宋体" w:hint="default"/>
          <w:sz w:val="22"/>
          <w:szCs w:val="22"/>
        </w:rPr>
      </w:pPr>
    </w:p>
    <w:p>
      <w:pPr>
        <w:pStyle w:val="Heading3"/>
        <w:spacing w:line="240" w:lineRule="auto"/>
        <w:ind w:right="983"/>
        <w:jc w:val="left"/>
        <w:rPr>
          <w:b w:val="0"/>
          <w:bCs w:val="0"/>
        </w:rPr>
      </w:pPr>
      <w:bookmarkStart w:name="6、关联方应收应付款项" w:id="421"/>
      <w:bookmarkEnd w:id="42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应付项目" w:id="422"/>
      <w:bookmarkEnd w:id="422"/>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2657"/>
        <w:gridCol w:w="2392"/>
        <w:gridCol w:w="2392"/>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153,022.50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7、关联方承诺" w:id="423"/>
      <w:bookmarkEnd w:id="42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983"/>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日，经公司</w:t>
      </w:r>
      <w:r>
        <w:rPr>
          <w:rFonts w:ascii="Times New Roman" w:hAnsi="Times New Roman" w:cs="Times New Roman" w:eastAsia="Times New Roman" w:hint="default"/>
          <w:spacing w:val="-2"/>
        </w:rPr>
        <w:t>2017</w:t>
      </w:r>
      <w:r>
        <w:rPr>
          <w:spacing w:val="-2"/>
        </w:rPr>
        <w:t>年第四次临时股东大会审议通过了《关于公司符合配股发行条件的议案》、《关于公司配</w:t>
      </w:r>
      <w:r>
        <w:rPr>
          <w:spacing w:val="-56"/>
        </w:rPr>
        <w:t> </w:t>
      </w:r>
      <w:r>
        <w:rPr>
          <w:spacing w:val="-56"/>
        </w:rPr>
      </w:r>
      <w:r>
        <w:rPr>
          <w:spacing w:val="-7"/>
        </w:rPr>
        <w:t>股发行方案的议案》、《关于公司配股公开发行证券预案的议案》、《关于公司配股募集资金使用的可行性分析报告的议案》、</w:t>
      </w:r>
    </w:p>
    <w:p>
      <w:pPr>
        <w:pStyle w:val="BodyText"/>
        <w:spacing w:line="240" w:lineRule="auto" w:before="31"/>
        <w:ind w:left="154" w:right="983"/>
        <w:jc w:val="left"/>
      </w:pPr>
      <w:r>
        <w:rPr/>
        <w:t>《关于收购上海移通</w:t>
      </w:r>
      <w:r>
        <w:rPr>
          <w:rFonts w:ascii="Times New Roman" w:hAnsi="Times New Roman" w:cs="Times New Roman" w:eastAsia="Times New Roman" w:hint="default"/>
        </w:rPr>
        <w:t>49%</w:t>
      </w:r>
      <w:r>
        <w:rPr/>
        <w:t>股权暨关联交易并与久其科技签署附生效条件的股权转让协议的议案》、《关于提请股东大会授权</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2" w:lineRule="auto" w:before="44"/>
        <w:ind w:right="983"/>
        <w:jc w:val="left"/>
      </w:pPr>
      <w:r>
        <w:rPr/>
        <w:t>董事会全权办理公司配股相关事宜的议案》，公司拟以发行配股募集资金收购久其科技持有的上海移通网络有限公司</w:t>
      </w:r>
      <w:r>
        <w:rPr>
          <w:rFonts w:ascii="Times New Roman" w:hAnsi="Times New Roman" w:cs="Times New Roman" w:eastAsia="Times New Roman" w:hint="default"/>
        </w:rPr>
        <w:t>49%</w:t>
      </w:r>
      <w:r>
        <w:rPr/>
        <w:t>股 权。本次交易的价格已经具有证券、期货从业资格的资产评估机构银信资产评估有限公司评估结果为基础确定。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日，公司召开第六届董事会第二十次会议和第六届监事会第十次会议，分别审议通过了《关于终止公司配股方 </w:t>
      </w:r>
      <w:r>
        <w:rPr>
          <w:spacing w:val="-4"/>
        </w:rPr>
        <w:t>案并撤回配股申请文件的议案》，同意公司终止配股方案并向中国证监会申请撤回配股申请文件。目前，公司生产经营正常，</w:t>
      </w:r>
      <w:r>
        <w:rPr>
          <w:spacing w:val="-46"/>
        </w:rPr>
        <w:t> </w:t>
      </w:r>
      <w:r>
        <w:rPr>
          <w:spacing w:val="-46"/>
        </w:rPr>
      </w:r>
      <w:r>
        <w:rPr>
          <w:spacing w:val="-2"/>
        </w:rPr>
        <w:t>终止配股方案事项不会对公司生产经营情况与持续发展造成不利影响，不存在损害公司及公司股东、特别是中小股东利益的</w:t>
      </w:r>
      <w:r>
        <w:rPr>
          <w:spacing w:val="-64"/>
        </w:rPr>
        <w:t> </w:t>
      </w:r>
      <w:r>
        <w:rPr>
          <w:spacing w:val="-64"/>
        </w:rPr>
      </w:r>
      <w:r>
        <w:rPr/>
        <w:t>情形。</w:t>
      </w:r>
    </w:p>
    <w:p>
      <w:pPr>
        <w:pStyle w:val="BodyText"/>
        <w:spacing w:line="300" w:lineRule="auto" w:before="22"/>
        <w:ind w:right="120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日，经公司</w:t>
      </w:r>
      <w:r>
        <w:rPr>
          <w:rFonts w:ascii="Times New Roman" w:hAnsi="Times New Roman" w:cs="Times New Roman" w:eastAsia="Times New Roman" w:hint="default"/>
        </w:rPr>
        <w:t>2016</w:t>
      </w:r>
      <w:r>
        <w:rPr/>
        <w:t>年第三次临时股东大会审议通过了《关于公司参与认购的大数据产业基金修改</w:t>
      </w:r>
      <w:r>
        <w:rPr>
          <w:rFonts w:ascii="Times New Roman" w:hAnsi="Times New Roman" w:cs="Times New Roman" w:eastAsia="Times New Roman" w:hint="default"/>
        </w:rPr>
        <w:t>&lt;</w:t>
      </w:r>
      <w:r>
        <w:rPr/>
        <w:t>有限合 伙协议</w:t>
      </w:r>
      <w:r>
        <w:rPr>
          <w:rFonts w:ascii="Times New Roman" w:hAnsi="Times New Roman" w:cs="Times New Roman" w:eastAsia="Times New Roman" w:hint="default"/>
        </w:rPr>
        <w:t>&gt;</w:t>
      </w:r>
      <w:r>
        <w:rPr/>
        <w:t>暨关联交易的议案》，公司拟出资人民币</w:t>
      </w:r>
      <w:r>
        <w:rPr>
          <w:rFonts w:ascii="Times New Roman" w:hAnsi="Times New Roman" w:cs="Times New Roman" w:eastAsia="Times New Roman" w:hint="default"/>
        </w:rPr>
        <w:t>1</w:t>
      </w:r>
      <w:r>
        <w:rPr/>
        <w:t>亿元参与认购大数据产业基金份额，即投资深圳前海数聚成长投资中心</w:t>
      </w:r>
    </w:p>
    <w:p>
      <w:pPr>
        <w:pStyle w:val="BodyText"/>
        <w:spacing w:line="240" w:lineRule="auto" w:before="13"/>
        <w:ind w:left="154" w:right="983"/>
        <w:jc w:val="left"/>
      </w:pPr>
      <w:r>
        <w:rPr/>
        <w:t>（有限合伙），截至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日，公司已缴纳认购款</w:t>
      </w:r>
      <w:r>
        <w:rPr>
          <w:rFonts w:ascii="Times New Roman" w:hAnsi="Times New Roman" w:cs="Times New Roman" w:eastAsia="Times New Roman" w:hint="default"/>
        </w:rPr>
        <w:t>7,000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983"/>
        <w:jc w:val="left"/>
        <w:rPr>
          <w:b w:val="0"/>
          <w:bCs w:val="0"/>
        </w:rPr>
      </w:pPr>
      <w:bookmarkStart w:name="十三、股份支付" w:id="424"/>
      <w:bookmarkEnd w:id="424"/>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股份支付总体情况" w:id="425"/>
      <w:bookmarkEnd w:id="42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43,131,880.00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2、以权益结算的股份支付情况" w:id="426"/>
      <w:bookmarkEnd w:id="42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市价法</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公司在等待期内的每个资产负债表日，根据最新取得的可 行权人数变动、业绩指标完成情况等后续信息，修正预计 可行权的限制性股票数量。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36,061,080.00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7,238,731.50</w:t>
            </w:r>
          </w:p>
        </w:tc>
      </w:tr>
    </w:tbl>
    <w:p>
      <w:pPr>
        <w:pStyle w:val="BodyText"/>
        <w:spacing w:line="240" w:lineRule="auto" w:before="51"/>
        <w:ind w:left="154" w:right="983"/>
        <w:jc w:val="left"/>
      </w:pPr>
      <w:r>
        <w:rPr/>
        <w:t>其他说明</w:t>
      </w:r>
    </w:p>
    <w:p>
      <w:pPr>
        <w:pStyle w:val="BodyText"/>
        <w:spacing w:line="304" w:lineRule="auto" w:before="116"/>
        <w:ind w:right="11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日，公司召开的第六届董事会第十四次会议审议通过了《关于向公司</w:t>
      </w:r>
      <w:r>
        <w:rPr>
          <w:rFonts w:ascii="Times New Roman" w:hAnsi="Times New Roman" w:cs="Times New Roman" w:eastAsia="Times New Roman" w:hint="default"/>
        </w:rPr>
        <w:t>2017</w:t>
      </w:r>
      <w:r>
        <w:rPr/>
        <w:t>年度限制性股票激励计划激励对象首 次授予限制性股票的议案》，授予日为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日，授予</w:t>
      </w:r>
      <w:r>
        <w:rPr>
          <w:rFonts w:ascii="Times New Roman" w:hAnsi="Times New Roman" w:cs="Times New Roman" w:eastAsia="Times New Roman" w:hint="default"/>
        </w:rPr>
        <w:t>347</w:t>
      </w:r>
      <w:r>
        <w:rPr/>
        <w:t>名激励对象</w:t>
      </w:r>
      <w:r>
        <w:rPr>
          <w:rFonts w:ascii="Times New Roman" w:hAnsi="Times New Roman" w:cs="Times New Roman" w:eastAsia="Times New Roman" w:hint="default"/>
        </w:rPr>
        <w:t>720</w:t>
      </w:r>
      <w:r>
        <w:rPr/>
        <w:t>万股限制性股票，在资金缴纳、股份登记过 程中，有</w:t>
      </w:r>
      <w:r>
        <w:rPr>
          <w:rFonts w:ascii="Times New Roman" w:hAnsi="Times New Roman" w:cs="Times New Roman" w:eastAsia="Times New Roman" w:hint="default"/>
        </w:rPr>
        <w:t>21</w:t>
      </w:r>
      <w:r>
        <w:rPr/>
        <w:t>名激励对象因个人原因放弃认购，因此，公司激励计划实际授予</w:t>
      </w:r>
      <w:r>
        <w:rPr>
          <w:rFonts w:ascii="Times New Roman" w:hAnsi="Times New Roman" w:cs="Times New Roman" w:eastAsia="Times New Roman" w:hint="default"/>
        </w:rPr>
        <w:t>326</w:t>
      </w:r>
      <w:r>
        <w:rPr/>
        <w:t>名激励对象共计</w:t>
      </w:r>
      <w:r>
        <w:rPr>
          <w:rFonts w:ascii="Times New Roman" w:hAnsi="Times New Roman" w:cs="Times New Roman" w:eastAsia="Times New Roman" w:hint="default"/>
        </w:rPr>
        <w:t>707.08</w:t>
      </w:r>
      <w:r>
        <w:rPr/>
        <w:t>万股限制性股票。 </w:t>
      </w:r>
      <w:r>
        <w:rPr>
          <w:spacing w:val="-2"/>
        </w:rPr>
        <w:t>根据相关规定，本股权激励计划有效期为自限制性股票授予之日起至激励对象获授的限制性股票全部解除限售或回购注销之</w:t>
      </w:r>
      <w:r>
        <w:rPr>
          <w:spacing w:val="-63"/>
        </w:rPr>
        <w:t> </w:t>
      </w:r>
      <w:r>
        <w:rPr>
          <w:spacing w:val="-63"/>
        </w:rPr>
      </w:r>
      <w:r>
        <w:rPr>
          <w:spacing w:val="-2"/>
        </w:rPr>
        <w:t>日止，最长不超过</w:t>
      </w:r>
      <w:r>
        <w:rPr>
          <w:rFonts w:ascii="Times New Roman" w:hAnsi="Times New Roman" w:cs="Times New Roman" w:eastAsia="Times New Roman" w:hint="default"/>
          <w:spacing w:val="-2"/>
        </w:rPr>
        <w:t>48</w:t>
      </w:r>
      <w:r>
        <w:rPr>
          <w:spacing w:val="-2"/>
        </w:rPr>
        <w:t>个月。本激励计划的等待期为自激励对象获授限制性股票完成登记之日起</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12</w:t>
      </w:r>
      <w:r>
        <w:rPr>
          <w:spacing w:val="-2"/>
        </w:rPr>
        <w:t>个月后将根据业绩</w:t>
      </w:r>
    </w:p>
    <w:p>
      <w:pPr>
        <w:spacing w:after="0" w:line="304"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3"/>
        <w:jc w:val="left"/>
      </w:pPr>
      <w:r>
        <w:rPr/>
        <w:t>考核情况（包括公司业绩及个人绩效考核结果）解除限售，其中首次授予将分三期按照</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比例解除限售，因 预留部分未在</w:t>
      </w:r>
      <w:r>
        <w:rPr>
          <w:rFonts w:ascii="Times New Roman" w:hAnsi="Times New Roman" w:cs="Times New Roman" w:eastAsia="Times New Roman" w:hint="default"/>
        </w:rPr>
        <w:t>2017</w:t>
      </w:r>
      <w:r>
        <w:rPr/>
        <w:t>年度授出，如在</w:t>
      </w:r>
      <w:r>
        <w:rPr>
          <w:rFonts w:ascii="Times New Roman" w:hAnsi="Times New Roman" w:cs="Times New Roman" w:eastAsia="Times New Roman" w:hint="default"/>
        </w:rPr>
        <w:t>2018</w:t>
      </w:r>
      <w:r>
        <w:rPr/>
        <w:t>年授出，该部分限制性股票将按照</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的比例解除限售。</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3、以现金结算的股份支付情况" w:id="427"/>
      <w:bookmarkEnd w:id="42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28"/>
      <w:bookmarkEnd w:id="42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left="154" w:right="0"/>
        <w:jc w:val="both"/>
        <w:rPr>
          <w:b w:val="0"/>
          <w:bCs w:val="0"/>
        </w:rPr>
      </w:pPr>
      <w:bookmarkStart w:name="十四、承诺及或有事项" w:id="429"/>
      <w:bookmarkEnd w:id="429"/>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重要承诺事项" w:id="430"/>
      <w:bookmarkEnd w:id="43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412"/>
        <w:jc w:val="left"/>
      </w:pPr>
      <w:r>
        <w:rPr/>
        <w:t>资产负债表日存在的重要承诺 无</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2、或有事项" w:id="431"/>
      <w:bookmarkEnd w:id="43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432"/>
      <w:bookmarkEnd w:id="43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6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日，公司与中信银行北京经济技术开发区支行签订了综合授信合同，综合授信额度总金额为</w:t>
      </w:r>
      <w:r>
        <w:rPr>
          <w:rFonts w:ascii="Times New Roman" w:hAnsi="Times New Roman" w:cs="Times New Roman" w:eastAsia="Times New Roman" w:hint="default"/>
        </w:rPr>
        <w:t>40,000,000.00 </w:t>
      </w:r>
      <w:r>
        <w:rPr/>
        <w:t>元，授信期限为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p>
    <w:p>
      <w:pPr>
        <w:pStyle w:val="BodyText"/>
        <w:spacing w:line="300" w:lineRule="auto" w:before="13"/>
        <w:ind w:left="154" w:right="116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日，公司与广发银行北京工体支行签订了授信合同，授信额度为</w:t>
      </w:r>
      <w:r>
        <w:rPr>
          <w:rFonts w:ascii="Times New Roman" w:hAnsi="Times New Roman" w:cs="Times New Roman" w:eastAsia="Times New Roman" w:hint="default"/>
        </w:rPr>
        <w:t>80,000,000.00</w:t>
      </w:r>
      <w:r>
        <w:rPr/>
        <w:t>元，授信期限为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 </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w:t>
      </w:r>
    </w:p>
    <w:p>
      <w:pPr>
        <w:pStyle w:val="BodyText"/>
        <w:spacing w:line="300" w:lineRule="auto" w:before="13"/>
        <w:ind w:right="1168"/>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月，公司与宁波银行北京分行签订了综合授信合同，综合授信额度总金额为</w:t>
      </w:r>
      <w:r>
        <w:rPr>
          <w:rFonts w:ascii="Times New Roman" w:hAnsi="Times New Roman" w:cs="Times New Roman" w:eastAsia="Times New Roman" w:hint="default"/>
        </w:rPr>
        <w:t>200,000,000.00</w:t>
      </w:r>
      <w:r>
        <w:rPr/>
        <w:t>元，有效期至</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w:t>
      </w:r>
    </w:p>
    <w:p>
      <w:pPr>
        <w:pStyle w:val="BodyText"/>
        <w:spacing w:line="240" w:lineRule="auto" w:before="13"/>
        <w:ind w:right="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日深圳市久金保商业保理有限公司与华夏银行北京方庄支行签订最高额保证合同，担保金额为人民币</w:t>
      </w:r>
    </w:p>
    <w:p>
      <w:pPr>
        <w:pStyle w:val="BodyText"/>
        <w:spacing w:line="240" w:lineRule="auto" w:before="63"/>
        <w:ind w:left="154" w:right="0"/>
        <w:jc w:val="both"/>
      </w:pPr>
      <w:r>
        <w:rPr>
          <w:rFonts w:ascii="Times New Roman" w:hAnsi="Times New Roman" w:cs="Times New Roman" w:eastAsia="Times New Roman" w:hint="default"/>
        </w:rPr>
        <w:t>100,000,000.00</w:t>
      </w:r>
      <w:r>
        <w:rPr/>
        <w:t>元，担保期间为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日，保证人为北京久其软件股份有限公司。</w:t>
      </w:r>
    </w:p>
    <w:p>
      <w:pPr>
        <w:pStyle w:val="BodyText"/>
        <w:spacing w:line="300" w:lineRule="auto" w:before="63"/>
        <w:ind w:right="113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日，公司与宁波银行北京分行签订了开立保函协议，宁波银行北京分行为公司开具了额度为</w:t>
      </w:r>
      <w:r>
        <w:rPr>
          <w:rFonts w:ascii="Times New Roman" w:hAnsi="Times New Roman" w:cs="Times New Roman" w:eastAsia="Times New Roman" w:hint="default"/>
          <w:spacing w:val="-2"/>
        </w:rPr>
        <w:t>11,000,000.00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欧元的融资性保函，有效期截止至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日，公司与宁波银行北京分行签订了开立保函协议补充协 议，将该协议延期至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2）公司没有需要披露的重要或有事项，也应予以说明" w:id="433"/>
      <w:bookmarkEnd w:id="43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报告内公司不存在需要披露的重要或有事项。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五、资产负债表日后事项" w:id="434"/>
      <w:bookmarkEnd w:id="434"/>
      <w:r>
        <w:rPr>
          <w:b w:val="0"/>
          <w:bCs w:val="0"/>
        </w:rPr>
      </w:r>
      <w:r>
        <w:rPr/>
        <w:t>十五、资产负债表日后事项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bookmarkStart w:name="1、其他资产负债表日后事项说明" w:id="435"/>
      <w:bookmarkEnd w:id="435"/>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jc w:val="both"/>
      </w:pPr>
      <w:r>
        <w:rPr/>
        <w:t>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日召开的第六届董事会第二次（临时）会议及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2017</w:t>
      </w:r>
      <w:r>
        <w:rPr/>
        <w:t>年第一次临时股东大会审议通 </w:t>
      </w:r>
      <w:r>
        <w:rPr>
          <w:spacing w:val="-1"/>
        </w:rPr>
        <w:t>过，公司与北京久其科技投资有限公司（以下简称</w:t>
      </w:r>
      <w:r>
        <w:rPr>
          <w:rFonts w:ascii="Times New Roman" w:hAnsi="Times New Roman" w:cs="Times New Roman" w:eastAsia="Times New Roman" w:hint="default"/>
          <w:spacing w:val="-1"/>
        </w:rPr>
        <w:t>“</w:t>
      </w:r>
      <w:r>
        <w:rPr>
          <w:spacing w:val="-1"/>
        </w:rPr>
        <w:t>久其科技</w:t>
      </w:r>
      <w:r>
        <w:rPr>
          <w:rFonts w:ascii="Times New Roman" w:hAnsi="Times New Roman" w:cs="Times New Roman" w:eastAsia="Times New Roman" w:hint="default"/>
          <w:spacing w:val="-1"/>
        </w:rPr>
        <w:t>”</w:t>
      </w:r>
      <w:r>
        <w:rPr>
          <w:spacing w:val="-1"/>
        </w:rPr>
        <w:t>）以支付现金方式作价</w:t>
      </w:r>
      <w:r>
        <w:rPr>
          <w:rFonts w:ascii="Times New Roman" w:hAnsi="Times New Roman" w:cs="Times New Roman" w:eastAsia="Times New Roman" w:hint="default"/>
          <w:spacing w:val="-1"/>
        </w:rPr>
        <w:t>14.4</w:t>
      </w:r>
      <w:r>
        <w:rPr>
          <w:spacing w:val="-1"/>
        </w:rPr>
        <w:t>亿元人民币分别受让上海移通网络</w:t>
      </w:r>
      <w:r>
        <w:rPr>
          <w:spacing w:val="-53"/>
        </w:rPr>
        <w:t> </w:t>
      </w:r>
      <w:r>
        <w:rPr>
          <w:spacing w:val="-53"/>
        </w:rPr>
      </w:r>
      <w:r>
        <w:rPr>
          <w:spacing w:val="-1"/>
        </w:rPr>
        <w:t>有限公司（以下简称</w:t>
      </w:r>
      <w:r>
        <w:rPr>
          <w:rFonts w:ascii="Times New Roman" w:hAnsi="Times New Roman" w:cs="Times New Roman" w:eastAsia="Times New Roman" w:hint="default"/>
          <w:spacing w:val="-1"/>
        </w:rPr>
        <w:t>“</w:t>
      </w:r>
      <w:r>
        <w:rPr>
          <w:spacing w:val="-1"/>
        </w:rPr>
        <w:t>上海移通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51%</w:t>
      </w:r>
      <w:r>
        <w:rPr>
          <w:spacing w:val="-1"/>
        </w:rPr>
        <w:t>股权和</w:t>
      </w:r>
      <w:r>
        <w:rPr>
          <w:rFonts w:ascii="Times New Roman" w:hAnsi="Times New Roman" w:cs="Times New Roman" w:eastAsia="Times New Roman" w:hint="default"/>
          <w:spacing w:val="-1"/>
        </w:rPr>
        <w:t>49%</w:t>
      </w:r>
      <w:r>
        <w:rPr>
          <w:spacing w:val="-1"/>
        </w:rPr>
        <w:t>股权，其中，公司取得上海移通</w:t>
      </w:r>
      <w:r>
        <w:rPr>
          <w:rFonts w:ascii="Times New Roman" w:hAnsi="Times New Roman" w:cs="Times New Roman" w:eastAsia="Times New Roman" w:hint="default"/>
          <w:spacing w:val="-1"/>
        </w:rPr>
        <w:t>51%</w:t>
      </w:r>
      <w:r>
        <w:rPr>
          <w:spacing w:val="-1"/>
        </w:rPr>
        <w:t>股权的对价为</w:t>
      </w:r>
      <w:r>
        <w:rPr>
          <w:rFonts w:ascii="Times New Roman" w:hAnsi="Times New Roman" w:cs="Times New Roman" w:eastAsia="Times New Roman" w:hint="default"/>
          <w:spacing w:val="-1"/>
        </w:rPr>
        <w:t>7.344</w:t>
      </w:r>
      <w:r>
        <w:rPr>
          <w:spacing w:val="-1"/>
        </w:rPr>
        <w:t>亿元人民币，前述</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030"/>
        <w:jc w:val="left"/>
      </w:pPr>
      <w:r>
        <w:rPr/>
        <w:t>交易已于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日完成股权资产过户手续及相关工商变更登记工作。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日，公司召开第六届董事会第十七次（临时）会议和第六届监事会第九次（临时）会议，分别审议通过了《关</w:t>
      </w:r>
      <w:r>
        <w:rPr>
          <w:spacing w:val="-64"/>
        </w:rPr>
        <w:t> </w:t>
      </w:r>
      <w:r>
        <w:rPr>
          <w:spacing w:val="-64"/>
        </w:rPr>
      </w:r>
      <w:r>
        <w:rPr/>
        <w:t>于公司配股发行方案的议案》及《关于收购上海移通</w:t>
      </w:r>
      <w:r>
        <w:rPr>
          <w:rFonts w:ascii="Times New Roman" w:hAnsi="Times New Roman" w:cs="Times New Roman" w:eastAsia="Times New Roman" w:hint="default"/>
        </w:rPr>
        <w:t>49%</w:t>
      </w:r>
      <w:r>
        <w:rPr/>
        <w:t>股权暨关联交易并与久其科技签署附生效条件的股权转让协议的议 案》及相关议案。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日，公司召开</w:t>
      </w:r>
      <w:r>
        <w:rPr>
          <w:rFonts w:ascii="Times New Roman" w:hAnsi="Times New Roman" w:cs="Times New Roman" w:eastAsia="Times New Roman" w:hint="default"/>
        </w:rPr>
        <w:t>2017</w:t>
      </w:r>
      <w:r>
        <w:rPr/>
        <w:t>年第四次临时股东大会，审议通过了公司配股方案事项并授权董事会全权 </w:t>
      </w:r>
      <w:r>
        <w:rPr>
          <w:spacing w:val="-3"/>
        </w:rPr>
        <w:t>办理配股相关事宜。公司向中国证监会申报配股申请文件后，于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18</w:t>
      </w:r>
      <w:r>
        <w:rPr>
          <w:spacing w:val="-3"/>
        </w:rPr>
        <w:t>日收到《中国证监会行政许可申请受理通知书》</w:t>
      </w:r>
    </w:p>
    <w:p>
      <w:pPr>
        <w:pStyle w:val="BodyText"/>
        <w:spacing w:line="300" w:lineRule="auto" w:before="13"/>
        <w:ind w:right="1118"/>
        <w:jc w:val="left"/>
      </w:pPr>
      <w:r>
        <w:rPr/>
        <w:t>（</w:t>
      </w:r>
      <w:r>
        <w:rPr>
          <w:rFonts w:ascii="Times New Roman" w:hAnsi="Times New Roman" w:cs="Times New Roman" w:eastAsia="Times New Roman" w:hint="default"/>
        </w:rPr>
        <w:t>172491</w:t>
      </w:r>
      <w:r>
        <w:rPr/>
        <w:t>号）。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日，公司召开第六届董事会第二十次会议和第六届监事会第十次会议，分别审议通过了《关于终止公司配股方 案并撤回配股申请文件的议案》，同意公司终止配股方案并向中国证监会申请撤回配股申请文件。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日，公司召 </w:t>
      </w:r>
      <w:r>
        <w:rPr>
          <w:spacing w:val="-2"/>
        </w:rPr>
        <w:t>开</w:t>
      </w:r>
      <w:r>
        <w:rPr>
          <w:rFonts w:ascii="Times New Roman" w:hAnsi="Times New Roman" w:cs="Times New Roman" w:eastAsia="Times New Roman" w:hint="default"/>
          <w:spacing w:val="-2"/>
        </w:rPr>
        <w:t>2018</w:t>
      </w:r>
      <w:r>
        <w:rPr>
          <w:spacing w:val="-2"/>
        </w:rPr>
        <w:t>第二次临时股东大会，审议通过了终止配股方案并向中国证监会申请撤回配股申请文件事宜，导致公司与北京久其科</w:t>
      </w:r>
      <w:r>
        <w:rPr>
          <w:spacing w:val="-60"/>
        </w:rPr>
        <w:t> </w:t>
      </w:r>
      <w:r>
        <w:rPr>
          <w:spacing w:val="-60"/>
        </w:rPr>
      </w:r>
      <w:r>
        <w:rPr/>
        <w:t>技投资有限公司于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日签署的《附生效条件的股权转让协议》无效。 公司与控股股东久其科技于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日签署了《股权转让协议》，拟以自有及自筹资金的方式按照</w:t>
      </w:r>
      <w:r>
        <w:rPr>
          <w:rFonts w:ascii="Times New Roman" w:hAnsi="Times New Roman" w:cs="Times New Roman" w:eastAsia="Times New Roman" w:hint="default"/>
        </w:rPr>
        <w:t>8</w:t>
      </w:r>
      <w:r>
        <w:rPr/>
        <w:t>亿元人民币的对价收 </w:t>
      </w:r>
      <w:r>
        <w:rPr>
          <w:spacing w:val="-3"/>
        </w:rPr>
        <w:t>购久其科技持有的上海移通</w:t>
      </w:r>
      <w:r>
        <w:rPr>
          <w:rFonts w:ascii="Times New Roman" w:hAnsi="Times New Roman" w:cs="Times New Roman" w:eastAsia="Times New Roman" w:hint="default"/>
          <w:spacing w:val="-3"/>
        </w:rPr>
        <w:t>49%</w:t>
      </w:r>
      <w:r>
        <w:rPr>
          <w:spacing w:val="-3"/>
        </w:rPr>
        <w:t>股权。本次收购完成后，上海移通将成为公司的全资子公司。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日，公司召开</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1"/>
        </w:rPr>
        <w:t>年第三次临时股东大会，审议通过了《关于收购上海移通</w:t>
      </w:r>
      <w:r>
        <w:rPr>
          <w:rFonts w:ascii="Times New Roman" w:hAnsi="Times New Roman" w:cs="Times New Roman" w:eastAsia="Times New Roman" w:hint="default"/>
          <w:spacing w:val="-1"/>
        </w:rPr>
        <w:t>49%</w:t>
      </w:r>
      <w:r>
        <w:rPr>
          <w:spacing w:val="-1"/>
        </w:rPr>
        <w:t>股权暨关联交易的议案》。本次收购完成后，上海移通成为公</w:t>
      </w:r>
      <w:r>
        <w:rPr/>
        <w:t> 司的全资子公司，上海移通已完成工商变更登记于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日取得营业执照。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2"/>
        <w:spacing w:line="240" w:lineRule="auto"/>
        <w:ind w:right="983"/>
        <w:jc w:val="left"/>
        <w:rPr>
          <w:b w:val="0"/>
          <w:bCs w:val="0"/>
        </w:rPr>
      </w:pPr>
      <w:bookmarkStart w:name="十六、其他重要事项" w:id="436"/>
      <w:bookmarkEnd w:id="436"/>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其他" w:id="437"/>
      <w:bookmarkEnd w:id="437"/>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月，根据</w:t>
      </w:r>
      <w:r>
        <w:rPr>
          <w:rFonts w:ascii="Times New Roman" w:hAnsi="Times New Roman" w:cs="Times New Roman" w:eastAsia="Times New Roman" w:hint="default"/>
          <w:spacing w:val="-2"/>
        </w:rPr>
        <w:t>2016</w:t>
      </w:r>
      <w:r>
        <w:rPr>
          <w:spacing w:val="-2"/>
        </w:rPr>
        <w:t>年度股东大会决议通过的《关于定向回购王新、李勇</w:t>
      </w:r>
      <w:r>
        <w:rPr>
          <w:rFonts w:ascii="Times New Roman" w:hAnsi="Times New Roman" w:cs="Times New Roman" w:eastAsia="Times New Roman" w:hint="default"/>
          <w:spacing w:val="-2"/>
        </w:rPr>
        <w:t>2016</w:t>
      </w:r>
      <w:r>
        <w:rPr>
          <w:spacing w:val="-2"/>
        </w:rPr>
        <w:t>年度应补偿股份暨关联交易的议案》，公</w:t>
      </w:r>
      <w:r>
        <w:rPr>
          <w:spacing w:val="-53"/>
        </w:rPr>
        <w:t> </w:t>
      </w:r>
      <w:r>
        <w:rPr>
          <w:spacing w:val="-53"/>
        </w:rPr>
      </w:r>
      <w:r>
        <w:rPr>
          <w:spacing w:val="-2"/>
        </w:rPr>
        <w:t>司以</w:t>
      </w:r>
      <w:r>
        <w:rPr>
          <w:rFonts w:ascii="Times New Roman" w:hAnsi="Times New Roman" w:cs="Times New Roman" w:eastAsia="Times New Roman" w:hint="default"/>
          <w:spacing w:val="-2"/>
        </w:rPr>
        <w:t>1</w:t>
      </w:r>
      <w:r>
        <w:rPr>
          <w:spacing w:val="-2"/>
        </w:rPr>
        <w:t>元总价回购股东王新</w:t>
      </w:r>
      <w:r>
        <w:rPr>
          <w:rFonts w:ascii="Times New Roman" w:hAnsi="Times New Roman" w:cs="Times New Roman" w:eastAsia="Times New Roman" w:hint="default"/>
          <w:spacing w:val="-2"/>
        </w:rPr>
        <w:t>125,125</w:t>
      </w:r>
      <w:r>
        <w:rPr>
          <w:spacing w:val="-2"/>
        </w:rPr>
        <w:t>股，股东李勇</w:t>
      </w:r>
      <w:r>
        <w:rPr>
          <w:rFonts w:ascii="Times New Roman" w:hAnsi="Times New Roman" w:cs="Times New Roman" w:eastAsia="Times New Roman" w:hint="default"/>
          <w:spacing w:val="-2"/>
        </w:rPr>
        <w:t>94,393</w:t>
      </w:r>
      <w:r>
        <w:rPr>
          <w:spacing w:val="-2"/>
        </w:rPr>
        <w:t>股并予以注销，本次回购的股份已于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日在中国证券登记结</w:t>
      </w:r>
      <w:r>
        <w:rPr>
          <w:spacing w:val="-45"/>
        </w:rPr>
        <w:t> </w:t>
      </w:r>
      <w:r>
        <w:rPr/>
        <w:t>算有限责任公司深圳分公司完成注销手续，回购后公司注册资本变更为</w:t>
      </w:r>
      <w:r>
        <w:rPr>
          <w:rFonts w:ascii="Times New Roman" w:hAnsi="Times New Roman" w:cs="Times New Roman" w:eastAsia="Times New Roman" w:hint="default"/>
        </w:rPr>
        <w:t>541,272,432.00</w:t>
      </w:r>
      <w:r>
        <w:rPr/>
        <w:t>元。 </w:t>
      </w:r>
      <w:r>
        <w:rPr>
          <w:rFonts w:ascii="Times New Roman" w:hAnsi="Times New Roman" w:cs="Times New Roman" w:eastAsia="Times New Roman" w:hint="default"/>
        </w:rPr>
        <w:t>2</w:t>
      </w:r>
      <w:r>
        <w:rPr/>
        <w:t>、截止到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日，股东股票质押情况如下：北京久其科技投资有限公司质押股票</w:t>
      </w:r>
      <w:r>
        <w:rPr>
          <w:rFonts w:ascii="Times New Roman" w:hAnsi="Times New Roman" w:cs="Times New Roman" w:eastAsia="Times New Roman" w:hint="default"/>
        </w:rPr>
        <w:t>157,742,300</w:t>
      </w:r>
      <w:r>
        <w:rPr/>
        <w:t>股，董泰湘质押股票</w:t>
      </w:r>
    </w:p>
    <w:p>
      <w:pPr>
        <w:pStyle w:val="BodyText"/>
        <w:spacing w:line="240" w:lineRule="auto" w:before="13"/>
        <w:ind w:right="983"/>
        <w:jc w:val="left"/>
        <w:rPr>
          <w:rFonts w:ascii="Times New Roman" w:hAnsi="Times New Roman" w:cs="Times New Roman" w:eastAsia="Times New Roman" w:hint="default"/>
        </w:rPr>
      </w:pPr>
      <w:r>
        <w:rPr>
          <w:rFonts w:ascii="Times New Roman" w:hAnsi="Times New Roman" w:cs="Times New Roman" w:eastAsia="Times New Roman" w:hint="default"/>
          <w:spacing w:val="-4"/>
        </w:rPr>
        <w:t>84,710,000</w:t>
      </w:r>
      <w:r>
        <w:rPr>
          <w:spacing w:val="-4"/>
        </w:rPr>
        <w:t>股，赵福君质押股票</w:t>
      </w:r>
      <w:r>
        <w:rPr>
          <w:rFonts w:ascii="Times New Roman" w:hAnsi="Times New Roman" w:cs="Times New Roman" w:eastAsia="Times New Roman" w:hint="default"/>
          <w:spacing w:val="-4"/>
        </w:rPr>
        <w:t>53,020,000</w:t>
      </w:r>
      <w:r>
        <w:rPr>
          <w:spacing w:val="-4"/>
        </w:rPr>
        <w:t>股，王新质押股票</w:t>
      </w:r>
      <w:r>
        <w:rPr>
          <w:rFonts w:ascii="Times New Roman" w:hAnsi="Times New Roman" w:cs="Times New Roman" w:eastAsia="Times New Roman" w:hint="default"/>
          <w:spacing w:val="-4"/>
        </w:rPr>
        <w:t>3,850,000</w:t>
      </w:r>
      <w:r>
        <w:rPr>
          <w:spacing w:val="-4"/>
        </w:rPr>
        <w:t>股，栗军质押股票</w:t>
      </w:r>
      <w:r>
        <w:rPr>
          <w:rFonts w:ascii="Times New Roman" w:hAnsi="Times New Roman" w:cs="Times New Roman" w:eastAsia="Times New Roman" w:hint="default"/>
          <w:spacing w:val="-4"/>
        </w:rPr>
        <w:t>7,544,200</w:t>
      </w:r>
      <w:r>
        <w:rPr>
          <w:spacing w:val="-4"/>
        </w:rPr>
        <w:t>股，欧阳曜质押股票</w:t>
      </w:r>
      <w:r>
        <w:rPr>
          <w:rFonts w:ascii="Times New Roman" w:hAnsi="Times New Roman" w:cs="Times New Roman" w:eastAsia="Times New Roman" w:hint="default"/>
          <w:spacing w:val="-4"/>
        </w:rPr>
        <w:t>6,830,000</w:t>
      </w:r>
    </w:p>
    <w:p>
      <w:pPr>
        <w:pStyle w:val="BodyText"/>
        <w:spacing w:line="240" w:lineRule="auto" w:before="63"/>
        <w:ind w:right="983"/>
        <w:jc w:val="left"/>
      </w:pPr>
      <w:r>
        <w:rPr/>
        <w:t>股，姚立生质押股票</w:t>
      </w:r>
      <w:r>
        <w:rPr>
          <w:rFonts w:ascii="Times New Roman" w:hAnsi="Times New Roman" w:cs="Times New Roman" w:eastAsia="Times New Roman" w:hint="default"/>
        </w:rPr>
        <w:t>4,024,317</w:t>
      </w:r>
      <w:r>
        <w:rPr/>
        <w:t>股，沈栋梁质押股票</w:t>
      </w:r>
      <w:r>
        <w:rPr>
          <w:rFonts w:ascii="Times New Roman" w:hAnsi="Times New Roman" w:cs="Times New Roman" w:eastAsia="Times New Roman" w:hint="default"/>
        </w:rPr>
        <w:t>2,400,000</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54" w:right="983"/>
        <w:jc w:val="left"/>
        <w:rPr>
          <w:b w:val="0"/>
          <w:bCs w:val="0"/>
        </w:rPr>
      </w:pPr>
      <w:bookmarkStart w:name="十七、母公司财务报表主要项目注释" w:id="438"/>
      <w:bookmarkEnd w:id="438"/>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应收账款" w:id="439"/>
      <w:bookmarkEnd w:id="43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应收账款分类披露" w:id="440"/>
      <w:bookmarkEnd w:id="4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115,411,5</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06.39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4,141,32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111,270,1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85.87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96,141,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369.90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98.31%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3,375,836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92,765,533.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1,612,04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1,612,04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1,655,5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1,655,544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117,023,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550.39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5,753,36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4.52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111,270,1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85.87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97,796,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913.90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5,031,380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92,765,533.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295" w:space="462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7"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81,180,320.91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7"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5,634,627.20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281,731.36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15,588,775.64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1,558,877.56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7,658,626.64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1,148,794.00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3,784,048.00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756,809.60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395,108.00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395,108.00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114,241,506.39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4,141,320.52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left="154" w:right="2320"/>
        <w:jc w:val="left"/>
      </w:pPr>
      <w:r>
        <w:rPr/>
        <w:t>确定该组合依据的说明： 无</w:t>
      </w:r>
    </w:p>
    <w:p>
      <w:pPr>
        <w:pStyle w:val="BodyText"/>
        <w:spacing w:line="240" w:lineRule="auto" w:before="29"/>
        <w:ind w:left="154" w:right="-20"/>
        <w:jc w:val="left"/>
      </w:pPr>
      <w:r>
        <w:rPr/>
        <w:t>组合中，采用余额百分比法计提坏账准备的应收账款：</w:t>
      </w:r>
    </w:p>
    <w:p>
      <w:pPr>
        <w:pStyle w:val="BodyText"/>
        <w:spacing w:line="338" w:lineRule="auto" w:before="117"/>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5" w:space="4445"/>
            <w:col w:w="2010"/>
          </w:cols>
        </w:sectPr>
      </w:pP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807"/>
        <w:gridCol w:w="2453"/>
        <w:gridCol w:w="1931"/>
        <w:gridCol w:w="1468"/>
      </w:tblGrid>
      <w:tr>
        <w:trPr>
          <w:trHeight w:val="342" w:hRule="exact"/>
        </w:trPr>
        <w:tc>
          <w:tcPr>
            <w:tcW w:w="380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807"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2"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内部关联方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1,170,000.00</w:t>
            </w:r>
          </w:p>
        </w:tc>
        <w:tc>
          <w:tcPr>
            <w:tcW w:w="193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1,170,000.00</w:t>
            </w:r>
          </w:p>
        </w:tc>
        <w:tc>
          <w:tcPr>
            <w:tcW w:w="193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83"/>
        <w:jc w:val="left"/>
        <w:rPr>
          <w:b w:val="0"/>
          <w:bCs w:val="0"/>
        </w:rPr>
      </w:pPr>
      <w:bookmarkStart w:name="（2）本期计提、收回或转回的坏账准备情况" w:id="441"/>
      <w:bookmarkEnd w:id="4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本期计提坏账准备金额</w:t>
      </w:r>
      <w:r>
        <w:rPr>
          <w:spacing w:val="-46"/>
        </w:rPr>
        <w:t> </w:t>
      </w:r>
      <w:r>
        <w:rPr>
          <w:rFonts w:ascii="Times New Roman" w:hAnsi="Times New Roman" w:cs="Times New Roman" w:eastAsia="Times New Roman" w:hint="default"/>
        </w:rPr>
        <w:t>721,983.71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3）本期实际核销的应收账款情况" w:id="442"/>
      <w:bookmarkEnd w:id="4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无</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983"/>
        <w:jc w:val="left"/>
        <w:rPr>
          <w:b w:val="0"/>
          <w:bCs w:val="0"/>
        </w:rPr>
      </w:pPr>
      <w:bookmarkStart w:name="（4）按欠款方归集的期末余额前五名的应收账款情况" w:id="443"/>
      <w:bookmarkEnd w:id="44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5"/>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3629"/>
        <w:gridCol w:w="2076"/>
        <w:gridCol w:w="2384"/>
        <w:gridCol w:w="1568"/>
      </w:tblGrid>
      <w:tr>
        <w:trPr>
          <w:trHeight w:val="337" w:hRule="exact"/>
        </w:trPr>
        <w:tc>
          <w:tcPr>
            <w:tcW w:w="362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2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629" w:type="dxa"/>
            <w:vMerge/>
            <w:tcBorders>
              <w:left w:val="single" w:sz="4" w:space="0" w:color="000000"/>
              <w:bottom w:val="single" w:sz="4" w:space="0" w:color="000000"/>
              <w:right w:val="single" w:sz="4" w:space="0" w:color="000000"/>
            </w:tcBorders>
            <w:shd w:val="clear" w:color="auto" w:fill="D9D9D9"/>
          </w:tcPr>
          <w:p>
            <w:pP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7" w:hRule="exact"/>
        </w:trPr>
        <w:tc>
          <w:tcPr>
            <w:tcW w:w="3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076"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238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4.27</w:t>
            </w:r>
          </w:p>
        </w:tc>
        <w:tc>
          <w:tcPr>
            <w:tcW w:w="1568"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3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07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4,140,000.00</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3.54</w:t>
            </w: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07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4,021,412.51</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3.44</w:t>
            </w: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07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3,880,000.00</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3.32</w:t>
            </w: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07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3,484,800.00</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2.98</w:t>
            </w: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20,526,212.51</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17.55</w:t>
            </w:r>
          </w:p>
        </w:tc>
        <w:tc>
          <w:tcPr>
            <w:tcW w:w="15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83"/>
        <w:jc w:val="left"/>
        <w:rPr>
          <w:b w:val="0"/>
          <w:bCs w:val="0"/>
        </w:rPr>
      </w:pPr>
      <w:bookmarkStart w:name="（5）因金融资产转移而终止确认的应收账款" w:id="444"/>
      <w:bookmarkEnd w:id="44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6）转移应收账款且继续涉入形成的资产、负债金额" w:id="445"/>
      <w:bookmarkEnd w:id="44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2、其他应收款" w:id="446"/>
      <w:bookmarkEnd w:id="44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3"/>
        <w:jc w:val="left"/>
        <w:rPr>
          <w:b w:val="0"/>
          <w:bCs w:val="0"/>
        </w:rPr>
      </w:pPr>
      <w:bookmarkStart w:name="（1）其他应收款分类披露" w:id="447"/>
      <w:bookmarkEnd w:id="44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63,080,7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00.51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3,418,16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59,662,53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59,237,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146.73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2,273,776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56,963,370.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63,080,7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00.51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3,418,16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59,662,53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59,237,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146.73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2,273,776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56,963,370.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5" w:space="4445"/>
            <w:col w:w="2010"/>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7"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17,781,249.26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7"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2,706,594.00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135,329.70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15,335,255.00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1,533,525.50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3,676,367.20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551,455.08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2,302,905.00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460,581.00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737,276.00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737,276.00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42,539,646.46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3,418,167.28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79" w:top="1100" w:bottom="1160" w:left="980" w:right="0"/>
        </w:sectPr>
      </w:pPr>
    </w:p>
    <w:p>
      <w:pPr>
        <w:pStyle w:val="BodyText"/>
        <w:spacing w:line="357" w:lineRule="auto" w:before="44"/>
        <w:ind w:left="154" w:right="2500"/>
        <w:jc w:val="left"/>
      </w:pPr>
      <w:r>
        <w:rPr/>
        <w:t>确定该组合依据的说明： 无</w:t>
      </w:r>
    </w:p>
    <w:p>
      <w:pPr>
        <w:pStyle w:val="BodyText"/>
        <w:spacing w:line="240" w:lineRule="auto" w:before="29"/>
        <w:ind w:left="154" w:right="-20"/>
        <w:jc w:val="left"/>
      </w:pPr>
      <w:r>
        <w:rPr/>
        <w:t>组合中，采用余额百分比法计提坏账准备的其他应收款：</w:t>
      </w:r>
    </w:p>
    <w:p>
      <w:pPr>
        <w:pStyle w:val="BodyText"/>
        <w:spacing w:line="338" w:lineRule="auto" w:before="117"/>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5"/>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983"/>
        <w:gridCol w:w="2277"/>
        <w:gridCol w:w="1931"/>
        <w:gridCol w:w="1468"/>
      </w:tblGrid>
      <w:tr>
        <w:trPr>
          <w:trHeight w:val="337" w:hRule="exact"/>
        </w:trPr>
        <w:tc>
          <w:tcPr>
            <w:tcW w:w="398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7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983" w:type="dxa"/>
            <w:vMerge/>
            <w:tcBorders>
              <w:left w:val="single" w:sz="4" w:space="0" w:color="000000"/>
              <w:bottom w:val="single" w:sz="4" w:space="0" w:color="000000"/>
              <w:right w:val="single" w:sz="4" w:space="0" w:color="000000"/>
            </w:tcBorders>
            <w:shd w:val="clear" w:color="auto" w:fill="D9D9D9"/>
          </w:tcPr>
          <w:p>
            <w:pPr/>
          </w:p>
        </w:tc>
        <w:tc>
          <w:tcPr>
            <w:tcW w:w="2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68"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37" w:hRule="exact"/>
        </w:trPr>
        <w:tc>
          <w:tcPr>
            <w:tcW w:w="3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内部及关联方组合</w:t>
            </w:r>
          </w:p>
        </w:tc>
        <w:tc>
          <w:tcPr>
            <w:tcW w:w="22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20,541,054.05</w:t>
            </w:r>
          </w:p>
        </w:tc>
        <w:tc>
          <w:tcPr>
            <w:tcW w:w="1931" w:type="dxa"/>
            <w:tcBorders>
              <w:top w:val="single" w:sz="8" w:space="0" w:color="000000"/>
              <w:left w:val="single" w:sz="4" w:space="0" w:color="000000"/>
              <w:bottom w:val="single" w:sz="4" w:space="0" w:color="000000"/>
              <w:right w:val="single" w:sz="4" w:space="0" w:color="000000"/>
            </w:tcBorders>
          </w:tcPr>
          <w:p>
            <w:pPr/>
          </w:p>
        </w:tc>
        <w:tc>
          <w:tcPr>
            <w:tcW w:w="1468" w:type="dxa"/>
            <w:tcBorders>
              <w:top w:val="single" w:sz="8" w:space="0" w:color="000000"/>
              <w:left w:val="single" w:sz="4" w:space="0" w:color="000000"/>
              <w:bottom w:val="single" w:sz="4" w:space="0" w:color="000000"/>
              <w:right w:val="single" w:sz="4" w:space="0" w:color="000000"/>
            </w:tcBorders>
          </w:tcPr>
          <w:p>
            <w:pPr/>
          </w:p>
        </w:tc>
      </w:tr>
      <w:tr>
        <w:trPr>
          <w:trHeight w:val="343" w:hRule="exact"/>
        </w:trPr>
        <w:tc>
          <w:tcPr>
            <w:tcW w:w="3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20,541,054.05</w:t>
            </w:r>
          </w:p>
        </w:tc>
        <w:tc>
          <w:tcPr>
            <w:tcW w:w="1931"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83"/>
        <w:jc w:val="left"/>
        <w:rPr>
          <w:b w:val="0"/>
          <w:bCs w:val="0"/>
        </w:rPr>
      </w:pPr>
      <w:bookmarkStart w:name="（2）本期计提、收回或转回的坏账准备情况" w:id="448"/>
      <w:bookmarkEnd w:id="4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83"/>
        <w:jc w:val="left"/>
      </w:pPr>
      <w:r>
        <w:rPr/>
        <w:t>本期计提坏账准备金额</w:t>
      </w:r>
      <w:r>
        <w:rPr>
          <w:spacing w:val="-47"/>
        </w:rPr>
        <w:t> </w:t>
      </w:r>
      <w:r>
        <w:rPr>
          <w:rFonts w:ascii="Times New Roman" w:hAnsi="Times New Roman" w:cs="Times New Roman" w:eastAsia="Times New Roman" w:hint="default"/>
        </w:rPr>
        <w:t>1,144,390.76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3）本期实际核销的其他应收款情况" w:id="449"/>
      <w:bookmarkEnd w:id="44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4）其他应收款按款项性质分类情况" w:id="450"/>
      <w:bookmarkEnd w:id="45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42,539,646.46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37,739,618.10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4,847,149.44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4,634,582.31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15,693,904.61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16,862,946.32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63,080,700.51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59,237,146.73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983"/>
        <w:jc w:val="left"/>
        <w:rPr>
          <w:b w:val="0"/>
          <w:bCs w:val="0"/>
        </w:rPr>
      </w:pPr>
      <w:bookmarkStart w:name="（5）按欠款方归集的期末余额前五名的其他应收款情况" w:id="451"/>
      <w:bookmarkEnd w:id="45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3,486,507.39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3,080,958.29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27,731,465.68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6）涉及政府补助的应收款项" w:id="452"/>
      <w:bookmarkEnd w:id="45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7）因金融资产转移而终止确认的其他应收款" w:id="453"/>
      <w:bookmarkEnd w:id="45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8）转移其他应收款且继续涉入形成的资产、负债金额" w:id="454"/>
      <w:bookmarkEnd w:id="45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3、长期股权投资" w:id="455"/>
      <w:bookmarkEnd w:id="45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2,665,685,674.58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2,665,685,674.58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1,521,233,424.58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1,521,233,424.58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133,658,047.63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133,658,047.63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90,620,388.98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90,620,388.98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2,799,343,722.21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2,799,343,722.21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1,611,853,813.56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1,611,853,813.56</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1）对子公司投资" w:id="456"/>
      <w:bookmarkEnd w:id="45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1276"/>
        <w:gridCol w:w="851"/>
        <w:gridCol w:w="1559"/>
        <w:gridCol w:w="1559"/>
        <w:gridCol w:w="162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西安久其软件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2,974,522.70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2,974,522.70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1276"/>
        <w:gridCol w:w="851"/>
        <w:gridCol w:w="1559"/>
        <w:gridCol w:w="1559"/>
        <w:gridCol w:w="162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3"/>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上海久其软件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3,203,281.00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3,203,281.00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成都久其软件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2,952,000.00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广东久其软件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1,504,638.24</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1,504,638.24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北京久其政务 软件股份有限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28,492,354.54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278,600,000.00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307,092,354.54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新疆久其科技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2,876,628.10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2,876,628.10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重庆久其软件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海南久其云计 算科技有限公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北京久其智通 数据科技有限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北京亿起联科 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北京久其龙信 数据科技有限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北京久其互联 网金融信息服 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北京华夏电通 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2,252,250.00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602,252,250.00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北京蜂语网络 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北京中民颐养 科技服务有限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深圳市久金保 商业保理有限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1"/>
              <w:jc w:val="right"/>
              <w:rPr>
                <w:rFonts w:ascii="宋体" w:hAnsi="宋体" w:cs="宋体" w:eastAsia="宋体" w:hint="default"/>
                <w:sz w:val="18"/>
                <w:szCs w:val="18"/>
              </w:rPr>
            </w:pPr>
            <w:r>
              <w:rPr>
                <w:rFonts w:ascii="宋体" w:hAnsi="宋体" w:cs="宋体" w:eastAsia="宋体" w:hint="default"/>
                <w:sz w:val="18"/>
                <w:szCs w:val="18"/>
              </w:rPr>
              <w:t>北京瑞意恒动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1276"/>
        <w:gridCol w:w="851"/>
        <w:gridCol w:w="1559"/>
        <w:gridCol w:w="1559"/>
        <w:gridCol w:w="162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3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海南久其互联 网产业研究院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上海移通网络 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734,400,000.00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734,400,000.00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北京久其金建 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22,500,000.00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久其数字传播 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1,521,233,424.58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1,144,452,250.0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2,665,685,674.58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83"/>
        <w:jc w:val="left"/>
        <w:rPr>
          <w:b w:val="0"/>
          <w:bCs w:val="0"/>
        </w:rPr>
      </w:pPr>
      <w:bookmarkStart w:name="（2）对联营、合营企业投资" w:id="457"/>
      <w:bookmarkEnd w:id="45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同望科技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57,363,10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3,562,071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59,800,17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北京信诺 软通信息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3,221,409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366,653.7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3,588,063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深圳前海 数聚成长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30,035,87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233,933.6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70,269,81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90,620,38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4,162,658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133,658,0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90,620,38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4,162,658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133,658,0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983"/>
        <w:jc w:val="left"/>
        <w:rPr>
          <w:b w:val="0"/>
          <w:bCs w:val="0"/>
        </w:rPr>
      </w:pPr>
      <w:bookmarkStart w:name="（3）其他说明" w:id="458"/>
      <w:bookmarkEnd w:id="45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83"/>
        <w:jc w:val="left"/>
        <w:rPr>
          <w:b w:val="0"/>
          <w:bCs w:val="0"/>
        </w:rPr>
      </w:pPr>
      <w:bookmarkStart w:name="4、营业收入和营业成本" w:id="459"/>
      <w:bookmarkEnd w:id="45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465,069,200.92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70,482,296.77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441,571,344.98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44,029,299.52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7,793,267.04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2,967,694.27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472,862,467.96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70,482,296.77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444,539,039.25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44,029,299.52</w:t>
            </w:r>
          </w:p>
        </w:tc>
      </w:tr>
    </w:tbl>
    <w:p>
      <w:pPr>
        <w:spacing w:line="240" w:lineRule="auto" w:before="2"/>
        <w:rPr>
          <w:rFonts w:ascii="宋体" w:hAnsi="宋体" w:cs="宋体" w:eastAsia="宋体" w:hint="default"/>
          <w:sz w:val="19"/>
          <w:szCs w:val="19"/>
        </w:rPr>
      </w:pPr>
    </w:p>
    <w:p>
      <w:pPr>
        <w:pStyle w:val="Heading3"/>
        <w:spacing w:line="240" w:lineRule="auto" w:before="35"/>
        <w:ind w:right="983"/>
        <w:jc w:val="left"/>
        <w:rPr>
          <w:b w:val="0"/>
          <w:bCs w:val="0"/>
        </w:rPr>
      </w:pPr>
      <w:bookmarkStart w:name="5、投资收益" w:id="460"/>
      <w:bookmarkEnd w:id="46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4,162,658.65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2,882,722.35</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24,162,658.65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2,882,722.35</w:t>
            </w:r>
          </w:p>
        </w:tc>
      </w:tr>
    </w:tbl>
    <w:p>
      <w:pPr>
        <w:spacing w:line="240" w:lineRule="auto" w:before="2"/>
        <w:rPr>
          <w:rFonts w:ascii="宋体" w:hAnsi="宋体" w:cs="宋体" w:eastAsia="宋体" w:hint="default"/>
          <w:sz w:val="18"/>
          <w:szCs w:val="18"/>
        </w:rPr>
      </w:pPr>
    </w:p>
    <w:p>
      <w:pPr>
        <w:pStyle w:val="Heading2"/>
        <w:spacing w:line="240" w:lineRule="auto" w:before="26"/>
        <w:ind w:left="154" w:right="983"/>
        <w:jc w:val="left"/>
        <w:rPr>
          <w:b w:val="0"/>
          <w:bCs w:val="0"/>
        </w:rPr>
      </w:pPr>
      <w:bookmarkStart w:name="十八、补充资料" w:id="461"/>
      <w:bookmarkEnd w:id="46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83"/>
        <w:jc w:val="left"/>
        <w:rPr>
          <w:b w:val="0"/>
          <w:bCs w:val="0"/>
        </w:rPr>
      </w:pPr>
      <w:bookmarkStart w:name="1、当期非经常性损益明细表" w:id="462"/>
      <w:bookmarkEnd w:id="46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28,135,291.28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主要系公司报告期处置房产损益所致</w:t>
            </w:r>
          </w:p>
        </w:tc>
      </w:tr>
      <w:tr>
        <w:trPr>
          <w:trHeight w:val="1026"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14,612,748.28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公司报告期内获得政府补助明细请参看 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 财务报告</w:t>
            </w:r>
            <w:r>
              <w:rPr>
                <w:rFonts w:ascii="宋体" w:hAnsi="宋体" w:cs="宋体" w:eastAsia="宋体" w:hint="default"/>
                <w:spacing w:val="-10"/>
                <w:sz w:val="18"/>
                <w:szCs w:val="18"/>
              </w:rPr>
              <w:t> </w:t>
            </w:r>
            <w:r>
              <w:rPr>
                <w:rFonts w:ascii="宋体" w:hAnsi="宋体" w:cs="宋体" w:eastAsia="宋体" w:hint="default"/>
                <w:sz w:val="18"/>
                <w:szCs w:val="18"/>
              </w:rPr>
              <w:t>七、合并财</w:t>
            </w:r>
            <w:r>
              <w:rPr>
                <w:rFonts w:ascii="宋体" w:hAnsi="宋体" w:cs="宋体" w:eastAsia="宋体" w:hint="default"/>
                <w:sz w:val="18"/>
                <w:szCs w:val="18"/>
              </w:rPr>
              <w:t> 务报表注释 </w:t>
            </w:r>
            <w:r>
              <w:rPr>
                <w:rFonts w:ascii="Times New Roman" w:hAnsi="Times New Roman" w:cs="Times New Roman" w:eastAsia="Times New Roman" w:hint="default"/>
                <w:sz w:val="18"/>
                <w:szCs w:val="18"/>
              </w:rPr>
              <w:t>72</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p>
        </w:tc>
      </w:tr>
      <w:tr>
        <w:trPr>
          <w:trHeight w:val="162"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770,852.79</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系子公司报告期内购买的保本型浮动利 率银行理财产品的投资收益所致</w:t>
            </w:r>
          </w:p>
        </w:tc>
      </w:tr>
      <w:tr>
        <w:trPr>
          <w:trHeight w:val="391"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62"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6,984,902.66</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1"/>
              <w:jc w:val="left"/>
              <w:rPr>
                <w:rFonts w:ascii="宋体" w:hAnsi="宋体" w:cs="宋体" w:eastAsia="宋体" w:hint="default"/>
                <w:sz w:val="18"/>
                <w:szCs w:val="18"/>
              </w:rPr>
            </w:pPr>
            <w:r>
              <w:rPr>
                <w:rFonts w:ascii="宋体" w:hAnsi="宋体" w:cs="宋体" w:eastAsia="宋体" w:hint="default"/>
                <w:sz w:val="18"/>
                <w:szCs w:val="18"/>
              </w:rPr>
              <w:t>主要系亿起联科技报告期内收到诉讼赔 偿金所致</w:t>
            </w:r>
          </w:p>
        </w:tc>
      </w:tr>
      <w:tr>
        <w:trPr>
          <w:trHeight w:val="391"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-2,252,250.00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1,896,524.89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6,264,229.58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主要系合并上海移通所致</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7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1" w:right="0"/>
              <w:jc w:val="left"/>
              <w:rPr>
                <w:rFonts w:ascii="Times New Roman" w:hAnsi="Times New Roman" w:cs="Times New Roman" w:eastAsia="Times New Roman" w:hint="default"/>
                <w:sz w:val="18"/>
                <w:szCs w:val="18"/>
              </w:rPr>
            </w:pPr>
            <w:r>
              <w:rPr>
                <w:rFonts w:ascii="Times New Roman"/>
                <w:sz w:val="18"/>
              </w:rPr>
              <w:t>40,090,790.54</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8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983"/>
        <w:jc w:val="left"/>
        <w:rPr>
          <w:b w:val="0"/>
          <w:bCs w:val="0"/>
        </w:rPr>
      </w:pPr>
      <w:bookmarkStart w:name="2、净资产收益率及每股收益" w:id="463"/>
      <w:bookmarkEnd w:id="46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0.4351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right="4249"/>
        <w:jc w:val="center"/>
        <w:rPr>
          <w:b w:val="0"/>
          <w:bCs w:val="0"/>
        </w:rPr>
      </w:pPr>
      <w:bookmarkStart w:name="第十二节 备查文件目录" w:id="464"/>
      <w:bookmarkEnd w:id="464"/>
      <w:r>
        <w:rPr>
          <w:b w:val="0"/>
          <w:bCs w:val="0"/>
        </w:rPr>
      </w:r>
      <w:bookmarkStart w:name="_bookmark11" w:id="465"/>
      <w:bookmarkEnd w:id="465"/>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983"/>
        <w:jc w:val="left"/>
      </w:pPr>
      <w:r>
        <w:rPr>
          <w:rFonts w:ascii="Times New Roman" w:hAnsi="Times New Roman" w:cs="Times New Roman" w:eastAsia="Times New Roman" w:hint="default"/>
        </w:rPr>
        <w:t>1</w:t>
      </w:r>
      <w:r>
        <w:rPr/>
        <w:t>、载有公司法定代表人赵福君、公司财务总监邱安超及会计机构负责人丁丹签名并盖章的会计报表。</w:t>
      </w:r>
    </w:p>
    <w:p>
      <w:pPr>
        <w:pStyle w:val="BodyText"/>
        <w:spacing w:line="240" w:lineRule="auto" w:before="63"/>
        <w:ind w:right="983"/>
        <w:jc w:val="left"/>
      </w:pPr>
      <w:r>
        <w:rPr>
          <w:rFonts w:ascii="Times New Roman" w:hAnsi="Times New Roman" w:cs="Times New Roman" w:eastAsia="Times New Roman" w:hint="default"/>
        </w:rPr>
        <w:t>2</w:t>
      </w:r>
      <w:r>
        <w:rPr/>
        <w:t>、载有立信会计师事务所（特殊普通合伙）盖章、注册会计师张军书、胡碟签名并盖章的公司</w:t>
      </w:r>
      <w:r>
        <w:rPr>
          <w:rFonts w:ascii="Times New Roman" w:hAnsi="Times New Roman" w:cs="Times New Roman" w:eastAsia="Times New Roman" w:hint="default"/>
        </w:rPr>
        <w:t>2017</w:t>
      </w:r>
      <w:r>
        <w:rPr/>
        <w:t>年度审计报告原件。</w:t>
      </w:r>
    </w:p>
    <w:p>
      <w:pPr>
        <w:pStyle w:val="BodyText"/>
        <w:spacing w:line="240" w:lineRule="auto" w:before="63"/>
        <w:ind w:right="983"/>
        <w:jc w:val="left"/>
      </w:pPr>
      <w:r>
        <w:rPr>
          <w:rFonts w:ascii="Times New Roman" w:hAnsi="Times New Roman" w:cs="Times New Roman" w:eastAsia="Times New Roman" w:hint="default"/>
        </w:rPr>
        <w:t>3</w:t>
      </w:r>
      <w:r>
        <w:rPr/>
        <w:t>、报告期内在中国证监会指定报纸上公开披露过的所有公司文件正本及公告的原稿。</w:t>
      </w:r>
    </w:p>
    <w:p>
      <w:pPr>
        <w:pStyle w:val="BodyText"/>
        <w:spacing w:line="240" w:lineRule="auto" w:before="63"/>
        <w:ind w:right="983"/>
        <w:jc w:val="left"/>
      </w:pPr>
      <w:r>
        <w:rPr>
          <w:rFonts w:ascii="Times New Roman" w:hAnsi="Times New Roman" w:cs="Times New Roman" w:eastAsia="Times New Roman" w:hint="default"/>
        </w:rPr>
        <w:t>4</w:t>
      </w:r>
      <w:r>
        <w:rPr/>
        <w:t>、载有公司董事长签名的</w:t>
      </w:r>
      <w:r>
        <w:rPr>
          <w:rFonts w:ascii="Times New Roman" w:hAnsi="Times New Roman" w:cs="Times New Roman" w:eastAsia="Times New Roman" w:hint="default"/>
        </w:rPr>
        <w:t>2017</w:t>
      </w:r>
      <w:r>
        <w:rPr/>
        <w:t>年度报告文本原件。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316" w:lineRule="auto"/>
        <w:ind w:left="8173" w:right="1130" w:hanging="540"/>
        <w:jc w:val="right"/>
      </w:pPr>
      <w:r>
        <w:rPr/>
        <w:t>北京久其软件股份有限公司 法定代表人：赵福君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8392" type="#_x0000_t75" stroked="false">
          <v:imagedata r:id="rId1" o:title=""/>
        </v:shape>
      </w:pict>
    </w:r>
    <w:r>
      <w:rPr/>
      <w:pict>
        <v:shape style="position:absolute;margin-left:533.179993pt;margin-top:795.517944pt;width:6.5pt;height:11pt;mso-position-horizontal-relative:page;mso-position-vertical-relative:page;z-index:-10583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7912" type="#_x0000_t75" stroked="false">
          <v:imagedata r:id="rId1" o:title=""/>
        </v:shape>
      </w:pict>
    </w:r>
    <w:r>
      <w:rPr/>
      <w:pict>
        <v:shape style="position:absolute;margin-left:527.679993pt;margin-top:781.957947pt;width:13pt;height:11pt;mso-position-horizontal-relative:page;mso-position-vertical-relative:page;z-index:-1057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7840" type="#_x0000_t75" stroked="false">
          <v:imagedata r:id="rId1" o:title=""/>
        </v:shape>
      </w:pict>
    </w:r>
    <w:r>
      <w:rPr/>
      <w:pict>
        <v:shape style="position:absolute;margin-left:759.97998pt;margin-top:535.357971pt;width:11pt;height:11pt;mso-position-horizontal-relative:page;mso-position-vertical-relative:page;z-index:-1057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7792" type="#_x0000_t75" stroked="false">
          <v:imagedata r:id="rId1" o:title=""/>
        </v:shape>
      </w:pict>
    </w:r>
    <w:r>
      <w:rPr/>
      <w:pict>
        <v:shape style="position:absolute;margin-left:755.47998pt;margin-top:535.357971pt;width:15.5pt;height:11pt;mso-position-horizontal-relative:page;mso-position-vertical-relative:page;z-index:-1057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7744" type="#_x0000_t75" stroked="false">
          <v:imagedata r:id="rId1" o:title=""/>
        </v:shape>
      </w:pict>
    </w:r>
    <w:r>
      <w:rPr/>
      <w:pict>
        <v:shape style="position:absolute;margin-left:754.47998pt;margin-top:535.357971pt;width:17.5pt;height:11pt;mso-position-horizontal-relative:page;mso-position-vertical-relative:page;z-index:-1057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7648" type="#_x0000_t75" stroked="false">
          <v:imagedata r:id="rId1" o:title=""/>
        </v:shape>
      </w:pict>
    </w:r>
    <w:r>
      <w:rPr/>
      <w:pict>
        <v:shape style="position:absolute;margin-left:523.179993pt;margin-top:781.957947pt;width:17.5pt;height:11pt;mso-position-horizontal-relative:page;mso-position-vertical-relative:page;z-index:-1057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7600" type="#_x0000_t75" stroked="false">
          <v:imagedata r:id="rId1" o:title=""/>
        </v:shape>
      </w:pict>
    </w:r>
    <w:r>
      <w:rPr/>
      <w:pict>
        <v:shape style="position:absolute;margin-left:523.539978pt;margin-top:781.957947pt;width:17.150pt;height:11pt;mso-position-horizontal-relative:page;mso-position-vertical-relative:page;z-index:-1057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7552" type="#_x0000_t75" stroked="false">
          <v:imagedata r:id="rId1" o:title=""/>
        </v:shape>
      </w:pict>
    </w:r>
    <w:r>
      <w:rPr/>
      <w:pict>
        <v:shape style="position:absolute;margin-left:55.700001pt;margin-top:755.485596pt;width:200pt;height:11pt;mso-position-horizontal-relative:page;mso-position-vertical-relative:page;z-index:-1057528" type="#_x0000_t202" filled="false" stroked="false">
          <v:textbox inset="0,0,0,0">
            <w:txbxContent>
              <w:p>
                <w:pPr>
                  <w:pStyle w:val="BodyText"/>
                  <w:spacing w:line="200" w:lineRule="exact"/>
                  <w:ind w:left="20" w:right="0"/>
                  <w:jc w:val="left"/>
                </w:pPr>
                <w:r>
                  <w:rPr/>
                  <w:t>整原来的暂估价值，但不调整原已计提的折旧额。</w:t>
                </w:r>
              </w:p>
            </w:txbxContent>
          </v:textbox>
          <w10:wrap type="none"/>
        </v:shape>
      </w:pict>
    </w:r>
    <w:r>
      <w:rPr/>
      <w:pict>
        <v:shape style="position:absolute;margin-left:523.539978pt;margin-top:781.957947pt;width:17.150pt;height:11pt;mso-position-horizontal-relative:page;mso-position-vertical-relative:page;z-index:-1057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7480" type="#_x0000_t75" stroked="false">
          <v:imagedata r:id="rId1" o:title=""/>
        </v:shape>
      </w:pict>
    </w:r>
    <w:r>
      <w:rPr/>
      <w:pict>
        <v:shape style="position:absolute;margin-left:523.179993pt;margin-top:781.957947pt;width:17.5pt;height:11pt;mso-position-horizontal-relative:page;mso-position-vertical-relative:page;z-index:-1057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7408" type="#_x0000_t75" stroked="false">
          <v:imagedata r:id="rId1" o:title=""/>
        </v:shape>
      </w:pict>
    </w:r>
    <w:r>
      <w:rPr/>
      <w:pict>
        <v:shape style="position:absolute;margin-left:754.47998pt;margin-top:535.357971pt;width:17.5pt;height:11pt;mso-position-horizontal-relative:page;mso-position-vertical-relative:page;z-index:-1057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7312" type="#_x0000_t75" stroked="false">
          <v:imagedata r:id="rId1" o:title=""/>
        </v:shape>
      </w:pict>
    </w:r>
    <w:r>
      <w:rPr/>
      <w:pict>
        <v:shape style="position:absolute;margin-left:523.179993pt;margin-top:781.957947pt;width:17.5pt;height:11pt;mso-position-horizontal-relative:page;mso-position-vertical-relative:page;z-index:-1057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8344" type="#_x0000_t75" stroked="false">
          <v:imagedata r:id="rId1" o:title=""/>
        </v:shape>
      </w:pict>
    </w:r>
    <w:r>
      <w:rPr/>
      <w:pict>
        <v:shape style="position:absolute;margin-left:527.679993pt;margin-top:781.957947pt;width:13pt;height:11pt;mso-position-horizontal-relative:page;mso-position-vertical-relative:page;z-index:-1058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8296" type="#_x0000_t75" stroked="false">
          <v:imagedata r:id="rId1" o:title=""/>
        </v:shape>
      </w:pict>
    </w:r>
    <w:r>
      <w:rPr/>
      <w:pict>
        <v:shape style="position:absolute;margin-left:527.679993pt;margin-top:781.957947pt;width:13pt;height:11pt;mso-position-horizontal-relative:page;mso-position-vertical-relative:page;z-index:-1058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8248" type="#_x0000_t75" stroked="false">
          <v:imagedata r:id="rId1" o:title=""/>
        </v:shape>
      </w:pict>
    </w:r>
    <w:r>
      <w:rPr/>
      <w:pict>
        <v:shape style="position:absolute;margin-left:527.679993pt;margin-top:781.957947pt;width:13pt;height:11pt;mso-position-horizontal-relative:page;mso-position-vertical-relative:page;z-index:-1058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8176" type="#_x0000_t75" stroked="false">
          <v:imagedata r:id="rId1" o:title=""/>
        </v:shape>
      </w:pict>
    </w:r>
    <w:r>
      <w:rPr/>
      <w:pict>
        <v:shape style="position:absolute;margin-left:758.97998pt;margin-top:535.357971pt;width:13pt;height:11pt;mso-position-horizontal-relative:page;mso-position-vertical-relative:page;z-index:-1058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8080" type="#_x0000_t75" stroked="false">
          <v:imagedata r:id="rId1" o:title=""/>
        </v:shape>
      </w:pict>
    </w:r>
    <w:r>
      <w:rPr/>
      <w:pict>
        <v:shape style="position:absolute;margin-left:527.679993pt;margin-top:781.957947pt;width:13pt;height:11pt;mso-position-horizontal-relative:page;mso-position-vertical-relative:page;z-index:-1058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058008" type="#_x0000_t75" stroked="false">
          <v:imagedata r:id="rId1" o:title=""/>
        </v:shape>
      </w:pict>
    </w:r>
    <w:r>
      <w:rPr/>
      <w:pict>
        <v:shape style="position:absolute;margin-left:758.97998pt;margin-top:535.357971pt;width:13pt;height:11pt;mso-position-horizontal-relative:page;mso-position-vertical-relative:page;z-index:-1057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58416"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57432"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73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57336"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58200"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81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58104"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58032"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79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57936"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057864"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576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057672"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27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uqi.com.cn/" TargetMode="External"/><Relationship Id="rId10" Type="http://schemas.openxmlformats.org/officeDocument/2006/relationships/hyperlink" Target="mailto:002279@jiuqi.com.cn" TargetMode="External"/><Relationship Id="rId11" Type="http://schemas.openxmlformats.org/officeDocument/2006/relationships/hyperlink" Target="mailto:whx@jiuqi.com.cn" TargetMode="External"/><Relationship Id="rId12" Type="http://schemas.openxmlformats.org/officeDocument/2006/relationships/hyperlink" Target="mailto:liuwenjia@jiuqi.com.cn"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yperlink" Target="http://irm.cninfo.com.cn/ssessgs/S00227" TargetMode="Externa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 Id="rId28" Type="http://schemas.openxmlformats.org/officeDocument/2006/relationships/header" Target="header7.xml"/><Relationship Id="rId29" Type="http://schemas.openxmlformats.org/officeDocument/2006/relationships/footer" Target="footer10.xml"/><Relationship Id="rId30" Type="http://schemas.openxmlformats.org/officeDocument/2006/relationships/image" Target="media/image3.jpeg"/><Relationship Id="rId31" Type="http://schemas.openxmlformats.org/officeDocument/2006/relationships/hyperlink" Target="http://www.cninfo.com.cn&#19978;&#25259;&#38706;&#30340;/" TargetMode="External"/><Relationship Id="rId32" Type="http://schemas.openxmlformats.org/officeDocument/2006/relationships/header" Target="header8.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header" Target="header9.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10.xml"/><Relationship Id="rId42" Type="http://schemas.openxmlformats.org/officeDocument/2006/relationships/footer" Target="footer18.xml"/><Relationship Id="rId43" Type="http://schemas.openxmlformats.org/officeDocument/2006/relationships/header" Target="header11.xml"/><Relationship Id="rId44" Type="http://schemas.openxmlformats.org/officeDocument/2006/relationships/footer" Target="footer1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北京久其软件股份有限公司</dc:creator>
  <dc:title>北京久其软件股份有限公司2017年年度报告全文</dc:title>
  <dcterms:created xsi:type="dcterms:W3CDTF">2020-05-02T21:54:26Z</dcterms:created>
  <dcterms:modified xsi:type="dcterms:W3CDTF">2020-05-02T21:54:26Z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Microsoft® Office Word 2007</vt:lpwstr>
  </property>
  <property fmtid="{D5CDD505-2E9C-101B-9397-08002B2CF9AE}" pid="4" name="LastSaved">
    <vt:filetime>2020-05-02T00:00:00Z</vt:filetime>
  </property>
</Properties>
</file>