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p>
      <w:pPr>
        <w:spacing w:line="2390" w:lineRule="exact"/>
        <w:ind w:left="122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7"/>
          <w:sz w:val="20"/>
          <w:szCs w:val="20"/>
        </w:rPr>
        <w:drawing>
          <wp:inline distT="0" distB="0" distL="0" distR="0">
            <wp:extent cx="4752002" cy="1517903"/>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4752002" cy="1517903"/>
                    </a:xfrm>
                    <a:prstGeom prst="rect">
                      <a:avLst/>
                    </a:prstGeom>
                  </pic:spPr>
                </pic:pic>
              </a:graphicData>
            </a:graphic>
          </wp:inline>
        </w:drawing>
      </w:r>
      <w:r>
        <w:rPr>
          <w:rFonts w:ascii="Times New Roman" w:hAnsi="Times New Roman" w:cs="Times New Roman" w:eastAsia="Times New Roman" w:hint="default"/>
          <w:position w:val="-47"/>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spacing w:line="574" w:lineRule="exact" w:before="0"/>
        <w:ind w:left="3270" w:right="4248" w:firstLine="0"/>
        <w:jc w:val="center"/>
        <w:rPr>
          <w:rFonts w:ascii="宋体" w:hAnsi="宋体" w:cs="宋体" w:eastAsia="宋体" w:hint="default"/>
          <w:sz w:val="44"/>
          <w:szCs w:val="44"/>
        </w:rPr>
      </w:pPr>
      <w:r>
        <w:rPr>
          <w:rFonts w:ascii="Times New Roman" w:hAnsi="Times New Roman" w:cs="Times New Roman" w:eastAsia="Times New Roman" w:hint="default"/>
          <w:b/>
          <w:bCs/>
          <w:sz w:val="44"/>
          <w:szCs w:val="44"/>
        </w:rPr>
        <w:t>2018</w:t>
      </w:r>
      <w:r>
        <w:rPr>
          <w:rFonts w:ascii="Times New Roman" w:hAnsi="Times New Roman" w:cs="Times New Roman" w:eastAsia="Times New Roman" w:hint="default"/>
          <w:b/>
          <w:bCs/>
          <w:spacing w:val="-2"/>
          <w:sz w:val="44"/>
          <w:szCs w:val="44"/>
        </w:rPr>
        <w:t> </w:t>
      </w:r>
      <w:r>
        <w:rPr>
          <w:rFonts w:ascii="宋体" w:hAnsi="宋体" w:cs="宋体" w:eastAsia="宋体" w:hint="default"/>
          <w:b/>
          <w:bCs/>
          <w:sz w:val="44"/>
          <w:szCs w:val="44"/>
        </w:rPr>
        <w:t>年年度报告</w:t>
      </w:r>
      <w:r>
        <w:rPr>
          <w:rFonts w:ascii="宋体" w:hAnsi="宋体" w:cs="宋体" w:eastAsia="宋体" w:hint="default"/>
          <w:sz w:val="44"/>
          <w:szCs w:val="44"/>
        </w:rPr>
      </w: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3"/>
          <w:szCs w:val="43"/>
        </w:rPr>
      </w:pPr>
    </w:p>
    <w:p>
      <w:pPr>
        <w:spacing w:before="0"/>
        <w:ind w:left="3270" w:right="424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pStyle w:val="BodyText"/>
        <w:spacing w:line="240" w:lineRule="auto"/>
        <w:ind w:left="0" w:right="1130"/>
        <w:jc w:val="right"/>
        <w:rPr>
          <w:rFonts w:ascii="Times New Roman" w:hAnsi="Times New Roman" w:cs="Times New Roman" w:eastAsia="Times New Roman" w:hint="default"/>
        </w:rPr>
      </w:pPr>
      <w:r>
        <w:rPr>
          <w:rFonts w:ascii="Times New Roman"/>
        </w:rPr>
        <w:t>1</w:t>
      </w:r>
    </w:p>
    <w:p>
      <w:pPr>
        <w:spacing w:after="0" w:line="240" w:lineRule="auto"/>
        <w:jc w:val="right"/>
        <w:rPr>
          <w:rFonts w:ascii="Times New Roman" w:hAnsi="Times New Roman" w:cs="Times New Roman" w:eastAsia="Times New Roman" w:hint="default"/>
        </w:rPr>
        <w:sectPr>
          <w:headerReference w:type="default" r:id="rId5"/>
          <w:footerReference w:type="default" r:id="rId6"/>
          <w:type w:val="continuous"/>
          <w:pgSz w:w="11910" w:h="16840"/>
          <w:pgMar w:header="747" w:footer="504" w:top="1060" w:bottom="700" w:left="980" w:right="0"/>
        </w:sectPr>
      </w:pPr>
    </w:p>
    <w:p>
      <w:pPr>
        <w:spacing w:line="240" w:lineRule="auto" w:before="4"/>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6"/>
          <w:szCs w:val="26"/>
        </w:rPr>
      </w:pPr>
    </w:p>
    <w:p>
      <w:pPr>
        <w:pStyle w:val="Heading1"/>
        <w:spacing w:line="240" w:lineRule="auto"/>
        <w:ind w:left="301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10"/>
        <w:rPr>
          <w:rFonts w:ascii="宋体" w:hAnsi="宋体" w:cs="宋体" w:eastAsia="宋体" w:hint="default"/>
          <w:b/>
          <w:bCs/>
          <w:sz w:val="44"/>
          <w:szCs w:val="44"/>
        </w:rPr>
      </w:pPr>
    </w:p>
    <w:p>
      <w:pPr>
        <w:pStyle w:val="Heading2"/>
        <w:spacing w:line="357" w:lineRule="auto"/>
        <w:ind w:right="1139" w:firstLine="482"/>
        <w:jc w:val="both"/>
        <w:rPr>
          <w:b w:val="0"/>
          <w:bCs w:val="0"/>
        </w:rPr>
      </w:pPr>
      <w:r>
        <w:rPr>
          <w:w w:val="95"/>
        </w:rPr>
        <w:t>公司董事会、监事会及董事、监事、高级管理人员保证年度报告内容的真实、准确、完</w:t>
      </w:r>
      <w:r>
        <w:rPr>
          <w:w w:val="99"/>
        </w:rPr>
        <w:t> </w:t>
      </w:r>
      <w:r>
        <w:rPr/>
        <w:t>整，不存在虚假记载、误导性陈述或重大遗漏，并承担个别和连带的法律责任。</w:t>
      </w:r>
      <w:r>
        <w:rPr>
          <w:b w:val="0"/>
          <w:bCs w:val="0"/>
        </w:rPr>
      </w:r>
    </w:p>
    <w:p>
      <w:pPr>
        <w:pStyle w:val="Heading2"/>
        <w:spacing w:line="338" w:lineRule="auto" w:before="136"/>
        <w:ind w:right="1127" w:firstLine="482"/>
        <w:jc w:val="both"/>
        <w:rPr>
          <w:b w:val="0"/>
          <w:bCs w:val="0"/>
        </w:rPr>
      </w:pPr>
      <w:r>
        <w:rPr>
          <w:spacing w:val="2"/>
        </w:rPr>
        <w:t>公司负责人赵福君、主管会计工作负责人邱安超及会计机构负责人</w:t>
      </w:r>
      <w:r>
        <w:rPr>
          <w:rFonts w:ascii="Times New Roman" w:hAnsi="Times New Roman" w:cs="Times New Roman" w:eastAsia="Times New Roman" w:hint="default"/>
          <w:spacing w:val="2"/>
        </w:rPr>
        <w:t>(</w:t>
      </w:r>
      <w:r>
        <w:rPr>
          <w:spacing w:val="2"/>
        </w:rPr>
        <w:t>会计主管人员</w:t>
      </w:r>
      <w:r>
        <w:rPr>
          <w:rFonts w:ascii="Times New Roman" w:hAnsi="Times New Roman" w:cs="Times New Roman" w:eastAsia="Times New Roman" w:hint="default"/>
          <w:spacing w:val="2"/>
        </w:rPr>
        <w:t>)</w:t>
      </w:r>
      <w:r>
        <w:rPr>
          <w:spacing w:val="2"/>
        </w:rPr>
        <w:t>丁丹</w:t>
      </w:r>
      <w:r>
        <w:rPr>
          <w:spacing w:val="2"/>
          <w:w w:val="99"/>
        </w:rPr>
        <w:t> </w:t>
      </w:r>
      <w:r>
        <w:rPr/>
        <w:t>声明：保证年度报告中财务报告的真实、准确、完整。</w:t>
      </w:r>
      <w:r>
        <w:rPr>
          <w:b w:val="0"/>
          <w:bCs w:val="0"/>
        </w:rPr>
      </w:r>
    </w:p>
    <w:p>
      <w:pPr>
        <w:pStyle w:val="Heading2"/>
        <w:spacing w:line="240" w:lineRule="auto" w:before="155"/>
        <w:ind w:left="636" w:right="0"/>
        <w:jc w:val="left"/>
        <w:rPr>
          <w:b w:val="0"/>
          <w:bCs w:val="0"/>
        </w:rPr>
      </w:pPr>
      <w:r>
        <w:rPr/>
        <w:t>所有董事均已出席了审议本报告的董事会会议。</w:t>
      </w:r>
      <w:r>
        <w:rPr>
          <w:b w:val="0"/>
          <w:bCs w:val="0"/>
        </w:rPr>
      </w:r>
    </w:p>
    <w:p>
      <w:pPr>
        <w:spacing w:line="240" w:lineRule="auto" w:before="4"/>
        <w:rPr>
          <w:rFonts w:ascii="宋体" w:hAnsi="宋体" w:cs="宋体" w:eastAsia="宋体" w:hint="default"/>
          <w:b/>
          <w:bCs/>
          <w:sz w:val="19"/>
          <w:szCs w:val="19"/>
        </w:rPr>
      </w:pPr>
    </w:p>
    <w:p>
      <w:pPr>
        <w:pStyle w:val="Heading2"/>
        <w:spacing w:line="338" w:lineRule="auto"/>
        <w:ind w:right="1131" w:firstLine="482"/>
        <w:jc w:val="both"/>
        <w:rPr>
          <w:b w:val="0"/>
          <w:bCs w:val="0"/>
        </w:rPr>
      </w:pPr>
      <w:r>
        <w:rPr>
          <w:spacing w:val="-3"/>
        </w:rPr>
        <w:t>立信会计师事务所（特殊普通合伙）为本公司出具了保留意见的</w:t>
      </w:r>
      <w:r>
        <w:rPr>
          <w:spacing w:val="-6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spacing w:val="-5"/>
        </w:rPr>
        <w:t>年度审计报告，本</w:t>
      </w:r>
      <w:r>
        <w:rPr>
          <w:w w:val="99"/>
        </w:rPr>
        <w:t> </w:t>
      </w:r>
      <w:r>
        <w:rPr/>
        <w:t>公司董事会、监事会对相关事项的详细说明详见本报告</w:t>
      </w:r>
      <w:r>
        <w:rPr>
          <w:rFonts w:ascii="Times New Roman" w:hAnsi="Times New Roman" w:cs="Times New Roman" w:eastAsia="Times New Roman" w:hint="default"/>
        </w:rPr>
        <w:t>“</w:t>
      </w:r>
      <w:r>
        <w:rPr/>
        <w:t>第五节 重要事项</w:t>
      </w:r>
      <w:r>
        <w:rPr>
          <w:spacing w:val="-53"/>
        </w:rPr>
        <w:t> </w:t>
      </w:r>
      <w:r>
        <w:rPr>
          <w:spacing w:val="-11"/>
        </w:rPr>
        <w:t>五、董事会、监事</w:t>
      </w:r>
      <w:r>
        <w:rPr>
          <w:w w:val="99"/>
        </w:rPr>
        <w:t> </w:t>
      </w:r>
      <w:r>
        <w:rPr/>
        <w:t>会、独立董事对会计师事务所本报告期非标准审计报告的说明</w:t>
      </w:r>
      <w:r>
        <w:rPr>
          <w:rFonts w:ascii="Times New Roman" w:hAnsi="Times New Roman" w:cs="Times New Roman" w:eastAsia="Times New Roman" w:hint="default"/>
        </w:rPr>
        <w:t>”</w:t>
      </w:r>
      <w:r>
        <w:rPr/>
        <w:t>，请投资者注意阅读。</w:t>
      </w:r>
      <w:r>
        <w:rPr>
          <w:b w:val="0"/>
          <w:bCs w:val="0"/>
        </w:rPr>
      </w:r>
    </w:p>
    <w:p>
      <w:pPr>
        <w:pStyle w:val="Heading2"/>
        <w:spacing w:line="338" w:lineRule="auto" w:before="126"/>
        <w:ind w:right="0" w:firstLine="482"/>
        <w:jc w:val="left"/>
        <w:rPr>
          <w:b w:val="0"/>
          <w:bCs w:val="0"/>
        </w:rPr>
      </w:pPr>
      <w:r>
        <w:rPr/>
        <w:t>根据董事会批准的公司《</w:t>
      </w:r>
      <w:r>
        <w:rPr>
          <w:rFonts w:ascii="Times New Roman" w:hAnsi="Times New Roman" w:cs="Times New Roman" w:eastAsia="Times New Roman" w:hint="default"/>
        </w:rPr>
        <w:t>2018</w:t>
      </w:r>
      <w:r>
        <w:rPr>
          <w:rFonts w:ascii="Times New Roman" w:hAnsi="Times New Roman" w:cs="Times New Roman" w:eastAsia="Times New Roman" w:hint="default"/>
          <w:spacing w:val="-25"/>
        </w:rPr>
        <w:t> </w:t>
      </w:r>
      <w:r>
        <w:rPr/>
        <w:t>年度内部控制评价报告》认定报告期公司存在财务报告内</w:t>
      </w:r>
      <w:r>
        <w:rPr>
          <w:w w:val="99"/>
        </w:rPr>
        <w:t> </w:t>
      </w:r>
      <w:r>
        <w:rPr>
          <w:spacing w:val="-3"/>
          <w:w w:val="99"/>
        </w:rPr>
        <w:t>部控制重大缺陷两项，即</w:t>
      </w:r>
      <w:r>
        <w:rPr>
          <w:rFonts w:ascii="Times New Roman" w:hAnsi="Times New Roman" w:cs="Times New Roman" w:eastAsia="Times New Roman" w:hint="default"/>
          <w:spacing w:val="-3"/>
          <w:w w:val="99"/>
        </w:rPr>
        <w:t>“</w:t>
      </w:r>
      <w:r>
        <w:rPr>
          <w:spacing w:val="-3"/>
          <w:w w:val="99"/>
        </w:rPr>
        <w:t>子公司营业收入及应收账款的确认问题</w:t>
      </w:r>
      <w:r>
        <w:rPr>
          <w:rFonts w:ascii="Times New Roman" w:hAnsi="Times New Roman" w:cs="Times New Roman" w:eastAsia="Times New Roman" w:hint="default"/>
          <w:spacing w:val="-3"/>
          <w:w w:val="99"/>
        </w:rPr>
        <w:t>”</w:t>
      </w:r>
      <w:r>
        <w:rPr>
          <w:spacing w:val="-3"/>
          <w:w w:val="99"/>
        </w:rPr>
        <w:t>和</w:t>
      </w:r>
      <w:r>
        <w:rPr>
          <w:rFonts w:ascii="Times New Roman" w:hAnsi="Times New Roman" w:cs="Times New Roman" w:eastAsia="Times New Roman" w:hint="default"/>
          <w:spacing w:val="-3"/>
          <w:w w:val="99"/>
        </w:rPr>
        <w:t>“</w:t>
      </w:r>
      <w:r>
        <w:rPr>
          <w:spacing w:val="-3"/>
          <w:w w:val="99"/>
        </w:rPr>
        <w:t>保理业务放款后控制管</w:t>
      </w:r>
      <w:r>
        <w:rPr>
          <w:spacing w:val="-109"/>
          <w:w w:val="99"/>
        </w:rPr>
        <w:t> </w:t>
      </w:r>
      <w:r>
        <w:rPr>
          <w:w w:val="95"/>
        </w:rPr>
        <w:t>理的问题</w:t>
      </w:r>
      <w:r>
        <w:rPr>
          <w:rFonts w:ascii="Times New Roman" w:hAnsi="Times New Roman" w:cs="Times New Roman" w:eastAsia="Times New Roman" w:hint="default"/>
          <w:w w:val="95"/>
        </w:rPr>
        <w:t>”</w:t>
      </w:r>
      <w:r>
        <w:rPr>
          <w:w w:val="95"/>
        </w:rPr>
        <w:t>，以及非财务报告内部控制重大缺陷一项，即</w:t>
      </w:r>
      <w:r>
        <w:rPr>
          <w:rFonts w:ascii="Times New Roman" w:hAnsi="Times New Roman" w:cs="Times New Roman" w:eastAsia="Times New Roman" w:hint="default"/>
          <w:w w:val="95"/>
        </w:rPr>
        <w:t>“</w:t>
      </w:r>
      <w:r>
        <w:rPr>
          <w:w w:val="95"/>
        </w:rPr>
        <w:t>对于子公司内部控制管理的问题</w:t>
      </w:r>
      <w:r>
        <w:rPr>
          <w:rFonts w:ascii="Times New Roman" w:hAnsi="Times New Roman" w:cs="Times New Roman" w:eastAsia="Times New Roman" w:hint="default"/>
          <w:w w:val="95"/>
        </w:rPr>
        <w:t>”</w:t>
      </w:r>
      <w:r>
        <w:rPr>
          <w:w w:val="95"/>
        </w:rPr>
        <w:t>，</w:t>
      </w:r>
      <w:r>
        <w:rPr>
          <w:spacing w:val="1"/>
          <w:w w:val="95"/>
        </w:rPr>
        <w:t> </w:t>
      </w:r>
      <w:r>
        <w:rPr/>
        <w:t>具体详见本报告</w:t>
      </w:r>
      <w:r>
        <w:rPr>
          <w:rFonts w:ascii="Times New Roman" w:hAnsi="Times New Roman" w:cs="Times New Roman" w:eastAsia="Times New Roman" w:hint="default"/>
        </w:rPr>
        <w:t>“</w:t>
      </w:r>
      <w:r>
        <w:rPr/>
        <w:t>第九节 公司治理</w:t>
      </w:r>
      <w:r>
        <w:rPr>
          <w:spacing w:val="-18"/>
        </w:rPr>
        <w:t> </w:t>
      </w:r>
      <w:r>
        <w:rPr/>
        <w:t>九、内部控制评价报告</w:t>
      </w:r>
      <w:r>
        <w:rPr>
          <w:rFonts w:ascii="Times New Roman" w:hAnsi="Times New Roman" w:cs="Times New Roman" w:eastAsia="Times New Roman" w:hint="default"/>
        </w:rPr>
        <w:t>”</w:t>
      </w:r>
      <w:r>
        <w:rPr/>
        <w:t>。</w:t>
      </w:r>
      <w:r>
        <w:rPr>
          <w:b w:val="0"/>
          <w:bCs w:val="0"/>
        </w:rPr>
      </w:r>
    </w:p>
    <w:p>
      <w:pPr>
        <w:pStyle w:val="Heading2"/>
        <w:spacing w:line="357" w:lineRule="auto" w:before="125"/>
        <w:ind w:right="1139" w:firstLine="482"/>
        <w:jc w:val="both"/>
        <w:rPr>
          <w:b w:val="0"/>
          <w:bCs w:val="0"/>
        </w:rPr>
      </w:pPr>
      <w:r>
        <w:rPr>
          <w:w w:val="95"/>
        </w:rPr>
        <w:t>本报告中涉及的对公司未来年度计划及发展规划等前瞻性陈述，不构成公司对投资者的</w:t>
      </w:r>
      <w:r>
        <w:rPr>
          <w:w w:val="99"/>
        </w:rPr>
        <w:t> </w:t>
      </w:r>
      <w:r>
        <w:rPr>
          <w:w w:val="95"/>
        </w:rPr>
        <w:t>实质承诺，请投资者理解计划、预测与承诺之间的差异，注意投资风险。公司当前暂不存在</w:t>
      </w:r>
      <w:r>
        <w:rPr>
          <w:spacing w:val="99"/>
          <w:w w:val="95"/>
        </w:rPr>
        <w:t> </w:t>
      </w:r>
      <w:r>
        <w:rPr>
          <w:w w:val="95"/>
        </w:rPr>
        <w:t>重大经营风险，但不排除因下述风险事项影响公司的日常经营成果，敬请广大投资者注意投</w:t>
      </w:r>
      <w:r>
        <w:rPr>
          <w:spacing w:val="99"/>
          <w:w w:val="95"/>
        </w:rPr>
        <w:t> </w:t>
      </w:r>
      <w:r>
        <w:rPr/>
        <w:t>资风险。</w:t>
      </w:r>
      <w:r>
        <w:rPr>
          <w:b w:val="0"/>
          <w:bCs w:val="0"/>
        </w:rPr>
      </w:r>
    </w:p>
    <w:p>
      <w:pPr>
        <w:pStyle w:val="Heading2"/>
        <w:spacing w:line="434" w:lineRule="auto" w:before="136"/>
        <w:ind w:left="636" w:right="0"/>
        <w:jc w:val="left"/>
        <w:rPr>
          <w:b w:val="0"/>
          <w:bCs w:val="0"/>
        </w:rPr>
      </w:pPr>
      <w:r>
        <w:rPr/>
        <w:t>一、宏观经济与政策风险</w:t>
      </w:r>
      <w:r>
        <w:rPr>
          <w:w w:val="99"/>
        </w:rPr>
        <w:t> </w:t>
      </w:r>
      <w:r>
        <w:rPr>
          <w:w w:val="95"/>
        </w:rPr>
        <w:t>公司的客户主要为政府部门以及建筑、交通、金融、通信等行业知名大型企事业单位，</w:t>
      </w:r>
      <w:r>
        <w:rPr>
          <w:b w:val="0"/>
          <w:bCs w:val="0"/>
        </w:rPr>
      </w:r>
    </w:p>
    <w:p>
      <w:pPr>
        <w:pStyle w:val="Heading2"/>
        <w:spacing w:line="274" w:lineRule="exact"/>
        <w:ind w:right="0"/>
        <w:jc w:val="both"/>
        <w:rPr>
          <w:b w:val="0"/>
          <w:bCs w:val="0"/>
        </w:rPr>
      </w:pPr>
      <w:r>
        <w:rPr/>
        <w:t>客户行业分布较广，公司业务与宏观经济波动及行业周期有一定的相关性。如果未来经济增</w:t>
      </w:r>
      <w:r>
        <w:rPr>
          <w:b w:val="0"/>
          <w:bCs w:val="0"/>
        </w:rPr>
      </w:r>
    </w:p>
    <w:p>
      <w:pPr>
        <w:pStyle w:val="Heading2"/>
        <w:spacing w:line="357" w:lineRule="auto" w:before="154"/>
        <w:ind w:right="1139"/>
        <w:jc w:val="both"/>
        <w:rPr>
          <w:b w:val="0"/>
          <w:bCs w:val="0"/>
        </w:rPr>
      </w:pPr>
      <w:r>
        <w:rPr>
          <w:w w:val="95"/>
        </w:rPr>
        <w:t>速放缓或出现衰退，可能存在客户需求减少从而使公司经营业绩下滑的风险。此外，公司享</w:t>
      </w:r>
      <w:r>
        <w:rPr>
          <w:spacing w:val="99"/>
          <w:w w:val="95"/>
        </w:rPr>
        <w:t> </w:t>
      </w:r>
      <w:r>
        <w:rPr>
          <w:w w:val="95"/>
        </w:rPr>
        <w:t>受国家及地方的多项优惠政策，如果相关政策发生变化，将可能对公司的经营和盈利产生不</w:t>
      </w:r>
      <w:r>
        <w:rPr>
          <w:spacing w:val="99"/>
          <w:w w:val="95"/>
        </w:rPr>
        <w:t> </w:t>
      </w:r>
      <w:r>
        <w:rPr>
          <w:w w:val="95"/>
        </w:rPr>
        <w:t>利影响。公司将持续深耕行业市场，并积极应对宏观经济与政策变动，为公司稳定经营与持</w:t>
      </w:r>
      <w:r>
        <w:rPr>
          <w:spacing w:val="99"/>
          <w:w w:val="95"/>
        </w:rPr>
        <w:t> </w:t>
      </w:r>
      <w:r>
        <w:rPr/>
        <w:t>续发展奠定基础。</w:t>
      </w:r>
      <w:r>
        <w:rPr>
          <w:b w:val="0"/>
          <w:bCs w:val="0"/>
        </w:rPr>
      </w:r>
    </w:p>
    <w:p>
      <w:pPr>
        <w:pStyle w:val="Heading2"/>
        <w:spacing w:line="432" w:lineRule="auto" w:before="136"/>
        <w:ind w:left="636" w:right="0"/>
        <w:jc w:val="left"/>
        <w:rPr>
          <w:b w:val="0"/>
          <w:bCs w:val="0"/>
        </w:rPr>
      </w:pPr>
      <w:r>
        <w:rPr/>
        <w:t>二、行业竞争风险</w:t>
      </w:r>
      <w:r>
        <w:rPr>
          <w:w w:val="99"/>
        </w:rPr>
        <w:t> </w:t>
      </w:r>
      <w:r>
        <w:rPr>
          <w:w w:val="95"/>
        </w:rPr>
        <w:t>软件与信息技术服务行业创新和技术开发迭代速度快，市场参与主体众多，市场竞争激</w:t>
      </w:r>
      <w:r>
        <w:rPr>
          <w:b w:val="0"/>
          <w:bCs w:val="0"/>
        </w:rPr>
      </w:r>
    </w:p>
    <w:p>
      <w:pPr>
        <w:spacing w:after="0" w:line="432" w:lineRule="auto"/>
        <w:jc w:val="left"/>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b/>
          <w:bCs/>
          <w:sz w:val="25"/>
          <w:szCs w:val="25"/>
        </w:rPr>
      </w:pPr>
    </w:p>
    <w:p>
      <w:pPr>
        <w:pStyle w:val="Heading2"/>
        <w:spacing w:line="357" w:lineRule="auto" w:before="26"/>
        <w:ind w:right="1139"/>
        <w:jc w:val="both"/>
        <w:rPr>
          <w:b w:val="0"/>
          <w:bCs w:val="0"/>
        </w:rPr>
      </w:pPr>
      <w:r>
        <w:rPr>
          <w:w w:val="95"/>
        </w:rPr>
        <w:t>烈。在大数据、云计算、移动互联、人工智能等技术应用蓬勃发展的当下，企业产品技术的</w:t>
      </w:r>
      <w:r>
        <w:rPr>
          <w:spacing w:val="99"/>
          <w:w w:val="95"/>
        </w:rPr>
        <w:t> </w:t>
      </w:r>
      <w:r>
        <w:rPr>
          <w:w w:val="95"/>
        </w:rPr>
        <w:t>研发创新能力、产业生态链的构建与运营能力在竞争中愈发重要。如果公司不能有效适应市</w:t>
      </w:r>
      <w:r>
        <w:rPr>
          <w:spacing w:val="100"/>
          <w:w w:val="95"/>
        </w:rPr>
        <w:t> </w:t>
      </w:r>
      <w:r>
        <w:rPr>
          <w:spacing w:val="100"/>
          <w:w w:val="95"/>
        </w:rPr>
      </w:r>
      <w:r>
        <w:rPr>
          <w:w w:val="95"/>
        </w:rPr>
        <w:t>场环境以及客户需求的变化，则存在因竞争优势减弱而导致经营业绩不能达到预期目标的风</w:t>
      </w:r>
      <w:r>
        <w:rPr>
          <w:spacing w:val="99"/>
          <w:w w:val="95"/>
        </w:rPr>
        <w:t> </w:t>
      </w:r>
      <w:r>
        <w:rPr>
          <w:w w:val="95"/>
        </w:rPr>
        <w:t>险。对此，公司将不断完善产品及解决方案，满足客户不断变化的需求，同时持续加大研发</w:t>
      </w:r>
      <w:r>
        <w:rPr>
          <w:spacing w:val="99"/>
          <w:w w:val="95"/>
        </w:rPr>
        <w:t> </w:t>
      </w:r>
      <w:r>
        <w:rPr/>
        <w:t>投入，建立健全人才激励机制，提高核心竞争力。</w:t>
      </w:r>
      <w:r>
        <w:rPr>
          <w:b w:val="0"/>
          <w:bCs w:val="0"/>
        </w:rPr>
      </w:r>
    </w:p>
    <w:p>
      <w:pPr>
        <w:pStyle w:val="Heading2"/>
        <w:spacing w:line="434" w:lineRule="auto" w:before="136"/>
        <w:ind w:left="636" w:right="0"/>
        <w:jc w:val="left"/>
        <w:rPr>
          <w:b w:val="0"/>
          <w:bCs w:val="0"/>
        </w:rPr>
      </w:pPr>
      <w:r>
        <w:rPr/>
        <w:t>三、业绩季节波动风险</w:t>
      </w:r>
      <w:r>
        <w:rPr>
          <w:w w:val="99"/>
        </w:rPr>
        <w:t> </w:t>
      </w:r>
      <w:r>
        <w:rPr>
          <w:w w:val="95"/>
        </w:rPr>
        <w:t>目前公司收入主要来源于电子政务、集团管控、互联网服务三大类业务。其中电子政务</w:t>
      </w:r>
      <w:r>
        <w:rPr>
          <w:b w:val="0"/>
          <w:bCs w:val="0"/>
        </w:rPr>
      </w:r>
    </w:p>
    <w:p>
      <w:pPr>
        <w:pStyle w:val="Heading2"/>
        <w:spacing w:line="274" w:lineRule="exact"/>
        <w:ind w:right="0"/>
        <w:jc w:val="both"/>
        <w:rPr>
          <w:b w:val="0"/>
          <w:bCs w:val="0"/>
        </w:rPr>
      </w:pPr>
      <w:r>
        <w:rPr/>
        <w:t>和集团管控业务的客户群体主要为政府部门和大型企事业单位等，该类用户大多执行较为严</w:t>
      </w:r>
      <w:r>
        <w:rPr>
          <w:b w:val="0"/>
          <w:bCs w:val="0"/>
        </w:rPr>
      </w:r>
    </w:p>
    <w:p>
      <w:pPr>
        <w:pStyle w:val="Heading2"/>
        <w:spacing w:line="357" w:lineRule="auto" w:before="154"/>
        <w:ind w:right="1132"/>
        <w:jc w:val="both"/>
        <w:rPr>
          <w:b w:val="0"/>
          <w:bCs w:val="0"/>
        </w:rPr>
      </w:pPr>
      <w:r>
        <w:rPr>
          <w:w w:val="95"/>
        </w:rPr>
        <w:t>格的财务预算和支出管理制度，通常在年初制定项目计划或支出安排，下半年完成项目招标</w:t>
      </w:r>
      <w:r>
        <w:rPr>
          <w:spacing w:val="108"/>
          <w:w w:val="95"/>
        </w:rPr>
        <w:t> </w:t>
      </w:r>
      <w:r>
        <w:rPr>
          <w:spacing w:val="108"/>
          <w:w w:val="95"/>
        </w:rPr>
      </w:r>
      <w:r>
        <w:rPr>
          <w:w w:val="95"/>
        </w:rPr>
        <w:t>或项目验收相关工作，因此，公司实现收入及盈利的高峰期通常在每年的第三和第四季度，</w:t>
      </w:r>
      <w:r>
        <w:rPr>
          <w:spacing w:val="99"/>
          <w:w w:val="95"/>
        </w:rPr>
        <w:t> </w:t>
      </w:r>
      <w:r>
        <w:rPr>
          <w:w w:val="95"/>
        </w:rPr>
        <w:t>存在一定季节性波动风险。虽然互联网服务业务受季节性因素影响相对较小，但受居民消费</w:t>
      </w:r>
      <w:r>
        <w:rPr>
          <w:spacing w:val="99"/>
          <w:w w:val="95"/>
        </w:rPr>
        <w:t> </w:t>
      </w:r>
      <w:r>
        <w:rPr/>
        <w:t>习惯和假日经济的影响，广告主投放数量和金额也存在一些季节性变化因素。</w:t>
      </w:r>
      <w:r>
        <w:rPr>
          <w:b w:val="0"/>
          <w:bCs w:val="0"/>
        </w:rPr>
      </w:r>
    </w:p>
    <w:p>
      <w:pPr>
        <w:pStyle w:val="Heading2"/>
        <w:spacing w:line="432" w:lineRule="auto" w:before="136"/>
        <w:ind w:left="636" w:right="0"/>
        <w:jc w:val="left"/>
        <w:rPr>
          <w:b w:val="0"/>
          <w:bCs w:val="0"/>
        </w:rPr>
      </w:pPr>
      <w:r>
        <w:rPr/>
        <w:t>四、业务发展风险</w:t>
      </w:r>
      <w:r>
        <w:rPr>
          <w:w w:val="99"/>
        </w:rPr>
        <w:t> </w:t>
      </w:r>
      <w:r>
        <w:rPr>
          <w:w w:val="95"/>
        </w:rPr>
        <w:t>公司近年来积极开展业务布局，在技术研发、商业模式、市场资源、产品方案等方面探</w:t>
      </w:r>
      <w:r>
        <w:rPr>
          <w:b w:val="0"/>
          <w:bCs w:val="0"/>
        </w:rPr>
      </w:r>
    </w:p>
    <w:p>
      <w:pPr>
        <w:pStyle w:val="Heading2"/>
        <w:spacing w:line="276" w:lineRule="exact"/>
        <w:ind w:right="0"/>
        <w:jc w:val="both"/>
        <w:rPr>
          <w:b w:val="0"/>
          <w:bCs w:val="0"/>
        </w:rPr>
      </w:pPr>
      <w:r>
        <w:rPr/>
        <w:t>求传统软件产业与移动互联、大数据等新兴技术之间的融合与创新，通过自主孵化和投资并</w:t>
      </w:r>
      <w:r>
        <w:rPr>
          <w:b w:val="0"/>
          <w:bCs w:val="0"/>
        </w:rPr>
      </w:r>
    </w:p>
    <w:p>
      <w:pPr>
        <w:pStyle w:val="Heading2"/>
        <w:spacing w:line="357" w:lineRule="auto" w:before="154"/>
        <w:ind w:right="1132"/>
        <w:jc w:val="both"/>
        <w:rPr>
          <w:b w:val="0"/>
          <w:bCs w:val="0"/>
        </w:rPr>
      </w:pPr>
      <w:r>
        <w:rPr>
          <w:w w:val="95"/>
        </w:rPr>
        <w:t>购的方式拓展业务范围，完善产品与解决方案体系，打造业务生态。然而，转型升级后的公</w:t>
      </w:r>
      <w:r>
        <w:rPr>
          <w:spacing w:val="107"/>
          <w:w w:val="95"/>
        </w:rPr>
        <w:t> </w:t>
      </w:r>
      <w:r>
        <w:rPr>
          <w:spacing w:val="107"/>
          <w:w w:val="95"/>
        </w:rPr>
      </w:r>
      <w:r>
        <w:rPr>
          <w:w w:val="95"/>
        </w:rPr>
        <w:t>司业务能否在技术与市场上保持先进性，并在较短的时间周期内抢占市场资源、树立优势地</w:t>
      </w:r>
      <w:r>
        <w:rPr>
          <w:spacing w:val="99"/>
          <w:w w:val="95"/>
        </w:rPr>
        <w:t> </w:t>
      </w:r>
      <w:r>
        <w:rPr>
          <w:w w:val="95"/>
        </w:rPr>
        <w:t>位，从而形成公司新的利润增长点仍存在不确定性。对此，公司将采取审慎开展新业务、适</w:t>
      </w:r>
      <w:r>
        <w:rPr>
          <w:spacing w:val="99"/>
          <w:w w:val="95"/>
        </w:rPr>
        <w:t> </w:t>
      </w:r>
      <w:r>
        <w:rPr/>
        <w:t>时关停并转不良业务以及加快构建业务生态等方式，实现转型升级目标。</w:t>
      </w:r>
      <w:r>
        <w:rPr>
          <w:b w:val="0"/>
          <w:bCs w:val="0"/>
        </w:rPr>
      </w:r>
    </w:p>
    <w:p>
      <w:pPr>
        <w:pStyle w:val="Heading2"/>
        <w:spacing w:line="432" w:lineRule="auto" w:before="137"/>
        <w:ind w:left="636" w:right="0"/>
        <w:jc w:val="left"/>
        <w:rPr>
          <w:b w:val="0"/>
          <w:bCs w:val="0"/>
        </w:rPr>
      </w:pPr>
      <w:r>
        <w:rPr/>
        <w:t>五、业务资金周转风险</w:t>
      </w:r>
      <w:r>
        <w:rPr>
          <w:w w:val="99"/>
        </w:rPr>
        <w:t> </w:t>
      </w:r>
      <w:r>
        <w:rPr>
          <w:w w:val="95"/>
        </w:rPr>
        <w:t>由于数字营销市场竞争日益加剧，行业整体毛利率下降，为拓展业务，报告期内，公司</w:t>
      </w:r>
      <w:r>
        <w:rPr>
          <w:b w:val="0"/>
          <w:bCs w:val="0"/>
        </w:rPr>
      </w:r>
    </w:p>
    <w:p>
      <w:pPr>
        <w:pStyle w:val="Heading2"/>
        <w:spacing w:line="276" w:lineRule="exact"/>
        <w:ind w:right="0"/>
        <w:jc w:val="both"/>
        <w:rPr>
          <w:b w:val="0"/>
          <w:bCs w:val="0"/>
        </w:rPr>
      </w:pPr>
      <w:r>
        <w:rPr/>
        <w:t>数字传播业务主体应收账款的规模扩大，预付的媒体资源成本增加。加之宏观经济波动、市</w:t>
      </w:r>
      <w:r>
        <w:rPr>
          <w:b w:val="0"/>
          <w:bCs w:val="0"/>
        </w:rPr>
      </w:r>
    </w:p>
    <w:p>
      <w:pPr>
        <w:pStyle w:val="Heading2"/>
        <w:spacing w:line="357" w:lineRule="auto" w:before="154"/>
        <w:ind w:right="1138"/>
        <w:jc w:val="both"/>
        <w:rPr>
          <w:b w:val="0"/>
          <w:bCs w:val="0"/>
        </w:rPr>
      </w:pPr>
      <w:r>
        <w:rPr>
          <w:w w:val="95"/>
        </w:rPr>
        <w:t>场不确定性、社会信用机制缺失等因素的影响，应收账款无法回收及预付账款过度占用经营</w:t>
      </w:r>
      <w:r>
        <w:rPr>
          <w:spacing w:val="99"/>
          <w:w w:val="95"/>
        </w:rPr>
        <w:t> </w:t>
      </w:r>
      <w:r>
        <w:rPr>
          <w:w w:val="95"/>
        </w:rPr>
        <w:t>资金的风险随着业务规模的增加而急剧上升，考验着公司的营运能力。因此，公司将进一步</w:t>
      </w:r>
      <w:r>
        <w:rPr>
          <w:spacing w:val="103"/>
          <w:w w:val="95"/>
        </w:rPr>
        <w:t> </w:t>
      </w:r>
      <w:r>
        <w:rPr>
          <w:spacing w:val="103"/>
          <w:w w:val="95"/>
        </w:rPr>
      </w:r>
      <w:r>
        <w:rPr>
          <w:w w:val="95"/>
        </w:rPr>
        <w:t>加强风险管控机制，重点把控应收账款回收和预付账款结转等关键环节，防范资金周转带来</w:t>
      </w:r>
      <w:r>
        <w:rPr>
          <w:spacing w:val="99"/>
          <w:w w:val="95"/>
        </w:rPr>
        <w:t> </w:t>
      </w:r>
      <w:r>
        <w:rPr/>
        <w:t>的经营风险。</w:t>
      </w:r>
      <w:r>
        <w:rPr>
          <w:b w:val="0"/>
          <w:bCs w:val="0"/>
        </w:rPr>
      </w:r>
    </w:p>
    <w:p>
      <w:pPr>
        <w:pStyle w:val="Heading2"/>
        <w:spacing w:line="240" w:lineRule="auto" w:before="136"/>
        <w:ind w:left="636" w:right="0"/>
        <w:jc w:val="left"/>
        <w:rPr>
          <w:b w:val="0"/>
          <w:bCs w:val="0"/>
        </w:rPr>
      </w:pPr>
      <w:r>
        <w:rPr/>
        <w:t>六、应收保理款坏账风险</w:t>
      </w:r>
      <w:r>
        <w:rPr>
          <w:b w:val="0"/>
          <w:bCs w:val="0"/>
        </w:rPr>
      </w:r>
    </w:p>
    <w:p>
      <w:pPr>
        <w:spacing w:line="240" w:lineRule="auto" w:before="5"/>
        <w:rPr>
          <w:rFonts w:ascii="宋体" w:hAnsi="宋体" w:cs="宋体" w:eastAsia="宋体" w:hint="default"/>
          <w:b/>
          <w:bCs/>
          <w:sz w:val="19"/>
          <w:szCs w:val="19"/>
        </w:rPr>
      </w:pPr>
    </w:p>
    <w:p>
      <w:pPr>
        <w:pStyle w:val="Heading2"/>
        <w:spacing w:line="240" w:lineRule="auto"/>
        <w:ind w:left="636" w:right="0"/>
        <w:jc w:val="left"/>
        <w:rPr>
          <w:b w:val="0"/>
          <w:bCs w:val="0"/>
        </w:rPr>
      </w:pPr>
      <w:r>
        <w:rPr/>
        <w:t>截至</w:t>
      </w:r>
      <w:r>
        <w:rPr>
          <w:spacing w:val="-6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日，公司因保理业务形成的应收保理款原值为</w:t>
      </w:r>
      <w:r>
        <w:rPr>
          <w:spacing w:val="-58"/>
        </w:rPr>
        <w:t> </w:t>
      </w:r>
      <w:r>
        <w:rPr>
          <w:rFonts w:ascii="Times New Roman" w:hAnsi="Times New Roman" w:cs="Times New Roman" w:eastAsia="Times New Roman" w:hint="default"/>
        </w:rPr>
        <w:t>15,512.53</w:t>
      </w:r>
      <w:r>
        <w:rPr>
          <w:rFonts w:ascii="Times New Roman" w:hAnsi="Times New Roman" w:cs="Times New Roman" w:eastAsia="Times New Roman" w:hint="default"/>
          <w:spacing w:val="-2"/>
        </w:rPr>
        <w:t> </w:t>
      </w:r>
      <w:r>
        <w:rPr/>
        <w:t>万元，其</w:t>
      </w:r>
      <w:r>
        <w:rPr>
          <w:b w:val="0"/>
          <w:bCs w:val="0"/>
        </w:rPr>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b/>
          <w:bCs/>
          <w:sz w:val="29"/>
          <w:szCs w:val="29"/>
        </w:rPr>
      </w:pPr>
    </w:p>
    <w:p>
      <w:pPr>
        <w:pStyle w:val="Heading2"/>
        <w:spacing w:line="352" w:lineRule="auto" w:before="26"/>
        <w:ind w:right="1132"/>
        <w:jc w:val="both"/>
        <w:rPr>
          <w:b w:val="0"/>
          <w:bCs w:val="0"/>
        </w:rPr>
      </w:pPr>
      <w:r>
        <w:rPr/>
        <w:t>中逾期金额</w:t>
      </w:r>
      <w:r>
        <w:rPr>
          <w:spacing w:val="-88"/>
        </w:rPr>
        <w:t> </w:t>
      </w:r>
      <w:r>
        <w:rPr>
          <w:rFonts w:ascii="Times New Roman" w:hAnsi="Times New Roman" w:cs="Times New Roman" w:eastAsia="Times New Roman" w:hint="default"/>
          <w:spacing w:val="-3"/>
        </w:rPr>
        <w:t>11,000</w:t>
      </w:r>
      <w:r>
        <w:rPr>
          <w:rFonts w:ascii="Times New Roman" w:hAnsi="Times New Roman" w:cs="Times New Roman" w:eastAsia="Times New Roman" w:hint="default"/>
          <w:spacing w:val="-28"/>
        </w:rPr>
        <w:t> </w:t>
      </w:r>
      <w:r>
        <w:rPr/>
        <w:t>万元。由于被抵押的应收账款债务人和债权人不能及时履约，存在应收保</w:t>
      </w:r>
      <w:r>
        <w:rPr>
          <w:w w:val="99"/>
        </w:rPr>
        <w:t> </w:t>
      </w:r>
      <w:r>
        <w:rPr>
          <w:spacing w:val="-6"/>
          <w:w w:val="99"/>
        </w:rPr>
        <w:t>理款无法回收的风险及坏账隐患，从而影响上市公司经营业绩。针对应收保理款逾期的情况，</w:t>
      </w:r>
      <w:r>
        <w:rPr>
          <w:spacing w:val="-114"/>
          <w:w w:val="99"/>
        </w:rPr>
        <w:t> </w:t>
      </w:r>
      <w:r>
        <w:rPr>
          <w:spacing w:val="-114"/>
          <w:w w:val="99"/>
        </w:rPr>
      </w:r>
      <w:r>
        <w:rPr>
          <w:w w:val="95"/>
        </w:rPr>
        <w:t>公司已诉诸法律途径，同时将进一步强化对在途应收保理款的跟踪管理，通过增信措施防范</w:t>
      </w:r>
      <w:r>
        <w:rPr>
          <w:spacing w:val="107"/>
          <w:w w:val="95"/>
        </w:rPr>
        <w:t> </w:t>
      </w:r>
      <w:r>
        <w:rPr>
          <w:spacing w:val="107"/>
          <w:w w:val="95"/>
        </w:rPr>
      </w:r>
      <w:r>
        <w:rPr>
          <w:w w:val="95"/>
        </w:rPr>
        <w:t>回收风险。并且，亦不排除公司将通过剥离该块业务及资产的方式以降低应收保理款坏账风</w:t>
      </w:r>
      <w:r>
        <w:rPr>
          <w:spacing w:val="99"/>
          <w:w w:val="95"/>
        </w:rPr>
        <w:t> </w:t>
      </w:r>
      <w:r>
        <w:rPr/>
        <w:t>险对上市公司的不利影响。</w:t>
      </w:r>
      <w:r>
        <w:rPr>
          <w:b w:val="0"/>
          <w:bCs w:val="0"/>
        </w:rPr>
      </w:r>
    </w:p>
    <w:p>
      <w:pPr>
        <w:pStyle w:val="Heading2"/>
        <w:spacing w:line="240" w:lineRule="auto" w:before="140"/>
        <w:ind w:left="636" w:right="0"/>
        <w:jc w:val="left"/>
        <w:rPr>
          <w:b w:val="0"/>
          <w:bCs w:val="0"/>
        </w:rPr>
      </w:pPr>
      <w:r>
        <w:rPr/>
        <w:t>七、收购管理与商誉减值风险</w:t>
      </w:r>
      <w:r>
        <w:rPr>
          <w:b w:val="0"/>
          <w:bCs w:val="0"/>
        </w:rPr>
      </w:r>
    </w:p>
    <w:p>
      <w:pPr>
        <w:spacing w:line="240" w:lineRule="auto" w:before="5"/>
        <w:rPr>
          <w:rFonts w:ascii="宋体" w:hAnsi="宋体" w:cs="宋体" w:eastAsia="宋体" w:hint="default"/>
          <w:b/>
          <w:bCs/>
          <w:sz w:val="19"/>
          <w:szCs w:val="19"/>
        </w:rPr>
      </w:pPr>
    </w:p>
    <w:p>
      <w:pPr>
        <w:pStyle w:val="Heading2"/>
        <w:spacing w:line="352" w:lineRule="auto"/>
        <w:ind w:right="1135" w:firstLine="482"/>
        <w:jc w:val="both"/>
        <w:rPr>
          <w:b w:val="0"/>
          <w:bCs w:val="0"/>
        </w:rPr>
      </w:pPr>
      <w:r>
        <w:rPr/>
        <w:t>公司自</w:t>
      </w:r>
      <w:r>
        <w:rPr>
          <w:spacing w:val="-6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年至</w:t>
      </w:r>
      <w:r>
        <w:rPr>
          <w:spacing w:val="-6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年先后收购亿起联科技、华夏电通、瑞意恒动和上海移通。前述</w:t>
      </w:r>
      <w:r>
        <w:rPr>
          <w:w w:val="99"/>
        </w:rPr>
        <w:t> </w:t>
      </w:r>
      <w:r>
        <w:rPr>
          <w:spacing w:val="-6"/>
          <w:w w:val="99"/>
        </w:rPr>
        <w:t>收购完成后，公司的业务范围和资产规模迅速扩大，但公司与被收购企业之间需在业务规划、</w:t>
      </w:r>
      <w:r>
        <w:rPr>
          <w:spacing w:val="-113"/>
          <w:w w:val="99"/>
        </w:rPr>
        <w:t> </w:t>
      </w:r>
      <w:r>
        <w:rPr>
          <w:spacing w:val="-113"/>
          <w:w w:val="99"/>
        </w:rPr>
      </w:r>
      <w:r>
        <w:rPr>
          <w:w w:val="95"/>
        </w:rPr>
        <w:t>客户资源、企业文化、管理体系等方面进行深入融合，这对公司经营决策、组织管控和风险</w:t>
      </w:r>
      <w:r>
        <w:rPr>
          <w:spacing w:val="99"/>
          <w:w w:val="95"/>
        </w:rPr>
        <w:t> </w:t>
      </w:r>
      <w:r>
        <w:rPr>
          <w:w w:val="95"/>
        </w:rPr>
        <w:t>控制能力提出更高的要求，能否产生良好的协同效应存在一定不确定性。报告期，公司数字</w:t>
      </w:r>
      <w:r>
        <w:rPr>
          <w:spacing w:val="99"/>
          <w:w w:val="95"/>
        </w:rPr>
        <w:t> </w:t>
      </w:r>
      <w:r>
        <w:rPr>
          <w:w w:val="95"/>
        </w:rPr>
        <w:t>传播板块的业务融合效应未达预期，整体业绩出现下滑，公司于本报告期计提商誉减值准备</w:t>
      </w:r>
      <w:r>
        <w:rPr>
          <w:spacing w:val="103"/>
          <w:w w:val="95"/>
        </w:rPr>
        <w:t> </w:t>
      </w:r>
      <w:r>
        <w:rPr>
          <w:spacing w:val="103"/>
          <w:w w:val="95"/>
        </w:rPr>
      </w:r>
      <w:r>
        <w:rPr>
          <w:rFonts w:ascii="Times New Roman" w:hAnsi="Times New Roman" w:cs="Times New Roman" w:eastAsia="Times New Roman" w:hint="default"/>
        </w:rPr>
        <w:t>107,739.49</w:t>
      </w:r>
      <w:r>
        <w:rPr>
          <w:rFonts w:ascii="Times New Roman" w:hAnsi="Times New Roman" w:cs="Times New Roman" w:eastAsia="Times New Roman" w:hint="default"/>
          <w:spacing w:val="-23"/>
        </w:rPr>
        <w:t> </w:t>
      </w:r>
      <w:r>
        <w:rPr/>
        <w:t>万元，商誉期末余额为</w:t>
      </w:r>
      <w:r>
        <w:rPr>
          <w:spacing w:val="-82"/>
        </w:rPr>
        <w:t> </w:t>
      </w:r>
      <w:r>
        <w:rPr>
          <w:rFonts w:ascii="Times New Roman" w:hAnsi="Times New Roman" w:cs="Times New Roman" w:eastAsia="Times New Roman" w:hint="default"/>
        </w:rPr>
        <w:t>60,123.56</w:t>
      </w:r>
      <w:r>
        <w:rPr>
          <w:rFonts w:ascii="Times New Roman" w:hAnsi="Times New Roman" w:cs="Times New Roman" w:eastAsia="Times New Roman" w:hint="default"/>
          <w:spacing w:val="-23"/>
        </w:rPr>
        <w:t> </w:t>
      </w:r>
      <w:r>
        <w:rPr/>
        <w:t>万元，若未来被并购企业经营效益不佳，出现减</w:t>
      </w:r>
      <w:r>
        <w:rPr>
          <w:w w:val="99"/>
        </w:rPr>
        <w:t> </w:t>
      </w:r>
      <w:r>
        <w:rPr>
          <w:w w:val="95"/>
        </w:rPr>
        <w:t>值迹象，则不排除继续计提商誉减值准备的风险，从而再次影响公司整体经营业绩。对此，</w:t>
      </w:r>
      <w:r>
        <w:rPr>
          <w:spacing w:val="99"/>
          <w:w w:val="95"/>
        </w:rPr>
        <w:t> </w:t>
      </w:r>
      <w:r>
        <w:rPr>
          <w:w w:val="95"/>
        </w:rPr>
        <w:t>公司会持续加强投后管理工作，深化各方在财务管理、客户管理、资源统筹、业务拓展等方</w:t>
      </w:r>
      <w:r>
        <w:rPr>
          <w:spacing w:val="99"/>
          <w:w w:val="95"/>
        </w:rPr>
        <w:t> </w:t>
      </w:r>
      <w:r>
        <w:rPr>
          <w:w w:val="95"/>
        </w:rPr>
        <w:t>面的融合，强化被并购企业管理团队的风险意识和抵御风险的能力，最大限度地降低商誉减</w:t>
      </w:r>
      <w:r>
        <w:rPr>
          <w:spacing w:val="99"/>
          <w:w w:val="95"/>
        </w:rPr>
        <w:t> </w:t>
      </w:r>
      <w:r>
        <w:rPr/>
        <w:t>值风险。</w:t>
      </w:r>
      <w:r>
        <w:rPr>
          <w:b w:val="0"/>
          <w:bCs w:val="0"/>
        </w:rPr>
      </w:r>
    </w:p>
    <w:p>
      <w:pPr>
        <w:pStyle w:val="Heading2"/>
        <w:spacing w:line="240" w:lineRule="auto" w:before="140"/>
        <w:ind w:left="636" w:right="0"/>
        <w:jc w:val="left"/>
        <w:rPr>
          <w:b w:val="0"/>
          <w:bCs w:val="0"/>
        </w:rPr>
      </w:pPr>
      <w:r>
        <w:rPr/>
        <w:t>八、子公司上海移通经营风险</w:t>
      </w:r>
      <w:r>
        <w:rPr>
          <w:b w:val="0"/>
          <w:bCs w:val="0"/>
        </w:rPr>
      </w:r>
    </w:p>
    <w:p>
      <w:pPr>
        <w:spacing w:line="240" w:lineRule="auto" w:before="4"/>
        <w:rPr>
          <w:rFonts w:ascii="宋体" w:hAnsi="宋体" w:cs="宋体" w:eastAsia="宋体" w:hint="default"/>
          <w:b/>
          <w:bCs/>
          <w:sz w:val="19"/>
          <w:szCs w:val="19"/>
        </w:rPr>
      </w:pPr>
    </w:p>
    <w:p>
      <w:pPr>
        <w:pStyle w:val="Heading2"/>
        <w:spacing w:line="355" w:lineRule="auto"/>
        <w:ind w:right="1137" w:firstLine="482"/>
        <w:jc w:val="both"/>
        <w:rPr>
          <w:b w:val="0"/>
          <w:bCs w:val="0"/>
        </w:rPr>
      </w:pPr>
      <w:r>
        <w:rPr>
          <w:rFonts w:ascii="Times New Roman" w:hAnsi="Times New Roman" w:cs="Times New Roman" w:eastAsia="Times New Roman" w:hint="default"/>
        </w:rPr>
        <w:t>2019</w:t>
      </w:r>
      <w:r>
        <w:rPr>
          <w:rFonts w:ascii="Times New Roman" w:hAnsi="Times New Roman" w:cs="Times New Roman" w:eastAsia="Times New Roman" w:hint="default"/>
          <w:spacing w:val="-26"/>
        </w:rPr>
        <w:t> </w:t>
      </w:r>
      <w:r>
        <w:rPr/>
        <w:t>年</w:t>
      </w:r>
      <w:r>
        <w:rPr>
          <w:spacing w:val="-86"/>
        </w:rPr>
        <w:t> </w:t>
      </w: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月底，在公司业务审计过程中发现子公司上海移通个别员工存在不法行为，为</w:t>
      </w:r>
      <w:r>
        <w:rPr>
          <w:w w:val="99"/>
        </w:rPr>
        <w:t> </w:t>
      </w:r>
      <w:r>
        <w:rPr>
          <w:w w:val="95"/>
        </w:rPr>
        <w:t>维护公司合法利益，公司及时向公安机关报案。为最大程度地减少对上海移通日常运营的影</w:t>
      </w:r>
      <w:r>
        <w:rPr>
          <w:spacing w:val="101"/>
          <w:w w:val="95"/>
        </w:rPr>
        <w:t> </w:t>
      </w:r>
      <w:r>
        <w:rPr>
          <w:spacing w:val="101"/>
          <w:w w:val="95"/>
        </w:rPr>
      </w:r>
      <w:r>
        <w:rPr>
          <w:w w:val="95"/>
        </w:rPr>
        <w:t>响，公司已着手对上海移通的治理架构进行调整优化，委派执行董事并更换其法定代表人，</w:t>
      </w:r>
      <w:r>
        <w:rPr>
          <w:spacing w:val="99"/>
          <w:w w:val="95"/>
        </w:rPr>
        <w:t> </w:t>
      </w:r>
      <w:r>
        <w:rPr>
          <w:w w:val="95"/>
        </w:rPr>
        <w:t>努力推进上海移通日常经营运转。但因维权结果存在一定的不确定性，公司利益或将面临较</w:t>
      </w:r>
      <w:r>
        <w:rPr>
          <w:spacing w:val="99"/>
          <w:w w:val="95"/>
        </w:rPr>
        <w:t> </w:t>
      </w:r>
      <w:r>
        <w:rPr>
          <w:w w:val="95"/>
        </w:rPr>
        <w:t>大损失，同时随着案件的进展及结论，亦存在公司未来需要追溯调整近三年会计数据和财务</w:t>
      </w:r>
      <w:r>
        <w:rPr>
          <w:spacing w:val="99"/>
          <w:w w:val="95"/>
        </w:rPr>
        <w:t> </w:t>
      </w:r>
      <w:r>
        <w:rPr>
          <w:w w:val="95"/>
        </w:rPr>
        <w:t>指标的可能；并且上海移通作为经营主体亦或因债权债务纠纷、管理层变化等情况出现可持</w:t>
      </w:r>
      <w:r>
        <w:rPr>
          <w:spacing w:val="99"/>
          <w:w w:val="95"/>
        </w:rPr>
        <w:t> </w:t>
      </w:r>
      <w:r>
        <w:rPr>
          <w:spacing w:val="-6"/>
          <w:w w:val="95"/>
        </w:rPr>
        <w:t>续经营风险。公司将以维护上市公司及股东利益为己任，持续推进有关工作进展，积极应对，</w:t>
      </w:r>
      <w:r>
        <w:rPr>
          <w:spacing w:val="18"/>
          <w:w w:val="95"/>
        </w:rPr>
        <w:t> </w:t>
      </w:r>
      <w:r>
        <w:rPr>
          <w:spacing w:val="18"/>
          <w:w w:val="95"/>
        </w:rPr>
      </w:r>
      <w:r>
        <w:rPr/>
        <w:t>尽量减少此事对上市公司的影响。</w:t>
      </w:r>
      <w:r>
        <w:rPr>
          <w:b w:val="0"/>
          <w:bCs w:val="0"/>
        </w:rPr>
      </w:r>
    </w:p>
    <w:p>
      <w:pPr>
        <w:pStyle w:val="Heading2"/>
        <w:spacing w:line="240" w:lineRule="auto" w:before="139"/>
        <w:ind w:left="636" w:right="0"/>
        <w:jc w:val="left"/>
        <w:rPr>
          <w:b w:val="0"/>
          <w:bCs w:val="0"/>
        </w:rPr>
      </w:pPr>
      <w:r>
        <w:rPr/>
        <w:t>九、业绩对赌补偿不确定性风险</w:t>
      </w:r>
      <w:r>
        <w:rPr>
          <w:b w:val="0"/>
          <w:bCs w:val="0"/>
        </w:rPr>
      </w:r>
    </w:p>
    <w:p>
      <w:pPr>
        <w:spacing w:line="240" w:lineRule="auto" w:before="4"/>
        <w:rPr>
          <w:rFonts w:ascii="宋体" w:hAnsi="宋体" w:cs="宋体" w:eastAsia="宋体" w:hint="default"/>
          <w:b/>
          <w:bCs/>
          <w:sz w:val="19"/>
          <w:szCs w:val="19"/>
        </w:rPr>
      </w:pPr>
    </w:p>
    <w:p>
      <w:pPr>
        <w:pStyle w:val="Heading2"/>
        <w:spacing w:line="338" w:lineRule="auto"/>
        <w:ind w:right="1133" w:firstLine="482"/>
        <w:jc w:val="both"/>
        <w:rPr>
          <w:b w:val="0"/>
          <w:bCs w:val="0"/>
        </w:rPr>
      </w:pPr>
      <w:r>
        <w:rPr>
          <w:spacing w:val="-4"/>
        </w:rPr>
        <w:t>根据经审计的财务数据，子公司上海移通</w:t>
      </w:r>
      <w:r>
        <w:rPr>
          <w:spacing w:val="-5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spacing w:val="-4"/>
        </w:rPr>
        <w:t>年的业绩承诺目标未能实现，且存在计提</w:t>
      </w:r>
      <w:r>
        <w:rPr>
          <w:w w:val="99"/>
        </w:rPr>
        <w:t> </w:t>
      </w:r>
      <w:r>
        <w:rPr>
          <w:w w:val="95"/>
        </w:rPr>
        <w:t>大额商誉减值的情况。根据公司与上海移通原实际控制人签署的收购协议约定，业绩补偿承</w:t>
      </w:r>
      <w:r>
        <w:rPr>
          <w:b w:val="0"/>
          <w:bCs w:val="0"/>
        </w:rPr>
      </w:r>
    </w:p>
    <w:p>
      <w:pPr>
        <w:spacing w:after="0" w:line="338" w:lineRule="auto"/>
        <w:jc w:val="both"/>
        <w:sectPr>
          <w:pgSz w:w="11910" w:h="16840"/>
          <w:pgMar w:header="747" w:footer="979" w:top="1060" w:bottom="1160" w:left="980" w:right="0"/>
        </w:sectPr>
      </w:pPr>
    </w:p>
    <w:p>
      <w:pPr>
        <w:spacing w:line="240" w:lineRule="auto" w:before="7"/>
        <w:rPr>
          <w:rFonts w:ascii="宋体" w:hAnsi="宋体" w:cs="宋体" w:eastAsia="宋体" w:hint="default"/>
          <w:b/>
          <w:bCs/>
          <w:sz w:val="29"/>
          <w:szCs w:val="29"/>
        </w:rPr>
      </w:pPr>
    </w:p>
    <w:p>
      <w:pPr>
        <w:pStyle w:val="Heading2"/>
        <w:spacing w:line="350" w:lineRule="auto" w:before="26"/>
        <w:ind w:right="1132"/>
        <w:jc w:val="both"/>
        <w:rPr>
          <w:b w:val="0"/>
          <w:bCs w:val="0"/>
        </w:rPr>
      </w:pPr>
      <w:r>
        <w:rPr>
          <w:w w:val="99"/>
        </w:rPr>
        <w:t>诺方应于</w:t>
      </w:r>
      <w:r>
        <w:rPr>
          <w:spacing w:val="-53"/>
          <w:w w:val="99"/>
        </w:rPr>
        <w:t> </w:t>
      </w:r>
      <w:r>
        <w:rPr>
          <w:rFonts w:ascii="Times New Roman" w:hAnsi="Times New Roman" w:cs="Times New Roman" w:eastAsia="Times New Roman" w:hint="default"/>
          <w:spacing w:val="-1"/>
        </w:rPr>
        <w:t>2018</w:t>
      </w:r>
      <w:r>
        <w:rPr>
          <w:rFonts w:ascii="Times New Roman" w:hAnsi="Times New Roman" w:cs="Times New Roman" w:eastAsia="Times New Roman" w:hint="default"/>
          <w:spacing w:val="6"/>
        </w:rPr>
        <w:t> </w:t>
      </w:r>
      <w:r>
        <w:rPr>
          <w:spacing w:val="-3"/>
          <w:w w:val="99"/>
        </w:rPr>
        <w:t>年度上海移通专项审计报告出具后一个月内向公司支付业绩补偿款。但可能受</w:t>
      </w:r>
      <w:r>
        <w:rPr>
          <w:w w:val="99"/>
        </w:rPr>
        <w:t> </w:t>
      </w:r>
      <w:r>
        <w:rPr>
          <w:w w:val="95"/>
        </w:rPr>
        <w:t>公安机关案件调查、债权债务纠纷、业绩补偿承诺方履约意愿及履约能力等的影响，公司主</w:t>
      </w:r>
      <w:r>
        <w:rPr>
          <w:spacing w:val="99"/>
          <w:w w:val="95"/>
        </w:rPr>
        <w:t> </w:t>
      </w:r>
      <w:r>
        <w:rPr>
          <w:w w:val="95"/>
        </w:rPr>
        <w:t>张的业绩补偿款可能遇到障碍，存在公司不能按期足额获得业绩对赌补偿款的风险。对此，</w:t>
      </w:r>
      <w:r>
        <w:rPr>
          <w:spacing w:val="99"/>
          <w:w w:val="95"/>
        </w:rPr>
        <w:t> </w:t>
      </w:r>
      <w:r>
        <w:rPr/>
        <w:t>公司将积极采取法律手段维护上市公司及股东的合法权益。</w:t>
      </w:r>
      <w:r>
        <w:rPr>
          <w:b w:val="0"/>
          <w:bCs w:val="0"/>
        </w:rPr>
      </w:r>
    </w:p>
    <w:p>
      <w:pPr>
        <w:pStyle w:val="Heading2"/>
        <w:spacing w:line="240" w:lineRule="auto" w:before="143"/>
        <w:ind w:left="636" w:right="0"/>
        <w:jc w:val="left"/>
        <w:rPr>
          <w:b w:val="0"/>
          <w:bCs w:val="0"/>
        </w:rPr>
      </w:pPr>
      <w:r>
        <w:rPr/>
        <w:t>十、募集资金运用风险</w:t>
      </w:r>
      <w:r>
        <w:rPr>
          <w:b w:val="0"/>
          <w:bCs w:val="0"/>
        </w:rPr>
      </w:r>
    </w:p>
    <w:p>
      <w:pPr>
        <w:spacing w:line="240" w:lineRule="auto" w:before="5"/>
        <w:rPr>
          <w:rFonts w:ascii="宋体" w:hAnsi="宋体" w:cs="宋体" w:eastAsia="宋体" w:hint="default"/>
          <w:b/>
          <w:bCs/>
          <w:sz w:val="19"/>
          <w:szCs w:val="19"/>
        </w:rPr>
      </w:pPr>
    </w:p>
    <w:p>
      <w:pPr>
        <w:pStyle w:val="Heading2"/>
        <w:spacing w:line="355" w:lineRule="auto"/>
        <w:ind w:right="1132" w:firstLine="482"/>
        <w:jc w:val="both"/>
        <w:rPr>
          <w:b w:val="0"/>
          <w:bCs w:val="0"/>
        </w:rPr>
      </w:pPr>
      <w:r>
        <w:rPr/>
        <w:t>公司于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年公开发行可转换公司债券，募集资金总额</w:t>
      </w:r>
      <w:r>
        <w:rPr>
          <w:spacing w:val="-48"/>
        </w:rPr>
        <w:t> </w:t>
      </w:r>
      <w:r>
        <w:rPr>
          <w:rFonts w:ascii="Times New Roman" w:hAnsi="Times New Roman" w:cs="Times New Roman" w:eastAsia="Times New Roman" w:hint="default"/>
        </w:rPr>
        <w:t>78,000</w:t>
      </w:r>
      <w:r>
        <w:rPr>
          <w:rFonts w:ascii="Times New Roman" w:hAnsi="Times New Roman" w:cs="Times New Roman" w:eastAsia="Times New Roman" w:hint="default"/>
          <w:spacing w:val="9"/>
        </w:rPr>
        <w:t> </w:t>
      </w:r>
      <w:r>
        <w:rPr/>
        <w:t>万元。虽然公司在选择</w:t>
      </w:r>
      <w:r>
        <w:rPr>
          <w:w w:val="99"/>
        </w:rPr>
        <w:t> </w:t>
      </w:r>
      <w:r>
        <w:rPr>
          <w:w w:val="95"/>
        </w:rPr>
        <w:t>募投项目时已进行了可行性论证，但对政企大数据平台、下一代集团管控平台和数字营销运</w:t>
      </w:r>
      <w:r>
        <w:rPr>
          <w:spacing w:val="99"/>
          <w:w w:val="95"/>
        </w:rPr>
        <w:t> </w:t>
      </w:r>
      <w:r>
        <w:rPr>
          <w:w w:val="95"/>
        </w:rPr>
        <w:t>营平台在内的研发型募投项目来说，在研发投入的过程中需要不断适应市场需求的变化和新</w:t>
      </w:r>
      <w:r>
        <w:rPr>
          <w:spacing w:val="99"/>
          <w:w w:val="95"/>
        </w:rPr>
        <w:t> </w:t>
      </w:r>
      <w:r>
        <w:rPr>
          <w:w w:val="95"/>
        </w:rPr>
        <w:t>技术的发展，存在调整募集资金使用进度的情况。同时，如果市场需求增长低于预期，或市</w:t>
      </w:r>
      <w:r>
        <w:rPr>
          <w:spacing w:val="99"/>
          <w:w w:val="95"/>
        </w:rPr>
        <w:t> </w:t>
      </w:r>
      <w:r>
        <w:rPr>
          <w:w w:val="95"/>
        </w:rPr>
        <w:t>场推广进展与公司预测产生偏差，则存在调整募集资金使用用途的可能，并且还存在募投项</w:t>
      </w:r>
      <w:r>
        <w:rPr>
          <w:spacing w:val="99"/>
          <w:w w:val="95"/>
        </w:rPr>
        <w:t> </w:t>
      </w:r>
      <w:r>
        <w:rPr>
          <w:w w:val="95"/>
        </w:rPr>
        <w:t>目达不到预期效益的风险。对此，公司将加强对募集资金专户的监督和管理，并根据募投项</w:t>
      </w:r>
      <w:r>
        <w:rPr>
          <w:spacing w:val="99"/>
          <w:w w:val="95"/>
        </w:rPr>
        <w:t> </w:t>
      </w:r>
      <w:r>
        <w:rPr/>
        <w:t>目的实际进展和需求，合理计划募集资金的使用。</w:t>
      </w:r>
      <w:r>
        <w:rPr>
          <w:b w:val="0"/>
          <w:bCs w:val="0"/>
        </w:rPr>
      </w:r>
    </w:p>
    <w:p>
      <w:pPr>
        <w:pStyle w:val="Heading2"/>
        <w:spacing w:line="240" w:lineRule="auto" w:before="138"/>
        <w:ind w:left="636" w:right="0"/>
        <w:jc w:val="left"/>
        <w:rPr>
          <w:b w:val="0"/>
          <w:bCs w:val="0"/>
        </w:rPr>
      </w:pPr>
      <w:r>
        <w:rPr/>
        <w:t>公司计划不派发现金红利，不送红股，不以公积金转增股本。</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spacing w:before="1"/>
        <w:ind w:left="3270" w:right="4246" w:firstLine="0"/>
        <w:jc w:val="center"/>
        <w:rPr>
          <w:rFonts w:ascii="宋体" w:hAnsi="宋体" w:cs="宋体" w:eastAsia="宋体" w:hint="default"/>
          <w:sz w:val="32"/>
          <w:szCs w:val="32"/>
        </w:rPr>
      </w:pPr>
      <w:bookmarkStart w:name="目录" w:id="3"/>
      <w:bookmarkEnd w:id="3"/>
      <w:r>
        <w:rPr/>
      </w:r>
      <w:r>
        <w:rPr>
          <w:rFonts w:ascii="宋体" w:hAnsi="宋体" w:cs="宋体" w:eastAsia="宋体" w:hint="default"/>
          <w:b/>
          <w:bCs/>
          <w:sz w:val="32"/>
          <w:szCs w:val="32"/>
        </w:rPr>
        <w:t>目录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9782" w:val="right" w:leader="dot"/>
            </w:tabs>
            <w:spacing w:line="240" w:lineRule="auto" w:before="506"/>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经营情况讨论与分析</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75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公司债券相关情况</w:t>
            </w:r>
            <w:r>
              <w:rPr>
                <w:rFonts w:ascii="Times New Roman" w:hAnsi="Times New Roman" w:cs="Times New Roman" w:eastAsia="Times New Roman" w:hint="default"/>
              </w:rPr>
              <w:tab/>
              <w:t>81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9"/>
              </w:rPr>
              <w:t> </w:t>
            </w:r>
            <w:r>
              <w:rPr/>
              <w:t>财务报告</w:t>
            </w:r>
            <w:r>
              <w:rPr>
                <w:rFonts w:ascii="Times New Roman" w:hAnsi="Times New Roman" w:cs="Times New Roman" w:eastAsia="Times New Roman" w:hint="default"/>
              </w:rPr>
              <w:tab/>
              <w:t>84</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10">
            <w:r>
              <w:rPr/>
              <w:t>第十二节</w:t>
            </w:r>
            <w:r>
              <w:rPr>
                <w:spacing w:val="-20"/>
              </w:rPr>
              <w:t> </w:t>
            </w:r>
            <w:r>
              <w:rPr/>
              <w:t>备查文件目录</w:t>
            </w:r>
            <w:r>
              <w:rPr>
                <w:rFonts w:ascii="Times New Roman" w:hAnsi="Times New Roman" w:cs="Times New Roman" w:eastAsia="Times New Roman" w:hint="default"/>
              </w:rPr>
              <w:tab/>
              <w:t>193</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before="499"/>
        <w:ind w:left="3270" w:right="4246" w:firstLine="0"/>
        <w:jc w:val="center"/>
        <w:rPr>
          <w:rFonts w:ascii="宋体" w:hAnsi="宋体" w:cs="宋体" w:eastAsia="宋体" w:hint="default"/>
          <w:sz w:val="32"/>
          <w:szCs w:val="32"/>
        </w:rPr>
      </w:pPr>
      <w:bookmarkStart w:name="释义" w:id="4"/>
      <w:bookmarkEnd w:id="4"/>
      <w:r>
        <w:rPr/>
      </w: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1"/>
          <w:szCs w:val="21"/>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公司、久其、久其软件</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亿起联科技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公司全资子公司，北京亿起联科技有限公司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华夏电通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公司全资子公司，北京华夏电通科技有限公司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瑞意恒动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公司全资子公司，北京瑞意恒动科技有限公司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上海移通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公司全资子公司，上海移通网络有限公司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久其数字</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公司全资子公司，久其数字传播有限公司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久金保</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公司全资子公司，深圳市久金保商业保理有限公司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久金所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公司控股子公司，北京久其互联网金融信息服务有限公司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蜂语网络</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公司控股子公司，北京蜂语网络科技有限公司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久其科技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公司控股股东，北京久其科技投资有限公司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久其政务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公司控股子公司，北京久其政务软件股份有限公司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雄安久其</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公司全资子公司，雄安久其数字科技有限公司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58.259979pt;width:361.5pt;height:19.650pt;mso-position-horizontal-relative:page;mso-position-vertical-relative:page;z-index:-1046440" coordorigin="3447,5165" coordsize="7230,393">
            <v:shape style="position:absolute;left:3447;top:5165;width:7230;height:393" coordorigin="3447,5165" coordsize="7230,393" path="m3447,5558l10676,5558,10676,5165,3447,5165,3447,5558xe" filled="true" fillcolor="#ffffff" stroked="false">
              <v:path arrowok="t"/>
              <v:fill type="solid"/>
            </v:shape>
            <w10:wrap type="none"/>
          </v:group>
        </w:pict>
      </w:r>
    </w:p>
    <w:p>
      <w:pPr>
        <w:spacing w:line="240" w:lineRule="auto" w:before="1"/>
        <w:rPr>
          <w:rFonts w:ascii="宋体" w:hAnsi="宋体" w:cs="宋体" w:eastAsia="宋体" w:hint="default"/>
          <w:b/>
          <w:bCs/>
          <w:sz w:val="18"/>
          <w:szCs w:val="18"/>
        </w:rPr>
      </w:pPr>
    </w:p>
    <w:p>
      <w:pPr>
        <w:pStyle w:val="Heading1"/>
        <w:spacing w:line="240" w:lineRule="auto"/>
        <w:ind w:left="2644" w:right="0"/>
        <w:jc w:val="left"/>
        <w:rPr>
          <w:b w:val="0"/>
          <w:bCs w:val="0"/>
        </w:rPr>
      </w:pPr>
      <w:bookmarkStart w:name="第二节 公司简介和主要财务指标" w:id="5"/>
      <w:bookmarkEnd w:id="5"/>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6"/>
      <w:bookmarkEnd w:id="6"/>
      <w:r>
        <w:rPr>
          <w:b w:val="0"/>
          <w:bCs w:val="0"/>
        </w:rPr>
      </w:r>
      <w:r>
        <w:rPr/>
        <w:t>一、公司信息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9" w:space="0" w:color="D2D2D2"/>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久其软件</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002279</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久其软件</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Beijing Join-Cheer Software Co.,</w:t>
            </w:r>
            <w:r>
              <w:rPr>
                <w:rFonts w:ascii="Times New Roman"/>
                <w:spacing w:val="-7"/>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Join-Cheer</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赵福君</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北京市海淀区文慧园甲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100082</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北京经济技术开发区西环中路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100176</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www.jiuqi.com.cn</w:t>
              </w:r>
            </w:hyperlink>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002279@jiuqi.com.cn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7"/>
      <w:bookmarkEnd w:id="7"/>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王海霞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刘文佳</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北京经济技术开发区西环中路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北京经济技术开发区西环中路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010-58022988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010-88551199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010-58022897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010-58022897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whx@jiuqi.com.cn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liuwenjia@jiuqi.com.cn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8"/>
      <w:bookmarkEnd w:id="8"/>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3"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3">
              <w:r>
                <w:rPr>
                  <w:rFonts w:ascii="Times New Roman" w:hAnsi="Times New Roman" w:cs="Times New Roman" w:eastAsia="Times New Roman" w:hint="default"/>
                  <w:sz w:val="18"/>
                  <w:szCs w:val="18"/>
                </w:rPr>
                <w:t>www.cninfo.com.cn</w:t>
              </w:r>
            </w:hyperlink>
          </w:p>
        </w:tc>
      </w:tr>
      <w:tr>
        <w:trPr>
          <w:trHeight w:val="403"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董事会办公室</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四、注册变更情况" w:id="9"/>
      <w:bookmarkEnd w:id="9"/>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911100007177242684</w:t>
            </w:r>
            <w:r>
              <w:rPr>
                <w:rFonts w:ascii="宋体" w:hAnsi="宋体" w:cs="宋体" w:eastAsia="宋体" w:hint="default"/>
                <w:sz w:val="18"/>
                <w:szCs w:val="18"/>
              </w:rPr>
              <w:t>（统一社会信用代码）</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1026"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43"/>
              <w:jc w:val="both"/>
              <w:rPr>
                <w:rFonts w:ascii="宋体" w:hAnsi="宋体" w:cs="宋体" w:eastAsia="宋体" w:hint="default"/>
                <w:sz w:val="18"/>
                <w:szCs w:val="18"/>
              </w:rPr>
            </w:pPr>
            <w:r>
              <w:rPr>
                <w:rFonts w:ascii="宋体" w:hAnsi="宋体" w:cs="宋体" w:eastAsia="宋体" w:hint="default"/>
                <w:sz w:val="18"/>
                <w:szCs w:val="18"/>
              </w:rPr>
              <w:t>公司深化内生增长与外延发展的战略，围绕管理软件和数字传播业务，全面提升 </w:t>
            </w:r>
            <w:r>
              <w:rPr>
                <w:rFonts w:ascii="Times New Roman" w:hAnsi="Times New Roman" w:cs="Times New Roman" w:eastAsia="Times New Roman" w:hint="default"/>
                <w:sz w:val="18"/>
                <w:szCs w:val="18"/>
              </w:rPr>
              <w:t>B2B2C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的大数据综合服务能力。具体业务情况详见本报告</w:t>
            </w:r>
            <w:r>
              <w:rPr>
                <w:rFonts w:ascii="Times New Roman" w:hAnsi="Times New Roman" w:cs="Times New Roman" w:eastAsia="Times New Roman" w:hint="default"/>
                <w:sz w:val="18"/>
                <w:szCs w:val="18"/>
              </w:rPr>
              <w:t>“</w:t>
            </w:r>
            <w:r>
              <w:rPr>
                <w:rFonts w:ascii="宋体" w:hAnsi="宋体" w:cs="宋体" w:eastAsia="宋体" w:hint="default"/>
                <w:sz w:val="18"/>
                <w:szCs w:val="18"/>
              </w:rPr>
              <w:t>第三节公司业务概要 一、报告期内公司从事的主要业务</w:t>
            </w:r>
            <w:r>
              <w:rPr>
                <w:rFonts w:ascii="Times New Roman" w:hAnsi="Times New Roman" w:cs="Times New Roman" w:eastAsia="Times New Roman" w:hint="default"/>
                <w:sz w:val="18"/>
                <w:szCs w:val="18"/>
              </w:rPr>
              <w:t>”</w:t>
            </w:r>
            <w:r>
              <w:rPr>
                <w:rFonts w:ascii="宋体" w:hAnsi="宋体" w:cs="宋体" w:eastAsia="宋体" w:hint="default"/>
                <w:sz w:val="18"/>
                <w:szCs w:val="18"/>
              </w:rPr>
              <w:t>部分。</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五、其他有关资料" w:id="10"/>
      <w:bookmarkEnd w:id="10"/>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北京市朝阳区安定路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号楼中海国际中心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梁谦海、胡碟</w:t>
            </w:r>
          </w:p>
        </w:tc>
      </w:tr>
    </w:tbl>
    <w:p>
      <w:pPr>
        <w:pStyle w:val="BodyText"/>
        <w:spacing w:line="240" w:lineRule="auto" w:before="51"/>
        <w:ind w:right="0"/>
        <w:jc w:val="left"/>
      </w:pPr>
      <w:r>
        <w:rPr/>
        <w:t>公司聘请的报告期内履行持续督导职责的保荐机构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红塔证券股份有限公司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北京市西城区复兴门内大街</w:t>
            </w:r>
          </w:p>
          <w:p>
            <w:pPr>
              <w:pStyle w:val="TableParagraph"/>
              <w:spacing w:line="240" w:lineRule="auto" w:before="7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158 </w:t>
            </w:r>
            <w:r>
              <w:rPr>
                <w:rFonts w:ascii="宋体" w:hAnsi="宋体" w:cs="宋体" w:eastAsia="宋体" w:hint="default"/>
                <w:sz w:val="18"/>
                <w:szCs w:val="18"/>
              </w:rPr>
              <w:t>号远洋大厦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708A</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曹晋闻、何宁</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截止到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right="0"/>
        <w:jc w:val="left"/>
      </w:pPr>
      <w:r>
        <w:rPr/>
        <w:t>公司聘请的报告期内履行持续督导职责的财务顾问</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六、主要会计数据和财务指标" w:id="11"/>
      <w:bookmarkEnd w:id="11"/>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063"/>
        <w:gridCol w:w="1640"/>
        <w:gridCol w:w="1630"/>
        <w:gridCol w:w="1704"/>
        <w:gridCol w:w="1553"/>
      </w:tblGrid>
      <w:tr>
        <w:trPr>
          <w:trHeight w:val="402"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6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2,720,235,569.39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1,992,176,981.00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36.55%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1,320,802,031.31</w:t>
            </w:r>
          </w:p>
        </w:tc>
      </w:tr>
      <w:tr>
        <w:trPr>
          <w:trHeight w:val="402"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6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-841,464,317.58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306,943,384.51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218,609,712.88</w:t>
            </w:r>
          </w:p>
        </w:tc>
      </w:tr>
      <w:tr>
        <w:trPr>
          <w:trHeight w:val="714"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 损益的净利润（元）</w:t>
            </w:r>
          </w:p>
        </w:tc>
        <w:tc>
          <w:tcPr>
            <w:tcW w:w="16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-869,049,337.13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266,852,593.97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212,147,251.85</w:t>
            </w:r>
          </w:p>
        </w:tc>
      </w:tr>
      <w:tr>
        <w:trPr>
          <w:trHeight w:val="402"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6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442,286,465.26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127,919,925.53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245.75%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96,467,347.89</w:t>
            </w:r>
          </w:p>
        </w:tc>
      </w:tr>
      <w:tr>
        <w:trPr>
          <w:trHeight w:val="402"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-1.1838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0.4351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0.3106</w:t>
            </w:r>
          </w:p>
        </w:tc>
      </w:tr>
      <w:tr>
        <w:trPr>
          <w:trHeight w:val="402"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-1.1838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0.4351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0.3106</w:t>
            </w:r>
          </w:p>
        </w:tc>
      </w:tr>
      <w:tr>
        <w:trPr>
          <w:trHeight w:val="402"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6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-49.49%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-62.35%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10.60%</w:t>
            </w:r>
          </w:p>
        </w:tc>
      </w:tr>
      <w:tr>
        <w:trPr>
          <w:trHeight w:val="402"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6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3,277,058,167.32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4,707,752,786.27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2,795,870,631.63</w:t>
            </w:r>
          </w:p>
        </w:tc>
      </w:tr>
      <w:tr>
        <w:trPr>
          <w:trHeight w:val="402"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6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1,133,828,543.29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2,614,056,562.07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-56.63%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2,163,798,446.03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七、境内外会计准则下会计数据差异" w:id="12"/>
      <w:bookmarkEnd w:id="12"/>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同时按照境外会计准则与按照中国会计准则披露的财务报告中净利润和净资产差异情况" w:id="14"/>
      <w:bookmarkEnd w:id="14"/>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5"/>
      <w:bookmarkEnd w:id="15"/>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418,189,044.75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594,997,411.13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684,022,818.80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1,023,026,294.71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7,448,361.08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76,965,952.25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82,874,518.50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-1,008,753,149.41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6,680,656.69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68,579,501.07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78,146,717.90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-1,022,456,212.79</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-254,623,092.80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-67,109,290.92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128,559,266.71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635,459,582.28</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九、非经常性损益项目及金额" w:id="16"/>
      <w:bookmarkEnd w:id="16"/>
      <w:r>
        <w:rPr>
          <w:b w:val="0"/>
          <w:bCs w:val="0"/>
        </w:rPr>
      </w:r>
      <w:r>
        <w:rPr/>
        <w:t>九、非经常性损益项目及金额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4281"/>
        <w:gridCol w:w="1092"/>
        <w:gridCol w:w="1091"/>
        <w:gridCol w:w="1001"/>
        <w:gridCol w:w="2219"/>
      </w:tblGrid>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2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4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jc w:val="left"/>
              <w:rPr>
                <w:rFonts w:ascii="宋体" w:hAnsi="宋体" w:cs="宋体" w:eastAsia="宋体" w:hint="default"/>
                <w:sz w:val="18"/>
                <w:szCs w:val="18"/>
              </w:rPr>
            </w:pPr>
            <w:r>
              <w:rPr>
                <w:rFonts w:ascii="宋体" w:hAnsi="宋体" w:cs="宋体" w:eastAsia="宋体" w:hint="default"/>
                <w:spacing w:val="-4"/>
                <w:sz w:val="18"/>
                <w:szCs w:val="18"/>
              </w:rPr>
              <w:t>非流动资产处置损益（包括已计提资产减值准备的冲销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部分）</w:t>
            </w:r>
          </w:p>
        </w:tc>
        <w:tc>
          <w:tcPr>
            <w:tcW w:w="10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-974,670.21</w:t>
            </w:r>
            <w:r>
              <w:rPr>
                <w:rFonts w:ascii="Times New Roman"/>
                <w:sz w:val="18"/>
              </w:rPr>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28,135,291.28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-224,010.15</w:t>
            </w:r>
          </w:p>
        </w:tc>
        <w:tc>
          <w:tcPr>
            <w:tcW w:w="221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jc w:val="left"/>
              <w:rPr>
                <w:rFonts w:ascii="宋体" w:hAnsi="宋体" w:cs="宋体" w:eastAsia="宋体" w:hint="default"/>
                <w:sz w:val="18"/>
                <w:szCs w:val="18"/>
              </w:rPr>
            </w:pPr>
            <w:r>
              <w:rPr>
                <w:rFonts w:ascii="宋体" w:hAnsi="宋体" w:cs="宋体" w:eastAsia="宋体" w:hint="default"/>
                <w:spacing w:val="-4"/>
                <w:sz w:val="18"/>
                <w:szCs w:val="18"/>
              </w:rPr>
              <w:t>计入当期损益的政府补助（与企业业务密切相关，按照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国家统一标准定额或定量享受的政府补助除外）</w:t>
            </w:r>
          </w:p>
        </w:tc>
        <w:tc>
          <w:tcPr>
            <w:tcW w:w="10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16,258,217.01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14,612,748.28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7,796,435.38</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主要系报告期收到政府补助 所致</w:t>
            </w:r>
          </w:p>
        </w:tc>
      </w:tr>
      <w:tr>
        <w:trPr>
          <w:trHeight w:val="161" w:hRule="exact"/>
        </w:trPr>
        <w:tc>
          <w:tcPr>
            <w:tcW w:w="42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2"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23,212,289.03</w:t>
            </w:r>
          </w:p>
        </w:tc>
        <w:tc>
          <w:tcPr>
            <w:tcW w:w="109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8" w:right="0"/>
              <w:jc w:val="left"/>
              <w:rPr>
                <w:rFonts w:ascii="Times New Roman" w:hAnsi="Times New Roman" w:cs="Times New Roman" w:eastAsia="Times New Roman" w:hint="default"/>
                <w:sz w:val="18"/>
                <w:szCs w:val="18"/>
              </w:rPr>
            </w:pPr>
            <w:r>
              <w:rPr>
                <w:rFonts w:ascii="Times New Roman"/>
                <w:sz w:val="18"/>
              </w:rPr>
              <w:t>770,852.79</w:t>
            </w:r>
          </w:p>
        </w:tc>
        <w:tc>
          <w:tcPr>
            <w:tcW w:w="1001" w:type="dxa"/>
            <w:vMerge w:val="restart"/>
            <w:tcBorders>
              <w:top w:val="single" w:sz="4" w:space="0" w:color="000000"/>
              <w:left w:val="single" w:sz="4" w:space="0" w:color="000000"/>
              <w:right w:val="single" w:sz="4" w:space="0" w:color="000000"/>
            </w:tcBorders>
          </w:tcPr>
          <w:p>
            <w:pPr/>
          </w:p>
        </w:tc>
        <w:tc>
          <w:tcPr>
            <w:tcW w:w="2219"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主要系报告期使用暂时闲置 募集资金理财产生的收益</w:t>
            </w:r>
          </w:p>
        </w:tc>
      </w:tr>
      <w:tr>
        <w:trPr>
          <w:trHeight w:val="392" w:hRule="exact"/>
        </w:trPr>
        <w:tc>
          <w:tcPr>
            <w:tcW w:w="42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092" w:type="dxa"/>
            <w:vMerge/>
            <w:tcBorders>
              <w:left w:val="single" w:sz="9" w:space="0" w:color="D2D2D2"/>
              <w:right w:val="single" w:sz="4" w:space="0" w:color="000000"/>
            </w:tcBorders>
          </w:tcPr>
          <w:p>
            <w:pPr/>
          </w:p>
        </w:tc>
        <w:tc>
          <w:tcPr>
            <w:tcW w:w="1091"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2219" w:type="dxa"/>
            <w:vMerge/>
            <w:tcBorders>
              <w:left w:val="single" w:sz="4" w:space="0" w:color="000000"/>
              <w:right w:val="single" w:sz="4" w:space="0" w:color="000000"/>
            </w:tcBorders>
          </w:tcPr>
          <w:p>
            <w:pPr/>
          </w:p>
        </w:tc>
      </w:tr>
      <w:tr>
        <w:trPr>
          <w:trHeight w:val="161" w:hRule="exact"/>
        </w:trPr>
        <w:tc>
          <w:tcPr>
            <w:tcW w:w="42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vMerge/>
            <w:tcBorders>
              <w:left w:val="single" w:sz="9" w:space="0" w:color="D2D2D2"/>
              <w:bottom w:val="single" w:sz="4" w:space="0" w:color="000000"/>
              <w:right w:val="single" w:sz="4" w:space="0" w:color="000000"/>
            </w:tcBorders>
          </w:tcPr>
          <w:p>
            <w:pPr/>
          </w:p>
        </w:tc>
        <w:tc>
          <w:tcPr>
            <w:tcW w:w="1091"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2219" w:type="dxa"/>
            <w:vMerge/>
            <w:tcBorders>
              <w:left w:val="single" w:sz="4" w:space="0" w:color="000000"/>
              <w:bottom w:val="single" w:sz="4" w:space="0" w:color="000000"/>
              <w:right w:val="single" w:sz="4" w:space="0" w:color="000000"/>
            </w:tcBorders>
          </w:tcPr>
          <w:p>
            <w:pP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0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1,040,583.95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6,984,902.66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5" w:right="0"/>
              <w:jc w:val="center"/>
              <w:rPr>
                <w:rFonts w:ascii="Times New Roman" w:hAnsi="Times New Roman" w:cs="Times New Roman" w:eastAsia="Times New Roman" w:hint="default"/>
                <w:sz w:val="18"/>
                <w:szCs w:val="18"/>
              </w:rPr>
            </w:pPr>
            <w:r>
              <w:rPr>
                <w:rFonts w:ascii="Times New Roman"/>
                <w:sz w:val="18"/>
              </w:rPr>
              <w:t>262,419.44</w:t>
            </w:r>
          </w:p>
        </w:tc>
        <w:tc>
          <w:tcPr>
            <w:tcW w:w="22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0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-7,623,000.00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-2,252,250.00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0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4,162,842.15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1,896,524.89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1,031,901.03</w:t>
            </w:r>
          </w:p>
        </w:tc>
        <w:tc>
          <w:tcPr>
            <w:tcW w:w="22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0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165,558.08</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6,264,229.58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5" w:right="0"/>
              <w:jc w:val="center"/>
              <w:rPr>
                <w:rFonts w:ascii="Times New Roman" w:hAnsi="Times New Roman" w:cs="Times New Roman" w:eastAsia="Times New Roman" w:hint="default"/>
                <w:sz w:val="18"/>
                <w:szCs w:val="18"/>
              </w:rPr>
            </w:pPr>
            <w:r>
              <w:rPr>
                <w:rFonts w:ascii="Times New Roman"/>
                <w:sz w:val="18"/>
              </w:rPr>
              <w:t>340,482.61</w:t>
            </w:r>
          </w:p>
        </w:tc>
        <w:tc>
          <w:tcPr>
            <w:tcW w:w="22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27,585,019.55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40,090,790.54</w:t>
            </w:r>
          </w:p>
        </w:tc>
        <w:tc>
          <w:tcPr>
            <w:tcW w:w="100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6,462,461.03</w:t>
            </w:r>
          </w:p>
        </w:tc>
        <w:tc>
          <w:tcPr>
            <w:tcW w:w="2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3"/>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7"/>
      <w:bookmarkEnd w:id="17"/>
      <w:r>
        <w:rPr>
          <w:b w:val="0"/>
          <w:bCs w:val="0"/>
        </w:rPr>
      </w:r>
      <w:bookmarkStart w:name="_bookmark1" w:id="18"/>
      <w:bookmarkEnd w:id="18"/>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9"/>
      <w:bookmarkEnd w:id="19"/>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240" w:lineRule="auto" w:before="26"/>
        <w:ind w:right="0"/>
        <w:jc w:val="both"/>
      </w:pPr>
      <w:r>
        <w:rPr/>
        <w:t>软件与信息技术服务业</w:t>
      </w:r>
    </w:p>
    <w:p>
      <w:pPr>
        <w:pStyle w:val="BodyText"/>
        <w:spacing w:line="240" w:lineRule="auto" w:before="116"/>
        <w:ind w:right="0"/>
        <w:jc w:val="both"/>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300" w:lineRule="auto"/>
        <w:ind w:right="1130"/>
        <w:jc w:val="both"/>
      </w:pPr>
      <w:r>
        <w:rPr/>
        <w:t>当前世界正在进入以信息产业为主导的经济发展时期，党的十九大提出</w:t>
      </w:r>
      <w:r>
        <w:rPr>
          <w:rFonts w:ascii="Times New Roman" w:hAnsi="Times New Roman" w:cs="Times New Roman" w:eastAsia="Times New Roman" w:hint="default"/>
        </w:rPr>
        <w:t>“</w:t>
      </w:r>
      <w:r>
        <w:rPr/>
        <w:t>建设网络强国、数字中国、智慧社会，加强信息基 础设施建设，推动互联网、大数据、人工智能和实体经济深度融合</w:t>
      </w:r>
      <w:r>
        <w:rPr>
          <w:rFonts w:ascii="Times New Roman" w:hAnsi="Times New Roman" w:cs="Times New Roman" w:eastAsia="Times New Roman" w:hint="default"/>
        </w:rPr>
        <w:t>”</w:t>
      </w:r>
      <w:r>
        <w:rPr/>
        <w:t>的战略部署。软件作为数字经济的重要驱动力，在国家 </w:t>
      </w:r>
      <w:r>
        <w:rPr>
          <w:spacing w:val="-2"/>
        </w:rPr>
        <w:t>政策大力支持下，产业结构持续优化，根据工业和信息化部的经济运行情况数据显示，</w:t>
      </w:r>
      <w:r>
        <w:rPr>
          <w:rFonts w:ascii="Times New Roman" w:hAnsi="Times New Roman" w:cs="Times New Roman" w:eastAsia="Times New Roman" w:hint="default"/>
          <w:spacing w:val="-2"/>
        </w:rPr>
        <w:t>2018</w:t>
      </w:r>
      <w:r>
        <w:rPr>
          <w:spacing w:val="-2"/>
        </w:rPr>
        <w:t>年全年我国软件和信息技术服务</w:t>
      </w:r>
      <w:r>
        <w:rPr>
          <w:spacing w:val="-61"/>
        </w:rPr>
        <w:t> </w:t>
      </w:r>
      <w:r>
        <w:rPr/>
        <w:t>业收入和效益稳步增长，完成软件业务收入</w:t>
      </w:r>
      <w:r>
        <w:rPr>
          <w:rFonts w:ascii="Times New Roman" w:hAnsi="Times New Roman" w:cs="Times New Roman" w:eastAsia="Times New Roman" w:hint="default"/>
        </w:rPr>
        <w:t>6.31</w:t>
      </w:r>
      <w:r>
        <w:rPr/>
        <w:t>万亿元，同比增加</w:t>
      </w:r>
      <w:r>
        <w:rPr>
          <w:rFonts w:ascii="Times New Roman" w:hAnsi="Times New Roman" w:cs="Times New Roman" w:eastAsia="Times New Roman" w:hint="default"/>
        </w:rPr>
        <w:t>14.2%</w:t>
      </w:r>
      <w:r>
        <w:rPr/>
        <w:t>，实现利润总额</w:t>
      </w:r>
      <w:r>
        <w:rPr>
          <w:rFonts w:ascii="Times New Roman" w:hAnsi="Times New Roman" w:cs="Times New Roman" w:eastAsia="Times New Roman" w:hint="default"/>
        </w:rPr>
        <w:t>8,079</w:t>
      </w:r>
      <w:r>
        <w:rPr/>
        <w:t>亿元，同比增加</w:t>
      </w:r>
      <w:r>
        <w:rPr>
          <w:rFonts w:ascii="Times New Roman" w:hAnsi="Times New Roman" w:cs="Times New Roman" w:eastAsia="Times New Roman" w:hint="default"/>
        </w:rPr>
        <w:t>9.7%</w:t>
      </w:r>
      <w:r>
        <w:rPr/>
        <w:t>。</w:t>
      </w:r>
    </w:p>
    <w:p>
      <w:pPr>
        <w:spacing w:line="240" w:lineRule="auto" w:before="11"/>
        <w:rPr>
          <w:rFonts w:ascii="宋体" w:hAnsi="宋体" w:cs="宋体" w:eastAsia="宋体" w:hint="default"/>
          <w:sz w:val="24"/>
          <w:szCs w:val="24"/>
        </w:rPr>
      </w:pPr>
    </w:p>
    <w:p>
      <w:pPr>
        <w:pStyle w:val="BodyText"/>
        <w:spacing w:line="300" w:lineRule="auto"/>
        <w:ind w:right="1130"/>
        <w:jc w:val="both"/>
      </w:pPr>
      <w:r>
        <w:rPr>
          <w:spacing w:val="-3"/>
        </w:rPr>
        <w:t>当下，新一代信息技术和实体经济处于融合发展的突破口，</w:t>
      </w:r>
      <w:r>
        <w:rPr>
          <w:rFonts w:ascii="Times New Roman" w:hAnsi="Times New Roman" w:cs="Times New Roman" w:eastAsia="Times New Roman" w:hint="default"/>
          <w:spacing w:val="-3"/>
        </w:rPr>
        <w:t>“</w:t>
      </w:r>
      <w:r>
        <w:rPr>
          <w:spacing w:val="-3"/>
        </w:rPr>
        <w:t>以数据为驱动</w:t>
      </w:r>
      <w:r>
        <w:rPr>
          <w:rFonts w:ascii="Times New Roman" w:hAnsi="Times New Roman" w:cs="Times New Roman" w:eastAsia="Times New Roman" w:hint="default"/>
          <w:spacing w:val="-3"/>
        </w:rPr>
        <w:t>”</w:t>
      </w:r>
      <w:r>
        <w:rPr>
          <w:spacing w:val="-3"/>
        </w:rPr>
        <w:t>成为软件产业发展的突出特征。久其大数据以</w:t>
      </w:r>
      <w:r>
        <w:rPr>
          <w:rFonts w:ascii="Times New Roman" w:hAnsi="Times New Roman" w:cs="Times New Roman" w:eastAsia="Times New Roman" w:hint="default"/>
          <w:spacing w:val="-3"/>
        </w:rPr>
        <w:t>“</w:t>
      </w:r>
      <w:r>
        <w:rPr>
          <w:spacing w:val="-3"/>
        </w:rPr>
        <w:t>服</w:t>
      </w:r>
      <w:r>
        <w:rPr>
          <w:spacing w:val="-64"/>
        </w:rPr>
        <w:t> </w:t>
      </w:r>
      <w:r>
        <w:rPr/>
        <w:t>务政企、成就价值</w:t>
      </w:r>
      <w:r>
        <w:rPr>
          <w:rFonts w:ascii="Times New Roman" w:hAnsi="Times New Roman" w:cs="Times New Roman" w:eastAsia="Times New Roman" w:hint="default"/>
        </w:rPr>
        <w:t>”</w:t>
      </w:r>
      <w:r>
        <w:rPr/>
        <w:t>为目标，基于强大的技术研发能力和丰富的业务实践经验，以管理软件和数字传播为业务载体，从大数 </w:t>
      </w:r>
      <w:r>
        <w:rPr>
          <w:spacing w:val="-2"/>
        </w:rPr>
        <w:t>据咨询、大数据管理软件平台及产品研发、大数据解决方案等方面全面提升</w:t>
      </w:r>
      <w:r>
        <w:rPr>
          <w:rFonts w:ascii="Times New Roman" w:hAnsi="Times New Roman" w:cs="Times New Roman" w:eastAsia="Times New Roman" w:hint="default"/>
          <w:spacing w:val="-2"/>
        </w:rPr>
        <w:t>B2B2C</w:t>
      </w:r>
      <w:r>
        <w:rPr>
          <w:spacing w:val="-2"/>
        </w:rPr>
        <w:t>的大数据综合服务能力，加速构建大数据</w:t>
      </w:r>
      <w:r>
        <w:rPr>
          <w:spacing w:val="-66"/>
        </w:rPr>
        <w:t> </w:t>
      </w:r>
      <w:r>
        <w:rPr>
          <w:spacing w:val="-66"/>
        </w:rPr>
      </w:r>
      <w:r>
        <w:rPr/>
        <w:t>生态体系，为政企客户赋能。</w:t>
      </w:r>
    </w:p>
    <w:p>
      <w:pPr>
        <w:spacing w:line="240" w:lineRule="auto" w:before="4"/>
        <w:rPr>
          <w:rFonts w:ascii="宋体" w:hAnsi="宋体" w:cs="宋体" w:eastAsia="宋体" w:hint="default"/>
          <w:sz w:val="26"/>
          <w:szCs w:val="26"/>
        </w:rPr>
      </w:pPr>
    </w:p>
    <w:p>
      <w:pPr>
        <w:pStyle w:val="BodyText"/>
        <w:spacing w:line="316" w:lineRule="auto"/>
        <w:ind w:right="1130"/>
        <w:jc w:val="both"/>
      </w:pPr>
      <w:r>
        <w:rPr>
          <w:spacing w:val="-5"/>
        </w:rPr>
        <w:t>目前公司主营业务系管理软件（包括电子政务和集团管控）和数字传播两大业务板块。管理软件作为公司传统优势业务板块，</w:t>
      </w:r>
      <w:r>
        <w:rPr>
          <w:spacing w:val="-79"/>
        </w:rPr>
        <w:t> </w:t>
      </w:r>
      <w:r>
        <w:rPr>
          <w:spacing w:val="-79"/>
        </w:rPr>
      </w:r>
      <w:r>
        <w:rPr>
          <w:spacing w:val="-2"/>
        </w:rPr>
        <w:t>二十多年来持续发力，提供咨询、规划、研发、实施、运维、服务等全价值链产品及服务，在财政、交通、司法、民生、建</w:t>
      </w:r>
      <w:r>
        <w:rPr>
          <w:spacing w:val="-71"/>
        </w:rPr>
        <w:t> </w:t>
      </w:r>
      <w:r>
        <w:rPr>
          <w:spacing w:val="-71"/>
        </w:rPr>
      </w:r>
      <w:r>
        <w:rPr>
          <w:spacing w:val="-2"/>
        </w:rPr>
        <w:t>筑、通信、金融、军工、能源等领域，为中央及地方政府部门和集团企业提供完整的业务、管理以及大数据解决方案。公司</w:t>
      </w:r>
      <w:r>
        <w:rPr>
          <w:spacing w:val="-72"/>
        </w:rPr>
        <w:t> </w:t>
      </w:r>
      <w:r>
        <w:rPr>
          <w:spacing w:val="-72"/>
        </w:rPr>
      </w:r>
      <w:r>
        <w:rPr>
          <w:spacing w:val="-2"/>
        </w:rPr>
        <w:t>数字传播业务在不断变化的市场和日益激烈的竞争环境下，将大数据作为传播的重要驱动力，将智能化、差异化服务作为核</w:t>
      </w:r>
      <w:r>
        <w:rPr>
          <w:spacing w:val="-65"/>
        </w:rPr>
        <w:t> </w:t>
      </w:r>
      <w:r>
        <w:rPr>
          <w:spacing w:val="-65"/>
        </w:rPr>
      </w:r>
      <w:r>
        <w:rPr>
          <w:spacing w:val="-2"/>
        </w:rPr>
        <w:t>心竞争力之一，优势整合公司旗下移动营销、品牌出海营销和社会化营销业务，推进技术、客户和业务资源的融合，为品牌</w:t>
      </w:r>
      <w:r>
        <w:rPr>
          <w:spacing w:val="-66"/>
        </w:rPr>
        <w:t> </w:t>
      </w:r>
      <w:r>
        <w:rPr>
          <w:spacing w:val="-66"/>
        </w:rPr>
      </w:r>
      <w:r>
        <w:rPr/>
        <w:t>客户提供自动化、数据化、全球化和全渠道的一站式数字传播服务。</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二、主要资产重大变化情况" w:id="20"/>
      <w:bookmarkEnd w:id="20"/>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主要资产重大变化情况" w:id="21"/>
      <w:bookmarkEnd w:id="21"/>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3005"/>
        <w:gridCol w:w="6690"/>
      </w:tblGrid>
      <w:tr>
        <w:trPr>
          <w:trHeight w:val="764" w:hRule="exact"/>
        </w:trPr>
        <w:tc>
          <w:tcPr>
            <w:tcW w:w="3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报告期内无重大变化</w:t>
            </w: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报告期内无重大变化</w:t>
            </w:r>
          </w:p>
        </w:tc>
      </w:tr>
      <w:tr>
        <w:trPr>
          <w:trHeight w:val="402" w:hRule="exact"/>
        </w:trPr>
        <w:tc>
          <w:tcPr>
            <w:tcW w:w="30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报告期内无重大变化</w:t>
            </w:r>
          </w:p>
        </w:tc>
      </w:tr>
      <w:tr>
        <w:trPr>
          <w:trHeight w:val="714" w:hRule="exact"/>
        </w:trPr>
        <w:tc>
          <w:tcPr>
            <w:tcW w:w="30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6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在建工程期末账面价值为 </w:t>
            </w:r>
            <w:r>
              <w:rPr>
                <w:rFonts w:ascii="Times New Roman" w:hAnsi="Times New Roman" w:cs="Times New Roman" w:eastAsia="Times New Roman" w:hint="default"/>
                <w:sz w:val="18"/>
                <w:szCs w:val="18"/>
              </w:rPr>
              <w:t>8,122.46 </w:t>
            </w:r>
            <w:r>
              <w:rPr>
                <w:rFonts w:ascii="宋体" w:hAnsi="宋体" w:cs="宋体" w:eastAsia="宋体" w:hint="default"/>
                <w:sz w:val="18"/>
                <w:szCs w:val="18"/>
              </w:rPr>
              <w:t>万元，较年初增加</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60.80%</w:t>
            </w:r>
            <w:r>
              <w:rPr>
                <w:rFonts w:ascii="宋体" w:hAnsi="宋体" w:cs="宋体" w:eastAsia="宋体" w:hint="default"/>
                <w:sz w:val="18"/>
                <w:szCs w:val="18"/>
              </w:rPr>
              <w:t>，主要系报告期内久其 政务研发中心建设正常开展所致</w:t>
            </w:r>
          </w:p>
        </w:tc>
      </w:tr>
      <w:tr>
        <w:trPr>
          <w:trHeight w:val="714" w:hRule="exact"/>
        </w:trPr>
        <w:tc>
          <w:tcPr>
            <w:tcW w:w="30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66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预付账款期末账面价值为 </w:t>
            </w:r>
            <w:r>
              <w:rPr>
                <w:rFonts w:ascii="Times New Roman" w:hAnsi="Times New Roman" w:cs="Times New Roman" w:eastAsia="Times New Roman" w:hint="default"/>
                <w:sz w:val="18"/>
                <w:szCs w:val="18"/>
              </w:rPr>
              <w:t>7,088.36 </w:t>
            </w:r>
            <w:r>
              <w:rPr>
                <w:rFonts w:ascii="宋体" w:hAnsi="宋体" w:cs="宋体" w:eastAsia="宋体" w:hint="default"/>
                <w:sz w:val="18"/>
                <w:szCs w:val="18"/>
              </w:rPr>
              <w:t>万元，较年初增加</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59.42%</w:t>
            </w:r>
            <w:r>
              <w:rPr>
                <w:rFonts w:ascii="宋体" w:hAnsi="宋体" w:cs="宋体" w:eastAsia="宋体" w:hint="default"/>
                <w:sz w:val="18"/>
                <w:szCs w:val="18"/>
              </w:rPr>
              <w:t>，主要系报告期内数字 传播业务规模扩大预付的媒体资源成本增加所致</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21" w:type="dxa"/>
        <w:tblLayout w:type="fixed"/>
        <w:tblCellMar>
          <w:top w:w="0" w:type="dxa"/>
          <w:left w:w="0" w:type="dxa"/>
          <w:bottom w:w="0" w:type="dxa"/>
          <w:right w:w="0" w:type="dxa"/>
        </w:tblCellMar>
        <w:tblLook w:val="01E0"/>
      </w:tblPr>
      <w:tblGrid>
        <w:gridCol w:w="3005"/>
        <w:gridCol w:w="6690"/>
      </w:tblGrid>
      <w:tr>
        <w:trPr>
          <w:trHeight w:val="764" w:hRule="exact"/>
        </w:trPr>
        <w:tc>
          <w:tcPr>
            <w:tcW w:w="3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714" w:hRule="exact"/>
        </w:trPr>
        <w:tc>
          <w:tcPr>
            <w:tcW w:w="30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应收保理款</w:t>
            </w:r>
          </w:p>
        </w:tc>
        <w:tc>
          <w:tcPr>
            <w:tcW w:w="66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应收保理款期末账面价值为 </w:t>
            </w:r>
            <w:r>
              <w:rPr>
                <w:rFonts w:ascii="Times New Roman" w:hAnsi="Times New Roman" w:cs="Times New Roman" w:eastAsia="Times New Roman" w:hint="default"/>
                <w:sz w:val="18"/>
                <w:szCs w:val="18"/>
              </w:rPr>
              <w:t>13,012.53 </w:t>
            </w:r>
            <w:r>
              <w:rPr>
                <w:rFonts w:ascii="宋体" w:hAnsi="宋体" w:cs="宋体" w:eastAsia="宋体" w:hint="default"/>
                <w:spacing w:val="-6"/>
                <w:sz w:val="18"/>
                <w:szCs w:val="18"/>
              </w:rPr>
              <w:t>万元，较年初减少</w:t>
            </w:r>
            <w:r>
              <w:rPr>
                <w:rFonts w:ascii="宋体" w:hAnsi="宋体" w:cs="宋体" w:eastAsia="宋体" w:hint="default"/>
                <w:spacing w:val="-32"/>
                <w:sz w:val="18"/>
                <w:szCs w:val="18"/>
              </w:rPr>
              <w:t> </w:t>
            </w:r>
            <w:r>
              <w:rPr>
                <w:rFonts w:ascii="Times New Roman" w:hAnsi="Times New Roman" w:cs="Times New Roman" w:eastAsia="Times New Roman" w:hint="default"/>
                <w:spacing w:val="-4"/>
                <w:sz w:val="18"/>
                <w:szCs w:val="18"/>
              </w:rPr>
              <w:t>48.59%</w:t>
            </w:r>
            <w:r>
              <w:rPr>
                <w:rFonts w:ascii="宋体" w:hAnsi="宋体" w:cs="宋体" w:eastAsia="宋体" w:hint="default"/>
                <w:spacing w:val="-4"/>
                <w:sz w:val="18"/>
                <w:szCs w:val="18"/>
              </w:rPr>
              <w:t>，主要系报告期内久</w:t>
            </w:r>
            <w:r>
              <w:rPr>
                <w:rFonts w:ascii="宋体" w:hAnsi="宋体" w:cs="宋体" w:eastAsia="宋体" w:hint="default"/>
                <w:sz w:val="18"/>
                <w:szCs w:val="18"/>
              </w:rPr>
              <w:t> 金保归还银行借款降低业务规模以及计提坏账损失所致</w:t>
            </w:r>
          </w:p>
        </w:tc>
      </w:tr>
      <w:tr>
        <w:trPr>
          <w:trHeight w:val="714" w:hRule="exact"/>
        </w:trPr>
        <w:tc>
          <w:tcPr>
            <w:tcW w:w="30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6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存货期末账面价值为 </w:t>
            </w:r>
            <w:r>
              <w:rPr>
                <w:rFonts w:ascii="Times New Roman" w:hAnsi="Times New Roman" w:cs="Times New Roman" w:eastAsia="Times New Roman" w:hint="default"/>
                <w:sz w:val="18"/>
                <w:szCs w:val="18"/>
              </w:rPr>
              <w:t>2,399.13 </w:t>
            </w:r>
            <w:r>
              <w:rPr>
                <w:rFonts w:ascii="宋体" w:hAnsi="宋体" w:cs="宋体" w:eastAsia="宋体" w:hint="default"/>
                <w:sz w:val="18"/>
                <w:szCs w:val="18"/>
              </w:rPr>
              <w:t>万元，较年初减少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57.66%</w:t>
            </w:r>
            <w:r>
              <w:rPr>
                <w:rFonts w:ascii="宋体" w:hAnsi="宋体" w:cs="宋体" w:eastAsia="宋体" w:hint="default"/>
                <w:sz w:val="18"/>
                <w:szCs w:val="18"/>
              </w:rPr>
              <w:t>，主要系报告期内华夏电通 项目验收结转所致</w:t>
            </w:r>
          </w:p>
        </w:tc>
      </w:tr>
      <w:tr>
        <w:trPr>
          <w:trHeight w:val="714" w:hRule="exact"/>
        </w:trPr>
        <w:tc>
          <w:tcPr>
            <w:tcW w:w="30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6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开发支出期末账面价值为 </w:t>
            </w:r>
            <w:r>
              <w:rPr>
                <w:rFonts w:ascii="Times New Roman" w:hAnsi="Times New Roman" w:cs="Times New Roman" w:eastAsia="Times New Roman" w:hint="default"/>
                <w:sz w:val="18"/>
                <w:szCs w:val="18"/>
              </w:rPr>
              <w:t>1,602.64 </w:t>
            </w:r>
            <w:r>
              <w:rPr>
                <w:rFonts w:ascii="宋体" w:hAnsi="宋体" w:cs="宋体" w:eastAsia="宋体" w:hint="default"/>
                <w:sz w:val="18"/>
                <w:szCs w:val="18"/>
              </w:rPr>
              <w:t>万元，年初为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元，主要系报告期新增久其国资 监管平台开发项目所致</w:t>
            </w:r>
          </w:p>
        </w:tc>
      </w:tr>
      <w:tr>
        <w:trPr>
          <w:trHeight w:val="714" w:hRule="exact"/>
        </w:trPr>
        <w:tc>
          <w:tcPr>
            <w:tcW w:w="30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6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商誉期末账面价值为 </w:t>
            </w:r>
            <w:r>
              <w:rPr>
                <w:rFonts w:ascii="Times New Roman" w:hAnsi="Times New Roman" w:cs="Times New Roman" w:eastAsia="Times New Roman" w:hint="default"/>
                <w:sz w:val="18"/>
                <w:szCs w:val="18"/>
              </w:rPr>
              <w:t>60,123.56 </w:t>
            </w:r>
            <w:r>
              <w:rPr>
                <w:rFonts w:ascii="宋体" w:hAnsi="宋体" w:cs="宋体" w:eastAsia="宋体" w:hint="default"/>
                <w:spacing w:val="-6"/>
                <w:sz w:val="18"/>
                <w:szCs w:val="18"/>
              </w:rPr>
              <w:t>万元，较年初减少</w:t>
            </w:r>
            <w:r>
              <w:rPr>
                <w:rFonts w:ascii="宋体" w:hAnsi="宋体" w:cs="宋体" w:eastAsia="宋体" w:hint="default"/>
                <w:spacing w:val="-34"/>
                <w:sz w:val="18"/>
                <w:szCs w:val="18"/>
              </w:rPr>
              <w:t> </w:t>
            </w:r>
            <w:r>
              <w:rPr>
                <w:rFonts w:ascii="Times New Roman" w:hAnsi="Times New Roman" w:cs="Times New Roman" w:eastAsia="Times New Roman" w:hint="default"/>
                <w:spacing w:val="-3"/>
                <w:sz w:val="18"/>
                <w:szCs w:val="18"/>
              </w:rPr>
              <w:t>64.18%</w:t>
            </w:r>
            <w:r>
              <w:rPr>
                <w:rFonts w:ascii="宋体" w:hAnsi="宋体" w:cs="宋体" w:eastAsia="宋体" w:hint="default"/>
                <w:spacing w:val="-3"/>
                <w:sz w:val="18"/>
                <w:szCs w:val="18"/>
              </w:rPr>
              <w:t>，主要系报告期计提上海移</w:t>
            </w:r>
            <w:r>
              <w:rPr>
                <w:rFonts w:ascii="宋体" w:hAnsi="宋体" w:cs="宋体" w:eastAsia="宋体" w:hint="default"/>
                <w:sz w:val="18"/>
                <w:szCs w:val="18"/>
              </w:rPr>
              <w:t> 通、亿起联科技、瑞意恒动商誉减值所致</w:t>
            </w:r>
          </w:p>
        </w:tc>
      </w:tr>
      <w:tr>
        <w:trPr>
          <w:trHeight w:val="714" w:hRule="exact"/>
        </w:trPr>
        <w:tc>
          <w:tcPr>
            <w:tcW w:w="30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6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递延所得税期末账面价值为 </w:t>
            </w:r>
            <w:r>
              <w:rPr>
                <w:rFonts w:ascii="Times New Roman" w:hAnsi="Times New Roman" w:cs="Times New Roman" w:eastAsia="Times New Roman" w:hint="default"/>
                <w:sz w:val="18"/>
                <w:szCs w:val="18"/>
              </w:rPr>
              <w:t>988.24 </w:t>
            </w:r>
            <w:r>
              <w:rPr>
                <w:rFonts w:ascii="宋体" w:hAnsi="宋体" w:cs="宋体" w:eastAsia="宋体" w:hint="default"/>
                <w:sz w:val="18"/>
                <w:szCs w:val="18"/>
              </w:rPr>
              <w:t>万元，较年初增加</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172.20%</w:t>
            </w:r>
            <w:r>
              <w:rPr>
                <w:rFonts w:ascii="宋体" w:hAnsi="宋体" w:cs="宋体" w:eastAsia="宋体" w:hint="default"/>
                <w:sz w:val="18"/>
                <w:szCs w:val="18"/>
              </w:rPr>
              <w:t>，主要系报告期久金 保计提坏账损失所致</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both"/>
        <w:rPr>
          <w:b w:val="0"/>
          <w:bCs w:val="0"/>
        </w:rPr>
      </w:pPr>
      <w:bookmarkStart w:name="2、主要境外资产情况" w:id="22"/>
      <w:bookmarkEnd w:id="22"/>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三、核心竞争力分析" w:id="23"/>
      <w:bookmarkEnd w:id="23"/>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9"/>
        <w:ind w:right="0"/>
        <w:jc w:val="both"/>
      </w:pPr>
      <w:r>
        <w:rPr/>
        <w:t>软件与信息技术服务业</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7"/>
          <w:szCs w:val="17"/>
        </w:rPr>
      </w:pPr>
    </w:p>
    <w:p>
      <w:pPr>
        <w:pStyle w:val="BodyText"/>
        <w:spacing w:line="314" w:lineRule="auto"/>
        <w:ind w:right="1032"/>
        <w:jc w:val="left"/>
      </w:pPr>
      <w:r>
        <w:rPr>
          <w:spacing w:val="-2"/>
        </w:rPr>
        <w:t>公司不断推进和落实大数据发展战略，以核心大数据应用平台为驱动，建立全面的应用产品与方案体系。久其大数据应用开</w:t>
      </w:r>
      <w:r>
        <w:rPr>
          <w:spacing w:val="-66"/>
        </w:rPr>
        <w:t> </w:t>
      </w:r>
      <w:r>
        <w:rPr>
          <w:spacing w:val="-66"/>
        </w:rPr>
      </w:r>
      <w:r>
        <w:rPr>
          <w:spacing w:val="-2"/>
        </w:rPr>
        <w:t>发平台包括数据采集与整合、数据处理与管理、数据服务与洞察等三个子平台，集合数据采集、数据集成、数据处理、数据</w:t>
      </w:r>
      <w:r>
        <w:rPr>
          <w:spacing w:val="-68"/>
        </w:rPr>
        <w:t> </w:t>
      </w:r>
      <w:r>
        <w:rPr>
          <w:spacing w:val="-68"/>
        </w:rPr>
      </w:r>
      <w:r>
        <w:rPr>
          <w:spacing w:val="-2"/>
        </w:rPr>
        <w:t>建模、数据资产管理、数据存储管理、数据共享交换、企业级</w:t>
      </w:r>
      <w:r>
        <w:rPr>
          <w:rFonts w:ascii="Times New Roman" w:hAnsi="Times New Roman" w:cs="Times New Roman" w:eastAsia="Times New Roman" w:hint="default"/>
          <w:spacing w:val="-2"/>
        </w:rPr>
        <w:t>BI</w:t>
      </w:r>
      <w:r>
        <w:rPr>
          <w:spacing w:val="-2"/>
        </w:rPr>
        <w:t>、敏捷</w:t>
      </w:r>
      <w:r>
        <w:rPr>
          <w:rFonts w:ascii="Times New Roman" w:hAnsi="Times New Roman" w:cs="Times New Roman" w:eastAsia="Times New Roman" w:hint="default"/>
          <w:spacing w:val="-2"/>
        </w:rPr>
        <w:t>BI</w:t>
      </w:r>
      <w:r>
        <w:rPr>
          <w:spacing w:val="-2"/>
        </w:rPr>
        <w:t>等二十余项核心模块，提供数据资源中心建设、大</w:t>
      </w:r>
      <w:r>
        <w:rPr>
          <w:spacing w:val="-68"/>
        </w:rPr>
        <w:t> </w:t>
      </w:r>
      <w:r>
        <w:rPr>
          <w:spacing w:val="-68"/>
        </w:rPr>
      </w:r>
      <w:r>
        <w:rPr>
          <w:spacing w:val="-5"/>
        </w:rPr>
        <w:t>规模分布式数据处理、用户行为分析、大数据分析与决策、数据治理与质量管控等重点业务场景解决方案，以及财税大数据、</w:t>
      </w:r>
      <w:r>
        <w:rPr>
          <w:spacing w:val="-82"/>
        </w:rPr>
        <w:t> </w:t>
      </w:r>
      <w:r>
        <w:rPr>
          <w:spacing w:val="-82"/>
        </w:rPr>
      </w:r>
      <w:r>
        <w:rPr>
          <w:spacing w:val="-5"/>
        </w:rPr>
        <w:t>决算大数据、国资监管大数据、交通大数据、产业大数据等行业及领域解决方案。协助政府建立数据共享、协作、洞察机制，</w:t>
      </w:r>
      <w:r>
        <w:rPr>
          <w:spacing w:val="-81"/>
        </w:rPr>
        <w:t> </w:t>
      </w:r>
      <w:r>
        <w:rPr>
          <w:spacing w:val="-81"/>
        </w:rPr>
      </w:r>
      <w:r>
        <w:rPr>
          <w:spacing w:val="-2"/>
        </w:rPr>
        <w:t>提高政府决策及服务效率；并且通过企业数据治理、管控及应用，提升企业决策运营效率和品牌价值。为实现前后台需求协</w:t>
      </w:r>
      <w:r>
        <w:rPr>
          <w:spacing w:val="-66"/>
        </w:rPr>
        <w:t> </w:t>
      </w:r>
      <w:r>
        <w:rPr>
          <w:spacing w:val="-66"/>
        </w:rPr>
      </w:r>
      <w:r>
        <w:rPr/>
        <w:t>同、产品研发协同和知识沉淀，公司搭建了项目协作平台，能够快速响应市场和客户需求，强化产品功能，提升服务能力，</w:t>
      </w:r>
      <w:r>
        <w:rPr>
          <w:spacing w:val="-85"/>
        </w:rPr>
        <w:t> </w:t>
      </w:r>
      <w:r>
        <w:rPr>
          <w:spacing w:val="-85"/>
        </w:rPr>
      </w:r>
      <w:r>
        <w:rPr/>
        <w:t>公司研发效率和项目实施效率有明显的提升。</w:t>
      </w:r>
    </w:p>
    <w:p>
      <w:pPr>
        <w:spacing w:line="240" w:lineRule="auto" w:before="6"/>
        <w:rPr>
          <w:rFonts w:ascii="宋体" w:hAnsi="宋体" w:cs="宋体" w:eastAsia="宋体" w:hint="default"/>
          <w:sz w:val="25"/>
          <w:szCs w:val="25"/>
        </w:rPr>
      </w:pPr>
    </w:p>
    <w:p>
      <w:pPr>
        <w:pStyle w:val="BodyText"/>
        <w:spacing w:line="314" w:lineRule="auto"/>
        <w:ind w:right="1131"/>
        <w:jc w:val="both"/>
      </w:pPr>
      <w:r>
        <w:rPr/>
        <w:t>公司始终坚持自主创新。报告期，公司及子公司共新获得</w:t>
      </w:r>
      <w:r>
        <w:rPr>
          <w:rFonts w:ascii="Times New Roman" w:hAnsi="Times New Roman" w:cs="Times New Roman" w:eastAsia="Times New Roman" w:hint="default"/>
        </w:rPr>
        <w:t>175</w:t>
      </w:r>
      <w:r>
        <w:rPr/>
        <w:t>项软件著作权及</w:t>
      </w:r>
      <w:r>
        <w:rPr>
          <w:rFonts w:ascii="Times New Roman" w:hAnsi="Times New Roman" w:cs="Times New Roman" w:eastAsia="Times New Roman" w:hint="default"/>
        </w:rPr>
        <w:t>5</w:t>
      </w:r>
      <w:r>
        <w:rPr/>
        <w:t>项发明专利。公司获得</w:t>
      </w:r>
      <w:r>
        <w:rPr>
          <w:rFonts w:ascii="Times New Roman" w:hAnsi="Times New Roman" w:cs="Times New Roman" w:eastAsia="Times New Roman" w:hint="default"/>
        </w:rPr>
        <w:t>ITSS</w:t>
      </w:r>
      <w:r>
        <w:rPr/>
        <w:t>信息技术运行维</w:t>
      </w:r>
      <w:r>
        <w:rPr>
          <w:spacing w:val="-11"/>
        </w:rPr>
        <w:t> </w:t>
      </w:r>
      <w:r>
        <w:rPr>
          <w:spacing w:val="-11"/>
        </w:rPr>
      </w:r>
      <w:r>
        <w:rPr>
          <w:spacing w:val="-2"/>
        </w:rPr>
        <w:t>护标准符合性认证（壹级）证书，标志着公司在信息技术服务能力等方面达到了国内最高的标准化管理水平。此外，公司还</w:t>
      </w:r>
      <w:r>
        <w:rPr>
          <w:spacing w:val="-66"/>
        </w:rPr>
        <w:t> </w:t>
      </w:r>
      <w:r>
        <w:rPr>
          <w:spacing w:val="-66"/>
        </w:rPr>
      </w:r>
      <w:r>
        <w:rPr>
          <w:spacing w:val="-2"/>
        </w:rPr>
        <w:t>获评安防工程企业设计施工维护能力证书（壹级）及信息系统业务安全服务资质（壹级）等资质。子公司资质认证工作也收</w:t>
      </w:r>
      <w:r>
        <w:rPr>
          <w:spacing w:val="-65"/>
        </w:rPr>
        <w:t> </w:t>
      </w:r>
      <w:r>
        <w:rPr>
          <w:spacing w:val="-65"/>
        </w:rPr>
      </w:r>
      <w:r>
        <w:rPr>
          <w:spacing w:val="-2"/>
        </w:rPr>
        <w:t>获颇丰，华夏电通继取得国家高新技术企业认证后，又取得增值电信业务经营许可证、中国国家强制性产品认证证书，久其</w:t>
      </w:r>
      <w:r>
        <w:rPr>
          <w:spacing w:val="-66"/>
        </w:rPr>
        <w:t> </w:t>
      </w:r>
      <w:r>
        <w:rPr>
          <w:spacing w:val="-66"/>
        </w:rPr>
      </w:r>
      <w:r>
        <w:rPr/>
        <w:t>金建和久其云福分别获得国家高新技术企业认证及增值电信业务经营许可证。</w:t>
      </w:r>
    </w:p>
    <w:p>
      <w:pPr>
        <w:spacing w:line="240" w:lineRule="auto" w:before="6"/>
        <w:rPr>
          <w:rFonts w:ascii="宋体" w:hAnsi="宋体" w:cs="宋体" w:eastAsia="宋体" w:hint="default"/>
          <w:sz w:val="25"/>
          <w:szCs w:val="25"/>
        </w:rPr>
      </w:pPr>
    </w:p>
    <w:p>
      <w:pPr>
        <w:pStyle w:val="BodyText"/>
        <w:spacing w:line="300" w:lineRule="auto"/>
        <w:ind w:right="1131"/>
        <w:jc w:val="both"/>
      </w:pPr>
      <w:r>
        <w:rPr>
          <w:spacing w:val="-2"/>
        </w:rPr>
        <w:t>报告期，公司获评</w:t>
      </w:r>
      <w:r>
        <w:rPr>
          <w:rFonts w:ascii="Times New Roman" w:hAnsi="Times New Roman" w:cs="Times New Roman" w:eastAsia="Times New Roman" w:hint="default"/>
          <w:spacing w:val="-2"/>
        </w:rPr>
        <w:t>2018</w:t>
      </w:r>
      <w:r>
        <w:rPr>
          <w:spacing w:val="-2"/>
        </w:rPr>
        <w:t>中国软件和信息服务业十大领军企业、连续三年获评中国大数据企业</w:t>
      </w:r>
      <w:r>
        <w:rPr>
          <w:rFonts w:ascii="Times New Roman" w:hAnsi="Times New Roman" w:cs="Times New Roman" w:eastAsia="Times New Roman" w:hint="default"/>
          <w:spacing w:val="-2"/>
        </w:rPr>
        <w:t>50</w:t>
      </w:r>
      <w:r>
        <w:rPr>
          <w:spacing w:val="-2"/>
        </w:rPr>
        <w:t>强、</w:t>
      </w:r>
      <w:r>
        <w:rPr>
          <w:rFonts w:ascii="Times New Roman" w:hAnsi="Times New Roman" w:cs="Times New Roman" w:eastAsia="Times New Roman" w:hint="default"/>
          <w:spacing w:val="-2"/>
        </w:rPr>
        <w:t>2018</w:t>
      </w:r>
      <w:r>
        <w:rPr>
          <w:spacing w:val="-2"/>
        </w:rPr>
        <w:t>中国软件和信息技术</w:t>
      </w:r>
      <w:r>
        <w:rPr>
          <w:spacing w:val="-56"/>
        </w:rPr>
        <w:t> </w:t>
      </w:r>
      <w:r>
        <w:rPr>
          <w:spacing w:val="-2"/>
        </w:rPr>
        <w:t>服务综合竞争力百强企业、</w:t>
      </w:r>
      <w:r>
        <w:rPr>
          <w:rFonts w:ascii="Times New Roman" w:hAnsi="Times New Roman" w:cs="Times New Roman" w:eastAsia="Times New Roman" w:hint="default"/>
          <w:spacing w:val="-2"/>
        </w:rPr>
        <w:t>2018</w:t>
      </w:r>
      <w:r>
        <w:rPr>
          <w:spacing w:val="-2"/>
        </w:rPr>
        <w:t>中国</w:t>
      </w:r>
      <w:r>
        <w:rPr>
          <w:rFonts w:ascii="Times New Roman" w:hAnsi="Times New Roman" w:cs="Times New Roman" w:eastAsia="Times New Roman" w:hint="default"/>
          <w:spacing w:val="-2"/>
        </w:rPr>
        <w:t>IT</w:t>
      </w:r>
      <w:r>
        <w:rPr>
          <w:spacing w:val="-2"/>
        </w:rPr>
        <w:t>服务创新单位奖。公司自主研发的大数据处理与分析平台和政府公共财务业务一体化</w:t>
      </w:r>
      <w:r>
        <w:rPr>
          <w:spacing w:val="-48"/>
        </w:rPr>
        <w:t> </w:t>
      </w:r>
      <w:r>
        <w:rPr>
          <w:spacing w:val="-48"/>
        </w:rPr>
      </w:r>
      <w:r>
        <w:rPr/>
        <w:t>平台获评中国软件行业协会</w:t>
      </w:r>
      <w:r>
        <w:rPr>
          <w:rFonts w:ascii="Times New Roman" w:hAnsi="Times New Roman" w:cs="Times New Roman" w:eastAsia="Times New Roman" w:hint="default"/>
        </w:rPr>
        <w:t>2018</w:t>
      </w:r>
      <w:r>
        <w:rPr/>
        <w:t>年度优秀软件产品，</w:t>
      </w:r>
      <w:r>
        <w:rPr>
          <w:rFonts w:ascii="Times New Roman" w:hAnsi="Times New Roman" w:cs="Times New Roman" w:eastAsia="Times New Roman" w:hint="default"/>
        </w:rPr>
        <w:t>AI</w:t>
      </w:r>
      <w:r>
        <w:rPr/>
        <w:t>创新产品久其小久智能分析机器人在</w:t>
      </w:r>
      <w:r>
        <w:rPr>
          <w:rFonts w:ascii="Times New Roman" w:hAnsi="Times New Roman" w:cs="Times New Roman" w:eastAsia="Times New Roman" w:hint="default"/>
        </w:rPr>
        <w:t>2018</w:t>
      </w:r>
      <w:r>
        <w:rPr/>
        <w:t>中国大数据产业生态大会</w:t>
      </w:r>
      <w:r>
        <w:rPr>
          <w:spacing w:val="-12"/>
        </w:rPr>
        <w:t> </w:t>
      </w:r>
      <w:r>
        <w:rPr>
          <w:spacing w:val="-12"/>
        </w:rPr>
      </w:r>
      <w:r>
        <w:rPr/>
        <w:t>上荣获</w:t>
      </w:r>
      <w:r>
        <w:rPr>
          <w:rFonts w:ascii="Times New Roman" w:hAnsi="Times New Roman" w:cs="Times New Roman" w:eastAsia="Times New Roman" w:hint="default"/>
        </w:rPr>
        <w:t>2018</w:t>
      </w:r>
      <w:r>
        <w:rPr/>
        <w:t>中国数据星技术奖项。子公司华夏电通被评为</w:t>
      </w:r>
      <w:r>
        <w:rPr>
          <w:rFonts w:ascii="Times New Roman" w:hAnsi="Times New Roman" w:cs="Times New Roman" w:eastAsia="Times New Roman" w:hint="default"/>
        </w:rPr>
        <w:t>2018</w:t>
      </w:r>
      <w:r>
        <w:rPr/>
        <w:t>中关村高成长企业</w:t>
      </w:r>
      <w:r>
        <w:rPr>
          <w:rFonts w:ascii="Times New Roman" w:hAnsi="Times New Roman" w:cs="Times New Roman" w:eastAsia="Times New Roman" w:hint="default"/>
        </w:rPr>
        <w:t>TOP100</w:t>
      </w:r>
      <w:r>
        <w:rPr/>
        <w:t>，其自主研发的图像分析及语音识</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7" w:lineRule="auto" w:before="44"/>
        <w:ind w:right="1131"/>
        <w:jc w:val="both"/>
      </w:pPr>
      <w:r>
        <w:rPr>
          <w:spacing w:val="-2"/>
        </w:rPr>
        <w:t>别庭审应用系统获得北京市新技术新产品（服务）认证。久其数字获得澳门国际广告节最具影响力数字营销公司奖，还凭借</w:t>
      </w:r>
      <w:r>
        <w:rPr>
          <w:spacing w:val="-66"/>
        </w:rPr>
        <w:t> </w:t>
      </w:r>
      <w:r>
        <w:rPr>
          <w:spacing w:val="-66"/>
        </w:rPr>
      </w:r>
      <w:r>
        <w:rPr/>
        <w:t>厦门及武汉旅游品牌宣传项目获得</w:t>
      </w:r>
      <w:r>
        <w:rPr>
          <w:rFonts w:ascii="Times New Roman" w:hAnsi="Times New Roman" w:cs="Times New Roman" w:eastAsia="Times New Roman" w:hint="default"/>
        </w:rPr>
        <w:t>2017-2018</w:t>
      </w:r>
      <w:r>
        <w:rPr/>
        <w:t>年度虎啸奖政府机构类优秀案例奖、</w:t>
      </w:r>
      <w:r>
        <w:rPr>
          <w:rFonts w:ascii="Times New Roman" w:hAnsi="Times New Roman" w:cs="Times New Roman" w:eastAsia="Times New Roman" w:hint="default"/>
        </w:rPr>
        <w:t>2018</w:t>
      </w:r>
      <w:r>
        <w:rPr/>
        <w:t>第五届金比特奖</w:t>
      </w:r>
      <w:r>
        <w:rPr>
          <w:rFonts w:ascii="Times New Roman" w:hAnsi="Times New Roman" w:cs="Times New Roman" w:eastAsia="Times New Roman" w:hint="default"/>
        </w:rPr>
        <w:t>AR/VR</w:t>
      </w:r>
      <w:r>
        <w:rPr/>
        <w:t>营销标杆案例</w:t>
      </w:r>
      <w:r>
        <w:rPr>
          <w:spacing w:val="-69"/>
        </w:rPr>
        <w:t> </w:t>
      </w:r>
      <w:r>
        <w:rPr>
          <w:spacing w:val="-69"/>
        </w:rPr>
      </w:r>
      <w:r>
        <w:rPr>
          <w:spacing w:val="-1"/>
        </w:rPr>
        <w:t>大奖及第二届</w:t>
      </w:r>
      <w:r>
        <w:rPr>
          <w:rFonts w:ascii="Times New Roman" w:hAnsi="Times New Roman" w:cs="Times New Roman" w:eastAsia="Times New Roman" w:hint="default"/>
          <w:spacing w:val="-1"/>
        </w:rPr>
        <w:t>IAI</w:t>
      </w:r>
      <w:r>
        <w:rPr>
          <w:spacing w:val="-1"/>
        </w:rPr>
        <w:t>国际旅游奖等奖项，此外子公司瑞意恒动凭借京东白条一点事务局项目拿下</w:t>
      </w:r>
      <w:r>
        <w:rPr>
          <w:rFonts w:ascii="Times New Roman" w:hAnsi="Times New Roman" w:cs="Times New Roman" w:eastAsia="Times New Roman" w:hint="default"/>
          <w:spacing w:val="-1"/>
        </w:rPr>
        <w:t>2018</w:t>
      </w:r>
      <w:r>
        <w:rPr>
          <w:spacing w:val="-1"/>
        </w:rPr>
        <w:t>中国国际广告节长城奖</w:t>
      </w:r>
      <w:r>
        <w:rPr>
          <w:rFonts w:ascii="Times New Roman" w:hAnsi="Times New Roman" w:cs="Times New Roman" w:eastAsia="Times New Roman" w:hint="default"/>
          <w:spacing w:val="-1"/>
        </w:rPr>
        <w:t>·</w:t>
      </w:r>
      <w:r>
        <w:rPr>
          <w:spacing w:val="-1"/>
        </w:rPr>
        <w:t>广</w:t>
      </w:r>
      <w:r>
        <w:rPr>
          <w:spacing w:val="-68"/>
        </w:rPr>
        <w:t> </w:t>
      </w:r>
      <w:r>
        <w:rPr/>
        <w:t>告主奖</w:t>
      </w:r>
      <w:r>
        <w:rPr>
          <w:rFonts w:ascii="Times New Roman" w:hAnsi="Times New Roman" w:cs="Times New Roman" w:eastAsia="Times New Roman" w:hint="default"/>
        </w:rPr>
        <w:t>·</w:t>
      </w:r>
      <w:r>
        <w:rPr/>
        <w:t>案例奖、</w:t>
      </w:r>
      <w:r>
        <w:rPr>
          <w:rFonts w:ascii="Times New Roman" w:hAnsi="Times New Roman" w:cs="Times New Roman" w:eastAsia="Times New Roman" w:hint="default"/>
        </w:rPr>
        <w:t>2018</w:t>
      </w:r>
      <w:r>
        <w:rPr/>
        <w:t>金投赏商业创意奖代理组社交营销类铜奖等奖项。</w:t>
      </w:r>
    </w:p>
    <w:p>
      <w:pPr>
        <w:spacing w:line="240" w:lineRule="auto" w:before="5"/>
        <w:rPr>
          <w:rFonts w:ascii="宋体" w:hAnsi="宋体" w:cs="宋体" w:eastAsia="宋体" w:hint="default"/>
          <w:sz w:val="24"/>
          <w:szCs w:val="24"/>
        </w:rPr>
      </w:pPr>
    </w:p>
    <w:p>
      <w:pPr>
        <w:pStyle w:val="BodyText"/>
        <w:spacing w:line="316" w:lineRule="auto"/>
        <w:ind w:right="1133"/>
        <w:jc w:val="both"/>
      </w:pPr>
      <w:r>
        <w:rPr>
          <w:spacing w:val="-2"/>
        </w:rPr>
        <w:t>公司在报告期内未发生核心管理团队及关键技术人员变化，未发生因专利及非专利技术升级换代、盈利模式变化、特许经营</w:t>
      </w:r>
      <w:r>
        <w:rPr>
          <w:spacing w:val="-66"/>
        </w:rPr>
        <w:t> </w:t>
      </w:r>
      <w:r>
        <w:rPr>
          <w:spacing w:val="-66"/>
        </w:rPr>
      </w:r>
      <w:r>
        <w:rPr/>
        <w:t>权丧失等导致公司核心竞争能力受到严重影响的情况。</w:t>
      </w:r>
    </w:p>
    <w:p>
      <w:pPr>
        <w:spacing w:after="0" w:line="31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0"/>
        <w:jc w:val="left"/>
        <w:rPr>
          <w:b w:val="0"/>
          <w:bCs w:val="0"/>
        </w:rPr>
      </w:pPr>
      <w:bookmarkStart w:name="第四节 经营情况讨论与分析" w:id="24"/>
      <w:bookmarkEnd w:id="24"/>
      <w:r>
        <w:rPr>
          <w:b w:val="0"/>
          <w:bCs w:val="0"/>
        </w:rPr>
      </w:r>
      <w:bookmarkStart w:name="_bookmark2" w:id="25"/>
      <w:bookmarkEnd w:id="25"/>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6"/>
      <w:bookmarkEnd w:id="26"/>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（一）总体情况</w:t>
      </w:r>
    </w:p>
    <w:p>
      <w:pPr>
        <w:spacing w:line="240" w:lineRule="auto" w:before="0"/>
        <w:rPr>
          <w:rFonts w:ascii="宋体" w:hAnsi="宋体" w:cs="宋体" w:eastAsia="宋体" w:hint="default"/>
          <w:sz w:val="18"/>
          <w:szCs w:val="18"/>
        </w:rPr>
      </w:pPr>
    </w:p>
    <w:p>
      <w:pPr>
        <w:pStyle w:val="BodyText"/>
        <w:spacing w:line="300" w:lineRule="auto" w:before="153"/>
        <w:ind w:right="1130"/>
        <w:jc w:val="both"/>
      </w:pPr>
      <w:r>
        <w:rPr>
          <w:spacing w:val="-5"/>
        </w:rPr>
        <w:t>本报告期公司共实现营业收入</w:t>
      </w:r>
      <w:r>
        <w:rPr>
          <w:rFonts w:ascii="Times New Roman" w:hAnsi="Times New Roman" w:cs="Times New Roman" w:eastAsia="Times New Roman" w:hint="default"/>
          <w:spacing w:val="-5"/>
        </w:rPr>
        <w:t>272,023.56</w:t>
      </w:r>
      <w:r>
        <w:rPr>
          <w:spacing w:val="-5"/>
        </w:rPr>
        <w:t>万元，同比增幅</w:t>
      </w:r>
      <w:r>
        <w:rPr>
          <w:rFonts w:ascii="Times New Roman" w:hAnsi="Times New Roman" w:cs="Times New Roman" w:eastAsia="Times New Roman" w:hint="default"/>
          <w:spacing w:val="-5"/>
        </w:rPr>
        <w:t>36.55%</w:t>
      </w:r>
      <w:r>
        <w:rPr>
          <w:spacing w:val="-5"/>
        </w:rPr>
        <w:t>，其中，公司管理软件业务发展良好，实现营业收入</w:t>
      </w:r>
      <w:r>
        <w:rPr>
          <w:rFonts w:ascii="Times New Roman" w:hAnsi="Times New Roman" w:cs="Times New Roman" w:eastAsia="Times New Roman" w:hint="default"/>
          <w:spacing w:val="-5"/>
        </w:rPr>
        <w:t>102,025.15</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spacing w:val="-1"/>
        </w:rPr>
        <w:t>万元，同比增幅</w:t>
      </w:r>
      <w:r>
        <w:rPr>
          <w:rFonts w:ascii="Times New Roman" w:hAnsi="Times New Roman" w:cs="Times New Roman" w:eastAsia="Times New Roman" w:hint="default"/>
          <w:spacing w:val="-1"/>
        </w:rPr>
        <w:t>33.13%</w:t>
      </w:r>
      <w:r>
        <w:rPr>
          <w:spacing w:val="-1"/>
        </w:rPr>
        <w:t>，数字传播业务实现营业收入</w:t>
      </w:r>
      <w:r>
        <w:rPr>
          <w:rFonts w:ascii="Times New Roman" w:hAnsi="Times New Roman" w:cs="Times New Roman" w:eastAsia="Times New Roman" w:hint="default"/>
          <w:spacing w:val="-1"/>
        </w:rPr>
        <w:t>165,911.71</w:t>
      </w:r>
      <w:r>
        <w:rPr>
          <w:spacing w:val="-1"/>
        </w:rPr>
        <w:t>万元，同比增幅</w:t>
      </w:r>
      <w:r>
        <w:rPr>
          <w:rFonts w:ascii="Times New Roman" w:hAnsi="Times New Roman" w:cs="Times New Roman" w:eastAsia="Times New Roman" w:hint="default"/>
          <w:spacing w:val="-1"/>
        </w:rPr>
        <w:t>39.52%</w:t>
      </w:r>
      <w:r>
        <w:rPr>
          <w:spacing w:val="-1"/>
        </w:rPr>
        <w:t>。但受行业竞争加剧、子公司利润下</w:t>
      </w:r>
      <w:r>
        <w:rPr>
          <w:spacing w:val="-52"/>
        </w:rPr>
        <w:t> </w:t>
      </w:r>
      <w:r>
        <w:rPr>
          <w:spacing w:val="-52"/>
        </w:rPr>
      </w:r>
      <w:r>
        <w:rPr/>
        <w:t>滑及出现管理风险等因素影响，公司对收购亿起联科技、瑞意恒动和上海移通形成的商誉合计计提</w:t>
      </w:r>
      <w:r>
        <w:rPr>
          <w:rFonts w:ascii="Times New Roman" w:hAnsi="Times New Roman" w:cs="Times New Roman" w:eastAsia="Times New Roman" w:hint="default"/>
        </w:rPr>
        <w:t>107,739.49</w:t>
      </w:r>
      <w:r>
        <w:rPr/>
        <w:t>万元的商誉减</w:t>
      </w:r>
      <w:r>
        <w:rPr>
          <w:spacing w:val="-85"/>
        </w:rPr>
        <w:t> </w:t>
      </w:r>
      <w:r>
        <w:rPr>
          <w:spacing w:val="-85"/>
        </w:rPr>
      </w:r>
      <w:r>
        <w:rPr/>
        <w:t>值准备，导致</w:t>
      </w:r>
      <w:r>
        <w:rPr>
          <w:rFonts w:ascii="Times New Roman" w:hAnsi="Times New Roman" w:cs="Times New Roman" w:eastAsia="Times New Roman" w:hint="default"/>
        </w:rPr>
        <w:t>2018</w:t>
      </w:r>
      <w:r>
        <w:rPr/>
        <w:t>年度公司归属于上市公司股东的净利润亏损</w:t>
      </w:r>
      <w:r>
        <w:rPr>
          <w:rFonts w:ascii="Times New Roman" w:hAnsi="Times New Roman" w:cs="Times New Roman" w:eastAsia="Times New Roman" w:hint="default"/>
        </w:rPr>
        <w:t>84,146.43</w:t>
      </w:r>
      <w:r>
        <w:rPr/>
        <w:t>万元。</w:t>
      </w:r>
    </w:p>
    <w:p>
      <w:pPr>
        <w:spacing w:line="240" w:lineRule="auto" w:before="11"/>
        <w:rPr>
          <w:rFonts w:ascii="宋体" w:hAnsi="宋体" w:cs="宋体" w:eastAsia="宋体" w:hint="default"/>
          <w:sz w:val="24"/>
          <w:szCs w:val="24"/>
        </w:rPr>
      </w:pPr>
    </w:p>
    <w:p>
      <w:pPr>
        <w:pStyle w:val="BodyText"/>
        <w:spacing w:line="240" w:lineRule="auto"/>
        <w:ind w:right="0"/>
        <w:jc w:val="both"/>
      </w:pPr>
      <w:r>
        <w:rPr/>
        <w:t>（二）主要业务情况</w:t>
      </w:r>
    </w:p>
    <w:p>
      <w:pPr>
        <w:spacing w:line="240" w:lineRule="auto" w:before="0"/>
        <w:rPr>
          <w:rFonts w:ascii="宋体" w:hAnsi="宋体" w:cs="宋体" w:eastAsia="宋体" w:hint="default"/>
          <w:sz w:val="18"/>
          <w:szCs w:val="18"/>
        </w:rPr>
      </w:pPr>
    </w:p>
    <w:p>
      <w:pPr>
        <w:pStyle w:val="BodyText"/>
        <w:spacing w:line="240" w:lineRule="auto" w:before="153"/>
        <w:ind w:right="0"/>
        <w:jc w:val="both"/>
      </w:pPr>
      <w:r>
        <w:rPr>
          <w:rFonts w:ascii="Times New Roman" w:hAnsi="Times New Roman" w:cs="Times New Roman" w:eastAsia="Times New Roman" w:hint="default"/>
        </w:rPr>
        <w:t>1</w:t>
      </w:r>
      <w:r>
        <w:rPr/>
        <w:t>、电子政务业务</w:t>
      </w:r>
    </w:p>
    <w:p>
      <w:pPr>
        <w:spacing w:line="240" w:lineRule="auto" w:before="0"/>
        <w:rPr>
          <w:rFonts w:ascii="宋体" w:hAnsi="宋体" w:cs="宋体" w:eastAsia="宋体" w:hint="default"/>
          <w:sz w:val="18"/>
          <w:szCs w:val="18"/>
        </w:rPr>
      </w:pPr>
    </w:p>
    <w:p>
      <w:pPr>
        <w:pStyle w:val="BodyText"/>
        <w:spacing w:line="312" w:lineRule="auto" w:before="139"/>
        <w:ind w:right="1032"/>
        <w:jc w:val="left"/>
      </w:pPr>
      <w:r>
        <w:rPr>
          <w:spacing w:val="-2"/>
        </w:rPr>
        <w:t>公司电子政务业务在报告期共实现收入</w:t>
      </w:r>
      <w:r>
        <w:rPr>
          <w:rFonts w:ascii="Times New Roman" w:hAnsi="Times New Roman" w:cs="Times New Roman" w:eastAsia="Times New Roman" w:hint="default"/>
          <w:spacing w:val="-2"/>
        </w:rPr>
        <w:t>71,770.37</w:t>
      </w:r>
      <w:r>
        <w:rPr>
          <w:spacing w:val="-2"/>
        </w:rPr>
        <w:t>万元，同比增幅</w:t>
      </w:r>
      <w:r>
        <w:rPr>
          <w:rFonts w:ascii="Times New Roman" w:hAnsi="Times New Roman" w:cs="Times New Roman" w:eastAsia="Times New Roman" w:hint="default"/>
          <w:spacing w:val="-2"/>
        </w:rPr>
        <w:t>29.76%</w:t>
      </w:r>
      <w:r>
        <w:rPr>
          <w:spacing w:val="-2"/>
        </w:rPr>
        <w:t>。</w:t>
      </w:r>
      <w:r>
        <w:rPr>
          <w:rFonts w:ascii="Times New Roman" w:hAnsi="Times New Roman" w:cs="Times New Roman" w:eastAsia="Times New Roman" w:hint="default"/>
          <w:spacing w:val="-2"/>
        </w:rPr>
        <w:t>2018</w:t>
      </w:r>
      <w:r>
        <w:rPr>
          <w:spacing w:val="-2"/>
        </w:rPr>
        <w:t>年是实施</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国家信息化规划承上启下的</w:t>
      </w:r>
      <w:r>
        <w:rPr>
          <w:spacing w:val="-43"/>
        </w:rPr>
        <w:t> </w:t>
      </w:r>
      <w:r>
        <w:rPr>
          <w:spacing w:val="-43"/>
        </w:rPr>
      </w:r>
      <w:r>
        <w:rPr>
          <w:spacing w:val="-2"/>
        </w:rPr>
        <w:t>关键一年，新一轮国家机构改革方案的颁布，持续催生新的政务信息化需求。电子政务是公司传统优势业务和根基业务，报</w:t>
      </w:r>
      <w:r>
        <w:rPr>
          <w:spacing w:val="-66"/>
        </w:rPr>
        <w:t> </w:t>
      </w:r>
      <w:r>
        <w:rPr>
          <w:spacing w:val="-66"/>
        </w:rPr>
      </w:r>
      <w:r>
        <w:rPr/>
        <w:t>告期公司深化以政府大数据为核心的资产管理、政府统计业务布局，同时继续发挥聚焦行业的优势，推进电子政务在财政、</w:t>
      </w:r>
      <w:r>
        <w:rPr>
          <w:spacing w:val="-85"/>
        </w:rPr>
        <w:t> </w:t>
      </w:r>
      <w:r>
        <w:rPr>
          <w:spacing w:val="-85"/>
        </w:rPr>
      </w:r>
      <w:r>
        <w:rPr/>
        <w:t>交通、司法、民生等领域的纵深发展。</w:t>
      </w:r>
    </w:p>
    <w:p>
      <w:pPr>
        <w:spacing w:line="240" w:lineRule="auto" w:before="8"/>
        <w:rPr>
          <w:rFonts w:ascii="宋体" w:hAnsi="宋体" w:cs="宋体" w:eastAsia="宋体" w:hint="default"/>
          <w:sz w:val="25"/>
          <w:szCs w:val="25"/>
        </w:rPr>
      </w:pPr>
    </w:p>
    <w:p>
      <w:pPr>
        <w:pStyle w:val="BodyText"/>
        <w:spacing w:line="240" w:lineRule="auto"/>
        <w:ind w:right="0"/>
        <w:jc w:val="both"/>
      </w:pPr>
      <w:r>
        <w:rPr>
          <w:rFonts w:ascii="Times New Roman" w:hAnsi="Times New Roman" w:cs="Times New Roman" w:eastAsia="Times New Roman" w:hint="default"/>
        </w:rPr>
        <w:t>(1)   </w:t>
      </w:r>
      <w:r>
        <w:rPr>
          <w:rFonts w:ascii="Times New Roman" w:hAnsi="Times New Roman" w:cs="Times New Roman" w:eastAsia="Times New Roman" w:hint="default"/>
          <w:spacing w:val="29"/>
        </w:rPr>
        <w:t> </w:t>
      </w:r>
      <w:r>
        <w:rPr/>
        <w:t>财政领域</w:t>
      </w:r>
    </w:p>
    <w:p>
      <w:pPr>
        <w:spacing w:line="240" w:lineRule="auto" w:before="0"/>
        <w:rPr>
          <w:rFonts w:ascii="宋体" w:hAnsi="宋体" w:cs="宋体" w:eastAsia="宋体" w:hint="default"/>
          <w:sz w:val="18"/>
          <w:szCs w:val="18"/>
        </w:rPr>
      </w:pPr>
    </w:p>
    <w:p>
      <w:pPr>
        <w:pStyle w:val="BodyText"/>
        <w:spacing w:line="316" w:lineRule="auto" w:before="139"/>
        <w:ind w:right="1132"/>
        <w:jc w:val="both"/>
      </w:pPr>
      <w:r>
        <w:rPr>
          <w:spacing w:val="-2"/>
        </w:rPr>
        <w:t>财政是国家治理的基础和重要支柱，大力推动财政信息化是提升财政治理能力和财政公共服务水平的重要举措。随着财政信</w:t>
      </w:r>
      <w:r>
        <w:rPr>
          <w:spacing w:val="-64"/>
        </w:rPr>
        <w:t> </w:t>
      </w:r>
      <w:r>
        <w:rPr>
          <w:spacing w:val="-64"/>
        </w:rPr>
      </w:r>
      <w:r>
        <w:rPr/>
        <w:t>息化工作</w:t>
      </w:r>
      <w:r>
        <w:rPr>
          <w:rFonts w:ascii="Times New Roman" w:hAnsi="Times New Roman" w:cs="Times New Roman" w:eastAsia="Times New Roman" w:hint="default"/>
        </w:rPr>
        <w:t>“</w:t>
      </w:r>
      <w:r>
        <w:rPr/>
        <w:t>以流程为主线</w:t>
      </w:r>
      <w:r>
        <w:rPr>
          <w:rFonts w:ascii="Times New Roman" w:hAnsi="Times New Roman" w:cs="Times New Roman" w:eastAsia="Times New Roman" w:hint="default"/>
        </w:rPr>
        <w:t>”</w:t>
      </w:r>
      <w:r>
        <w:rPr/>
        <w:t>向</w:t>
      </w:r>
      <w:r>
        <w:rPr>
          <w:rFonts w:ascii="Times New Roman" w:hAnsi="Times New Roman" w:cs="Times New Roman" w:eastAsia="Times New Roman" w:hint="default"/>
        </w:rPr>
        <w:t>“</w:t>
      </w:r>
      <w:r>
        <w:rPr/>
        <w:t>以数据为核心</w:t>
      </w:r>
      <w:r>
        <w:rPr>
          <w:rFonts w:ascii="Times New Roman" w:hAnsi="Times New Roman" w:cs="Times New Roman" w:eastAsia="Times New Roman" w:hint="default"/>
        </w:rPr>
        <w:t>”</w:t>
      </w:r>
      <w:r>
        <w:rPr/>
        <w:t>变革，大数据技术、产品与解决方案在财政行业的应用需求不断深入。</w:t>
      </w:r>
    </w:p>
    <w:p>
      <w:pPr>
        <w:spacing w:line="240" w:lineRule="auto" w:before="10"/>
        <w:rPr>
          <w:rFonts w:ascii="宋体" w:hAnsi="宋体" w:cs="宋体" w:eastAsia="宋体" w:hint="default"/>
          <w:sz w:val="23"/>
          <w:szCs w:val="23"/>
        </w:rPr>
      </w:pPr>
    </w:p>
    <w:p>
      <w:pPr>
        <w:pStyle w:val="BodyText"/>
        <w:spacing w:line="316" w:lineRule="auto"/>
        <w:ind w:right="1129"/>
        <w:jc w:val="both"/>
      </w:pPr>
      <w:r>
        <w:rPr>
          <w:spacing w:val="-2"/>
        </w:rPr>
        <w:t>资产管理业务方面，报告期公司扎实推进以资产大数据为核心的行政事业单位资产管理信息系统三期项目，通过数据治理提</w:t>
      </w:r>
      <w:r>
        <w:rPr>
          <w:spacing w:val="-64"/>
        </w:rPr>
        <w:t> </w:t>
      </w:r>
      <w:r>
        <w:rPr>
          <w:spacing w:val="-64"/>
        </w:rPr>
      </w:r>
      <w:r>
        <w:rPr>
          <w:spacing w:val="-2"/>
        </w:rPr>
        <w:t>升资产管理数据质量，助力资产管理政策的制定及精细化服务。随着财政部正式发布《关于实施行政事业单位资产管理信息</w:t>
      </w:r>
      <w:r>
        <w:rPr>
          <w:spacing w:val="-66"/>
        </w:rPr>
        <w:t> </w:t>
      </w:r>
      <w:r>
        <w:rPr>
          <w:spacing w:val="-66"/>
        </w:rPr>
      </w:r>
      <w:r>
        <w:rPr>
          <w:spacing w:val="-2"/>
        </w:rPr>
        <w:t>系统（三期）的通知》，重点强调了数据治理工作的重要性及工作要求，公司资产管理业务面向全国市场积极展开推广。此</w:t>
      </w:r>
      <w:r>
        <w:rPr>
          <w:spacing w:val="-68"/>
        </w:rPr>
        <w:t> </w:t>
      </w:r>
      <w:r>
        <w:rPr>
          <w:spacing w:val="-68"/>
        </w:rPr>
      </w:r>
      <w:r>
        <w:rPr>
          <w:spacing w:val="-2"/>
        </w:rPr>
        <w:t>外，公司承接四川甘孜州村级资产管理信息系统建设及清查服务、西藏自治区农村集体资产管理信息系统等项目，用户范围</w:t>
      </w:r>
      <w:r>
        <w:rPr>
          <w:spacing w:val="-66"/>
        </w:rPr>
        <w:t> </w:t>
      </w:r>
      <w:r>
        <w:rPr>
          <w:spacing w:val="-66"/>
        </w:rPr>
      </w:r>
      <w:r>
        <w:rPr/>
        <w:t>从行政事业单位开始延伸到村集体，业务范围从国有资产延伸到集体资产，公司资产管理业务市场空间进一步扩大。</w:t>
      </w:r>
    </w:p>
    <w:p>
      <w:pPr>
        <w:spacing w:line="240" w:lineRule="auto" w:before="4"/>
        <w:rPr>
          <w:rFonts w:ascii="宋体" w:hAnsi="宋体" w:cs="宋体" w:eastAsia="宋体" w:hint="default"/>
          <w:sz w:val="25"/>
          <w:szCs w:val="25"/>
        </w:rPr>
      </w:pPr>
    </w:p>
    <w:p>
      <w:pPr>
        <w:pStyle w:val="BodyText"/>
        <w:spacing w:line="300" w:lineRule="auto"/>
        <w:ind w:right="1129"/>
        <w:jc w:val="both"/>
      </w:pPr>
      <w:r>
        <w:rPr/>
        <w:t>政府统计业务方面，公司承建的财政部统一报表项目完成验收，在财政业务系统整合共享方面，已纳入财政部</w:t>
      </w:r>
      <w:r>
        <w:rPr>
          <w:rFonts w:ascii="Times New Roman" w:hAnsi="Times New Roman" w:cs="Times New Roman" w:eastAsia="Times New Roman" w:hint="default"/>
        </w:rPr>
        <w:t>5</w:t>
      </w:r>
      <w:r>
        <w:rPr/>
        <w:t>个司局</w:t>
      </w:r>
      <w:r>
        <w:rPr>
          <w:rFonts w:ascii="Times New Roman" w:hAnsi="Times New Roman" w:cs="Times New Roman" w:eastAsia="Times New Roman" w:hint="default"/>
        </w:rPr>
        <w:t>12</w:t>
      </w:r>
      <w:r>
        <w:rPr/>
        <w:t>套</w:t>
      </w:r>
      <w:r>
        <w:rPr>
          <w:spacing w:val="-81"/>
        </w:rPr>
        <w:t> </w:t>
      </w:r>
      <w:r>
        <w:rPr>
          <w:spacing w:val="-5"/>
        </w:rPr>
        <w:t>报表业务，是财政部重要的基础信息平台软件，截至报告期末，已完成第一批</w:t>
      </w:r>
      <w:r>
        <w:rPr>
          <w:rFonts w:ascii="Times New Roman" w:hAnsi="Times New Roman" w:cs="Times New Roman" w:eastAsia="Times New Roman" w:hint="default"/>
          <w:spacing w:val="-5"/>
        </w:rPr>
        <w:t>10</w:t>
      </w:r>
      <w:r>
        <w:rPr>
          <w:spacing w:val="-5"/>
        </w:rPr>
        <w:t>个省份的二级部署，全国业务推广有序进行。</w:t>
      </w:r>
    </w:p>
    <w:p>
      <w:pPr>
        <w:spacing w:line="240" w:lineRule="auto" w:before="10"/>
        <w:rPr>
          <w:rFonts w:ascii="宋体" w:hAnsi="宋体" w:cs="宋体" w:eastAsia="宋体" w:hint="default"/>
          <w:sz w:val="24"/>
          <w:szCs w:val="24"/>
        </w:rPr>
      </w:pPr>
    </w:p>
    <w:p>
      <w:pPr>
        <w:pStyle w:val="BodyText"/>
        <w:spacing w:line="300" w:lineRule="auto"/>
        <w:ind w:right="1129"/>
        <w:jc w:val="both"/>
      </w:pPr>
      <w:r>
        <w:rPr>
          <w:spacing w:val="-5"/>
          <w:w w:val="100"/>
        </w:rPr>
        <w:t>政府决算业务方面，公司确定了部门决算以网络化管理为枢纽、以账表一体为支撑、以大数据应用为核心的</w:t>
      </w:r>
      <w:r>
        <w:rPr>
          <w:rFonts w:ascii="Times New Roman" w:hAnsi="Times New Roman" w:cs="Times New Roman" w:eastAsia="Times New Roman" w:hint="default"/>
          <w:spacing w:val="-5"/>
          <w:w w:val="100"/>
        </w:rPr>
        <w:t>“</w:t>
      </w:r>
      <w:r>
        <w:rPr>
          <w:spacing w:val="-5"/>
          <w:w w:val="100"/>
        </w:rPr>
        <w:t>三位一体</w:t>
      </w:r>
      <w:r>
        <w:rPr>
          <w:rFonts w:ascii="Times New Roman" w:hAnsi="Times New Roman" w:cs="Times New Roman" w:eastAsia="Times New Roman" w:hint="default"/>
          <w:spacing w:val="-5"/>
          <w:w w:val="100"/>
        </w:rPr>
        <w:t>”</w:t>
      </w:r>
      <w:r>
        <w:rPr>
          <w:spacing w:val="-5"/>
          <w:w w:val="100"/>
        </w:rPr>
        <w:t>架构。</w:t>
      </w:r>
      <w:r>
        <w:rPr>
          <w:spacing w:val="-54"/>
          <w:w w:val="100"/>
        </w:rPr>
        <w:t> </w:t>
      </w:r>
      <w:r>
        <w:rPr/>
        <w:t>公司继续深入布局财政部门决算网络版，市场覆盖率和业务规模均得到较大提升。截至报告期末，部门决算网络版覆盖</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个省市，已推广至全国</w:t>
      </w:r>
      <w:r>
        <w:rPr>
          <w:rFonts w:ascii="Times New Roman" w:hAnsi="Times New Roman" w:cs="Times New Roman" w:eastAsia="Times New Roman" w:hint="default"/>
        </w:rPr>
        <w:t>696</w:t>
      </w:r>
      <w:r>
        <w:rPr/>
        <w:t>个财政部门，网络版用户达</w:t>
      </w:r>
      <w:r>
        <w:rPr>
          <w:rFonts w:ascii="Times New Roman" w:hAnsi="Times New Roman" w:cs="Times New Roman" w:eastAsia="Times New Roman" w:hint="default"/>
        </w:rPr>
        <w:t>20</w:t>
      </w:r>
      <w:r>
        <w:rPr/>
        <w:t>万。</w:t>
      </w:r>
    </w:p>
    <w:p>
      <w:pPr>
        <w:spacing w:line="240" w:lineRule="auto" w:before="11"/>
        <w:rPr>
          <w:rFonts w:ascii="宋体" w:hAnsi="宋体" w:cs="宋体" w:eastAsia="宋体" w:hint="default"/>
          <w:sz w:val="24"/>
          <w:szCs w:val="24"/>
        </w:rPr>
      </w:pPr>
    </w:p>
    <w:p>
      <w:pPr>
        <w:pStyle w:val="BodyText"/>
        <w:spacing w:line="316" w:lineRule="auto"/>
        <w:ind w:right="1129"/>
        <w:jc w:val="both"/>
      </w:pPr>
      <w:r>
        <w:rPr>
          <w:spacing w:val="-2"/>
        </w:rPr>
        <w:t>财政大数据业务方面，公司以大数据应用为导向，深入业务、加大研发投入，不断完善财政一体化产品与解决方案，继续深</w:t>
      </w:r>
      <w:r>
        <w:rPr>
          <w:spacing w:val="-66"/>
        </w:rPr>
        <w:t> </w:t>
      </w:r>
      <w:r>
        <w:rPr>
          <w:spacing w:val="-66"/>
        </w:rPr>
      </w:r>
      <w:r>
        <w:rPr/>
        <w:t>入服务湖南省财政厅、云南省财政厅、重庆市财政局等地方财政大数据项目。</w:t>
      </w:r>
    </w:p>
    <w:p>
      <w:pPr>
        <w:spacing w:line="240" w:lineRule="auto" w:before="4"/>
        <w:rPr>
          <w:rFonts w:ascii="宋体" w:hAnsi="宋体" w:cs="宋体" w:eastAsia="宋体" w:hint="default"/>
          <w:sz w:val="25"/>
          <w:szCs w:val="25"/>
        </w:rPr>
      </w:pPr>
    </w:p>
    <w:p>
      <w:pPr>
        <w:pStyle w:val="BodyText"/>
        <w:spacing w:line="240" w:lineRule="auto"/>
        <w:ind w:right="0"/>
        <w:jc w:val="both"/>
      </w:pPr>
      <w:r>
        <w:rPr/>
        <w:t>财政财务管理方面，公司抓住政府会计制度改革的机会，将地方财政集中核算推广至上海、海南等</w:t>
      </w:r>
      <w:r>
        <w:rPr>
          <w:rFonts w:ascii="Times New Roman" w:hAnsi="Times New Roman" w:cs="Times New Roman" w:eastAsia="Times New Roman" w:hint="default"/>
        </w:rPr>
        <w:t>5</w:t>
      </w:r>
      <w:r>
        <w:rPr/>
        <w:t>个省市，同时以加强行</w:t>
      </w:r>
    </w:p>
    <w:p>
      <w:pPr>
        <w:spacing w:after="0" w:line="24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政事业单位内控为手段，发挥财政和财务领域业务优势，进一步完善财政部门财务内控一体化解决方案，部委客户已增加至</w:t>
      </w:r>
    </w:p>
    <w:p>
      <w:pPr>
        <w:pStyle w:val="BodyText"/>
        <w:spacing w:line="240" w:lineRule="auto" w:before="76"/>
        <w:ind w:right="0"/>
        <w:jc w:val="both"/>
      </w:pPr>
      <w:r>
        <w:rPr>
          <w:rFonts w:ascii="Times New Roman" w:hAnsi="Times New Roman" w:cs="Times New Roman" w:eastAsia="Times New Roman" w:hint="default"/>
        </w:rPr>
        <w:t>17</w:t>
      </w:r>
      <w:r>
        <w:rPr/>
        <w:t>个。</w:t>
      </w:r>
    </w:p>
    <w:p>
      <w:pPr>
        <w:spacing w:line="240" w:lineRule="auto" w:before="0"/>
        <w:rPr>
          <w:rFonts w:ascii="宋体" w:hAnsi="宋体" w:cs="宋体" w:eastAsia="宋体" w:hint="default"/>
          <w:sz w:val="18"/>
          <w:szCs w:val="18"/>
        </w:rPr>
      </w:pPr>
    </w:p>
    <w:p>
      <w:pPr>
        <w:pStyle w:val="BodyText"/>
        <w:spacing w:line="240" w:lineRule="auto" w:before="139"/>
        <w:ind w:right="0"/>
        <w:jc w:val="both"/>
      </w:pPr>
      <w:r>
        <w:rPr>
          <w:rFonts w:ascii="Times New Roman" w:hAnsi="Times New Roman" w:cs="Times New Roman" w:eastAsia="Times New Roman" w:hint="default"/>
        </w:rPr>
        <w:t>(2)   </w:t>
      </w:r>
      <w:r>
        <w:rPr>
          <w:rFonts w:ascii="Times New Roman" w:hAnsi="Times New Roman" w:cs="Times New Roman" w:eastAsia="Times New Roman" w:hint="default"/>
          <w:spacing w:val="29"/>
        </w:rPr>
        <w:t> </w:t>
      </w:r>
      <w:r>
        <w:rPr/>
        <w:t>交通领域</w:t>
      </w:r>
    </w:p>
    <w:p>
      <w:pPr>
        <w:spacing w:line="240" w:lineRule="auto" w:before="0"/>
        <w:rPr>
          <w:rFonts w:ascii="宋体" w:hAnsi="宋体" w:cs="宋体" w:eastAsia="宋体" w:hint="default"/>
          <w:sz w:val="18"/>
          <w:szCs w:val="18"/>
        </w:rPr>
      </w:pPr>
    </w:p>
    <w:p>
      <w:pPr>
        <w:pStyle w:val="BodyText"/>
        <w:spacing w:line="314" w:lineRule="auto" w:before="139"/>
        <w:ind w:right="1131"/>
        <w:jc w:val="both"/>
      </w:pPr>
      <w:r>
        <w:rPr>
          <w:spacing w:val="-1"/>
        </w:rPr>
        <w:t>随着</w:t>
      </w:r>
      <w:r>
        <w:rPr>
          <w:rFonts w:ascii="Times New Roman" w:hAnsi="Times New Roman" w:cs="Times New Roman" w:eastAsia="Times New Roman" w:hint="default"/>
          <w:spacing w:val="-1"/>
        </w:rPr>
        <w:t>“</w:t>
      </w:r>
      <w:r>
        <w:rPr>
          <w:spacing w:val="-1"/>
        </w:rPr>
        <w:t>互联网</w:t>
      </w:r>
      <w:r>
        <w:rPr>
          <w:spacing w:val="24"/>
        </w:rPr>
        <w:t> </w:t>
      </w:r>
      <w:r>
        <w:rPr>
          <w:rFonts w:ascii="Times New Roman" w:hAnsi="Times New Roman" w:cs="Times New Roman" w:eastAsia="Times New Roman" w:hint="default"/>
          <w:spacing w:val="-2"/>
        </w:rPr>
        <w:t>+”</w:t>
      </w:r>
      <w:r>
        <w:rPr>
          <w:spacing w:val="-2"/>
        </w:rPr>
        <w:t>和大数据上升为国家战略，将互联网技术与交通运输业融合发展是促进经济发展的重要内容。智慧化成为交</w:t>
      </w:r>
      <w:r>
        <w:rPr>
          <w:spacing w:val="-86"/>
        </w:rPr>
        <w:t> </w:t>
      </w:r>
      <w:r>
        <w:rPr>
          <w:spacing w:val="-86"/>
        </w:rPr>
      </w:r>
      <w:r>
        <w:rPr>
          <w:spacing w:val="-2"/>
        </w:rPr>
        <w:t>通运输系统的显著特征，对交通运输行业治理体系和服务模式产生广泛而深刻的影响，交通运输信息化建设正处于从分散转</w:t>
      </w:r>
      <w:r>
        <w:rPr>
          <w:spacing w:val="-64"/>
        </w:rPr>
        <w:t> </w:t>
      </w:r>
      <w:r>
        <w:rPr>
          <w:spacing w:val="-64"/>
        </w:rPr>
      </w:r>
      <w:r>
        <w:rPr>
          <w:spacing w:val="-2"/>
        </w:rPr>
        <w:t>向集约、从孤立封闭转向共享开放重要转型期，将迈入全面联网、业务协同、智能应用的新阶段。目前交通运输行业仍存在</w:t>
      </w:r>
      <w:r>
        <w:rPr>
          <w:spacing w:val="-66"/>
        </w:rPr>
        <w:t> </w:t>
      </w:r>
      <w:r>
        <w:rPr>
          <w:spacing w:val="-66"/>
        </w:rPr>
      </w:r>
      <w:r>
        <w:rPr>
          <w:spacing w:val="-2"/>
        </w:rPr>
        <w:t>信息化发展不均衡、资源共享难、互联互通难、业务协同难等问题，如何以大数据能力实现对信息资源的有效利用，是引领</w:t>
      </w:r>
      <w:r>
        <w:rPr>
          <w:spacing w:val="-66"/>
        </w:rPr>
        <w:t> </w:t>
      </w:r>
      <w:r>
        <w:rPr>
          <w:spacing w:val="-66"/>
        </w:rPr>
      </w:r>
      <w:r>
        <w:rPr/>
        <w:t>交通运输行业发展与提升治理能力的关键。</w:t>
      </w:r>
    </w:p>
    <w:p>
      <w:pPr>
        <w:spacing w:line="240" w:lineRule="auto" w:before="6"/>
        <w:rPr>
          <w:rFonts w:ascii="宋体" w:hAnsi="宋体" w:cs="宋体" w:eastAsia="宋体" w:hint="default"/>
          <w:sz w:val="25"/>
          <w:szCs w:val="25"/>
        </w:rPr>
      </w:pPr>
    </w:p>
    <w:p>
      <w:pPr>
        <w:pStyle w:val="BodyText"/>
        <w:spacing w:line="309" w:lineRule="auto"/>
        <w:ind w:right="1129"/>
        <w:jc w:val="both"/>
      </w:pPr>
      <w:r>
        <w:rPr>
          <w:spacing w:val="-2"/>
        </w:rPr>
        <w:t>报告期，我国交通运输信息化</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发展规划进入深化落实阶段，公司继续重点布局交通行业公路水路安全畅通与应急处</w:t>
      </w:r>
      <w:r>
        <w:rPr>
          <w:spacing w:val="-45"/>
        </w:rPr>
        <w:t> </w:t>
      </w:r>
      <w:r>
        <w:rPr>
          <w:spacing w:val="-45"/>
        </w:rPr>
      </w:r>
      <w:r>
        <w:rPr>
          <w:spacing w:val="-2"/>
        </w:rPr>
        <w:t>置系统、公路水路交通出行信息服务系统、公路水路建设与运输市场信用信息服务系统、交通运输统计分析监测和投资计划</w:t>
      </w:r>
      <w:r>
        <w:rPr>
          <w:spacing w:val="-66"/>
        </w:rPr>
        <w:t> </w:t>
      </w:r>
      <w:r>
        <w:rPr>
          <w:spacing w:val="-66"/>
        </w:rPr>
      </w:r>
      <w:r>
        <w:rPr>
          <w:spacing w:val="-2"/>
        </w:rPr>
        <w:t>管理信息系统等国家重大工程建设项目，业务范围已扩增至全国</w:t>
      </w:r>
      <w:r>
        <w:rPr>
          <w:rFonts w:ascii="Times New Roman" w:hAnsi="Times New Roman" w:cs="Times New Roman" w:eastAsia="Times New Roman" w:hint="default"/>
          <w:spacing w:val="-2"/>
        </w:rPr>
        <w:t>26</w:t>
      </w:r>
      <w:r>
        <w:rPr>
          <w:spacing w:val="-2"/>
        </w:rPr>
        <w:t>个省份。公司通过大数据技术、平台及产品，不断完善交</w:t>
      </w:r>
      <w:r>
        <w:rPr>
          <w:spacing w:val="-64"/>
        </w:rPr>
        <w:t> </w:t>
      </w:r>
      <w:r>
        <w:rPr>
          <w:spacing w:val="-64"/>
        </w:rPr>
      </w:r>
      <w:r>
        <w:rPr>
          <w:spacing w:val="-2"/>
        </w:rPr>
        <w:t>通行业产品与解决方案，在保证国家重点项目交付验收的同时，进一步向交通部直属二级单位及各省公路局延伸，实现行业</w:t>
      </w:r>
      <w:r>
        <w:rPr>
          <w:spacing w:val="-66"/>
        </w:rPr>
        <w:t> </w:t>
      </w:r>
      <w:r>
        <w:rPr>
          <w:spacing w:val="-66"/>
        </w:rPr>
      </w:r>
      <w:r>
        <w:rPr>
          <w:spacing w:val="-2"/>
        </w:rPr>
        <w:t>纵深发展。本报告期，公司签约云南省公路局云计算数据中心系统和甘肃省交通运输云数据交换共享应用平台项目，加速推</w:t>
      </w:r>
      <w:r>
        <w:rPr>
          <w:spacing w:val="-66"/>
        </w:rPr>
        <w:t> </w:t>
      </w:r>
      <w:r>
        <w:rPr>
          <w:spacing w:val="-66"/>
        </w:rPr>
      </w:r>
      <w:r>
        <w:rPr>
          <w:spacing w:val="-2"/>
        </w:rPr>
        <w:t>进交通数据中心项目进程；签约陕西省和新疆维吾尔自治区的交通市场信用信息应用管理系统项目，继续扩大市场份额；启</w:t>
      </w:r>
      <w:r>
        <w:rPr>
          <w:spacing w:val="-66"/>
        </w:rPr>
        <w:t> </w:t>
      </w:r>
      <w:r>
        <w:rPr>
          <w:spacing w:val="-66"/>
        </w:rPr>
      </w:r>
      <w:r>
        <w:rPr/>
        <w:t>动交通执法业务部署，相继签约新疆维吾尔自治区和云南省的交通运输行政执法综合管理信息系统工程项目。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spacing w:val="-81"/>
        </w:rPr>
        <w:t> </w:t>
      </w:r>
      <w:r>
        <w:rPr/>
        <w:t>公司应邀参加</w:t>
      </w:r>
      <w:r>
        <w:rPr>
          <w:rFonts w:ascii="Times New Roman" w:hAnsi="Times New Roman" w:cs="Times New Roman" w:eastAsia="Times New Roman" w:hint="default"/>
        </w:rPr>
        <w:t>2018</w:t>
      </w:r>
      <w:r>
        <w:rPr/>
        <w:t>世界交通运输大会（</w:t>
      </w:r>
      <w:r>
        <w:rPr>
          <w:rFonts w:ascii="Times New Roman" w:hAnsi="Times New Roman" w:cs="Times New Roman" w:eastAsia="Times New Roman" w:hint="default"/>
        </w:rPr>
        <w:t>WTC</w:t>
      </w:r>
      <w:r>
        <w:rPr/>
        <w:t>），并参与协办</w:t>
      </w:r>
      <w:r>
        <w:rPr>
          <w:rFonts w:ascii="Times New Roman" w:hAnsi="Times New Roman" w:cs="Times New Roman" w:eastAsia="Times New Roman" w:hint="default"/>
        </w:rPr>
        <w:t>“</w:t>
      </w:r>
      <w:r>
        <w:rPr/>
        <w:t>大数据引领交通创新发展国际论坛</w:t>
      </w:r>
      <w:r>
        <w:rPr>
          <w:rFonts w:ascii="Times New Roman" w:hAnsi="Times New Roman" w:cs="Times New Roman" w:eastAsia="Times New Roman" w:hint="default"/>
        </w:rPr>
        <w:t>”</w:t>
      </w:r>
      <w:r>
        <w:rPr/>
        <w:t>，为我国交通领域信息化</w:t>
      </w:r>
      <w:r>
        <w:rPr>
          <w:spacing w:val="-22"/>
        </w:rPr>
        <w:t> </w:t>
      </w:r>
      <w:r>
        <w:rPr>
          <w:spacing w:val="-22"/>
        </w:rPr>
      </w:r>
      <w:r>
        <w:rPr/>
        <w:t>发展献策献力。</w:t>
      </w:r>
    </w:p>
    <w:p>
      <w:pPr>
        <w:spacing w:line="240" w:lineRule="auto" w:before="9"/>
        <w:rPr>
          <w:rFonts w:ascii="宋体" w:hAnsi="宋体" w:cs="宋体" w:eastAsia="宋体" w:hint="default"/>
          <w:sz w:val="25"/>
          <w:szCs w:val="25"/>
        </w:rPr>
      </w:pPr>
    </w:p>
    <w:p>
      <w:pPr>
        <w:pStyle w:val="BodyText"/>
        <w:spacing w:line="240" w:lineRule="auto"/>
        <w:ind w:right="0"/>
        <w:jc w:val="both"/>
      </w:pPr>
      <w:r>
        <w:rPr>
          <w:rFonts w:ascii="Times New Roman" w:hAnsi="Times New Roman" w:cs="Times New Roman" w:eastAsia="Times New Roman" w:hint="default"/>
        </w:rPr>
        <w:t>(3)   </w:t>
      </w:r>
      <w:r>
        <w:rPr>
          <w:rFonts w:ascii="Times New Roman" w:hAnsi="Times New Roman" w:cs="Times New Roman" w:eastAsia="Times New Roman" w:hint="default"/>
          <w:spacing w:val="29"/>
        </w:rPr>
        <w:t> </w:t>
      </w:r>
      <w:r>
        <w:rPr/>
        <w:t>司法领域</w:t>
      </w:r>
    </w:p>
    <w:p>
      <w:pPr>
        <w:spacing w:line="240" w:lineRule="auto" w:before="0"/>
        <w:rPr>
          <w:rFonts w:ascii="宋体" w:hAnsi="宋体" w:cs="宋体" w:eastAsia="宋体" w:hint="default"/>
          <w:sz w:val="18"/>
          <w:szCs w:val="18"/>
        </w:rPr>
      </w:pPr>
    </w:p>
    <w:p>
      <w:pPr>
        <w:pStyle w:val="BodyText"/>
        <w:spacing w:line="309" w:lineRule="auto" w:before="139"/>
        <w:ind w:right="1130"/>
        <w:jc w:val="both"/>
      </w:pPr>
      <w:r>
        <w:rPr/>
        <w:t>为适应国家网络强国战略及司法改革的需要，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月召开的全国法院第五次网络安全和信息化工作会议上，最高法对智</w:t>
      </w:r>
      <w:r>
        <w:rPr>
          <w:spacing w:val="-83"/>
        </w:rPr>
        <w:t> </w:t>
      </w:r>
      <w:r>
        <w:rPr>
          <w:spacing w:val="-83"/>
        </w:rPr>
      </w:r>
      <w:r>
        <w:rPr>
          <w:spacing w:val="-2"/>
        </w:rPr>
        <w:t>慧法院提出了新的发展建设要求，目前正值智慧法院初步建设时期，要求加快推进智慧法院的全面建设，坚定不移走科技创</w:t>
      </w:r>
      <w:r>
        <w:rPr>
          <w:spacing w:val="-66"/>
        </w:rPr>
        <w:t> </w:t>
      </w:r>
      <w:r>
        <w:rPr>
          <w:spacing w:val="-66"/>
        </w:rPr>
      </w:r>
      <w:r>
        <w:rPr/>
        <w:t>新之路，深入开展司法大数据研究，推进人工智能全面运用，推动智慧法院由初步形成向全面建设迈进。</w:t>
      </w:r>
    </w:p>
    <w:p>
      <w:pPr>
        <w:spacing w:line="240" w:lineRule="auto" w:before="9"/>
        <w:rPr>
          <w:rFonts w:ascii="宋体" w:hAnsi="宋体" w:cs="宋体" w:eastAsia="宋体" w:hint="default"/>
          <w:sz w:val="25"/>
          <w:szCs w:val="25"/>
        </w:rPr>
      </w:pPr>
    </w:p>
    <w:p>
      <w:pPr>
        <w:pStyle w:val="BodyText"/>
        <w:spacing w:line="312" w:lineRule="auto"/>
        <w:ind w:right="1032"/>
        <w:jc w:val="left"/>
      </w:pPr>
      <w:r>
        <w:rPr>
          <w:spacing w:val="-2"/>
        </w:rPr>
        <w:t>报告期，华夏电通继续加快智慧法院业务升级与部署，与阿里云、律典通建立战略合作关系，不断丰富完善智慧法院相关产</w:t>
      </w:r>
      <w:r>
        <w:rPr>
          <w:spacing w:val="-66"/>
        </w:rPr>
        <w:t> </w:t>
      </w:r>
      <w:r>
        <w:rPr>
          <w:spacing w:val="-66"/>
        </w:rPr>
      </w:r>
      <w:r>
        <w:rPr>
          <w:spacing w:val="-3"/>
        </w:rPr>
        <w:t>品，助力人民法院信息化</w:t>
      </w:r>
      <w:r>
        <w:rPr>
          <w:rFonts w:ascii="Times New Roman" w:hAnsi="Times New Roman" w:cs="Times New Roman" w:eastAsia="Times New Roman" w:hint="default"/>
          <w:spacing w:val="-3"/>
        </w:rPr>
        <w:t>3.0</w:t>
      </w:r>
      <w:r>
        <w:rPr>
          <w:spacing w:val="-3"/>
        </w:rPr>
        <w:t>发展建设。通过不断完善智能语义分析、要素式知识图谱、大数据分析和智能判断等技术应用，</w:t>
      </w:r>
      <w:r>
        <w:rPr>
          <w:spacing w:val="-56"/>
        </w:rPr>
        <w:t> </w:t>
      </w:r>
      <w:r>
        <w:rPr>
          <w:spacing w:val="-56"/>
        </w:rPr>
      </w:r>
      <w:r>
        <w:rPr>
          <w:spacing w:val="-5"/>
        </w:rPr>
        <w:t>结合法院办案的具体流程，根据用户从立案、庭前准备到庭审、判决再到结案、执行等不同阶段的需求，不断丰富智慧法庭、</w:t>
      </w:r>
      <w:r>
        <w:rPr>
          <w:spacing w:val="-79"/>
        </w:rPr>
        <w:t> </w:t>
      </w:r>
      <w:r>
        <w:rPr>
          <w:spacing w:val="-79"/>
        </w:rPr>
      </w:r>
      <w:r>
        <w:rPr>
          <w:spacing w:val="-5"/>
        </w:rPr>
        <w:t>智慧审判以及智慧监管产品线，推出了电子卷宗随案生成深度应用、裁判文书自动生成、同案同判法律智能推送、智慧法庭、</w:t>
      </w:r>
      <w:r>
        <w:rPr>
          <w:spacing w:val="-82"/>
        </w:rPr>
        <w:t> </w:t>
      </w:r>
      <w:r>
        <w:rPr>
          <w:spacing w:val="-82"/>
        </w:rPr>
      </w:r>
      <w:r>
        <w:rPr/>
        <w:t>智能巡查、司法数据可视化等产品。智慧法院业务已延伸至</w:t>
      </w:r>
      <w:r>
        <w:rPr>
          <w:rFonts w:ascii="Times New Roman" w:hAnsi="Times New Roman" w:cs="Times New Roman" w:eastAsia="Times New Roman" w:hint="default"/>
        </w:rPr>
        <w:t>11</w:t>
      </w:r>
      <w:r>
        <w:rPr/>
        <w:t>个省和自治区，包括辽宁、山西、河南、山东、江苏、安徽、</w:t>
      </w:r>
      <w:r>
        <w:rPr>
          <w:spacing w:val="-84"/>
        </w:rPr>
        <w:t> </w:t>
      </w:r>
      <w:r>
        <w:rPr>
          <w:spacing w:val="-84"/>
        </w:rPr>
      </w:r>
      <w:r>
        <w:rPr>
          <w:spacing w:val="-2"/>
        </w:rPr>
        <w:t>重庆、云南、贵州、广东、新疆；其中，智慧法庭业务在辽宁全省基本落地，山东全省和新疆自治区全区的电子卷宗随案生</w:t>
      </w:r>
      <w:r>
        <w:rPr>
          <w:spacing w:val="-72"/>
        </w:rPr>
        <w:t> </w:t>
      </w:r>
      <w:r>
        <w:rPr>
          <w:spacing w:val="-72"/>
        </w:rPr>
      </w:r>
      <w:r>
        <w:rPr>
          <w:spacing w:val="-2"/>
        </w:rPr>
        <w:t>成业务也都由华夏电通承担建设。此外，报告期内华夏电通在检察院领域也取得了突破，推出了包括电子卷宗管理、智慧执</w:t>
      </w:r>
      <w:r>
        <w:rPr>
          <w:spacing w:val="-66"/>
        </w:rPr>
        <w:t> </w:t>
      </w:r>
      <w:r>
        <w:rPr>
          <w:spacing w:val="-66"/>
        </w:rPr>
      </w:r>
      <w:r>
        <w:rPr/>
        <w:t>检、智慧案管、量刑辅助、远程讯问、三方远程庭审在内的智慧检务解决方案，并陆续在一些省地市检察院获得应用。</w:t>
      </w:r>
    </w:p>
    <w:p>
      <w:pPr>
        <w:spacing w:line="240" w:lineRule="auto" w:before="7"/>
        <w:rPr>
          <w:rFonts w:ascii="宋体" w:hAnsi="宋体" w:cs="宋体" w:eastAsia="宋体" w:hint="default"/>
          <w:sz w:val="25"/>
          <w:szCs w:val="25"/>
        </w:rPr>
      </w:pPr>
    </w:p>
    <w:p>
      <w:pPr>
        <w:pStyle w:val="BodyText"/>
        <w:spacing w:line="240" w:lineRule="auto"/>
        <w:ind w:right="0"/>
        <w:jc w:val="both"/>
      </w:pPr>
      <w:r>
        <w:rPr>
          <w:rFonts w:ascii="Times New Roman" w:hAnsi="Times New Roman" w:cs="Times New Roman" w:eastAsia="Times New Roman" w:hint="default"/>
        </w:rPr>
        <w:t>(4)   </w:t>
      </w:r>
      <w:r>
        <w:rPr>
          <w:rFonts w:ascii="Times New Roman" w:hAnsi="Times New Roman" w:cs="Times New Roman" w:eastAsia="Times New Roman" w:hint="default"/>
          <w:spacing w:val="29"/>
        </w:rPr>
        <w:t> </w:t>
      </w:r>
      <w:r>
        <w:rPr/>
        <w:t>民生领域</w:t>
      </w:r>
    </w:p>
    <w:p>
      <w:pPr>
        <w:spacing w:line="240" w:lineRule="auto" w:before="0"/>
        <w:rPr>
          <w:rFonts w:ascii="宋体" w:hAnsi="宋体" w:cs="宋体" w:eastAsia="宋体" w:hint="default"/>
          <w:sz w:val="18"/>
          <w:szCs w:val="18"/>
        </w:rPr>
      </w:pPr>
    </w:p>
    <w:p>
      <w:pPr>
        <w:pStyle w:val="BodyText"/>
        <w:spacing w:line="300" w:lineRule="auto" w:before="139"/>
        <w:ind w:right="1043"/>
        <w:jc w:val="both"/>
      </w:pPr>
      <w:r>
        <w:rPr>
          <w:spacing w:val="-5"/>
        </w:rPr>
        <w:t>坚持在发展中保障和改善民生，是我国政府</w:t>
      </w:r>
      <w:r>
        <w:rPr>
          <w:rFonts w:ascii="Times New Roman" w:hAnsi="Times New Roman" w:cs="Times New Roman" w:eastAsia="Times New Roman" w:hint="default"/>
          <w:spacing w:val="-5"/>
        </w:rPr>
        <w:t>2018</w:t>
      </w:r>
      <w:r>
        <w:rPr>
          <w:spacing w:val="-5"/>
        </w:rPr>
        <w:t>年重点工作之一。公司以大数据为纽带，以民生服务为根本，在扶贫、教育、</w:t>
      </w:r>
      <w:r>
        <w:rPr>
          <w:spacing w:val="-69"/>
        </w:rPr>
        <w:t> </w:t>
      </w:r>
      <w:r>
        <w:rPr>
          <w:spacing w:val="-69"/>
        </w:rPr>
      </w:r>
      <w:r>
        <w:rPr/>
        <w:t>政府服务等民生领域，通过大数据技术助力政府及民生工作实现数据共享和资源利用，助力政府决策科学化、服务便民化。</w:t>
      </w:r>
    </w:p>
    <w:p>
      <w:pPr>
        <w:spacing w:line="240" w:lineRule="auto" w:before="4"/>
        <w:rPr>
          <w:rFonts w:ascii="宋体" w:hAnsi="宋体" w:cs="宋体" w:eastAsia="宋体" w:hint="default"/>
          <w:sz w:val="26"/>
          <w:szCs w:val="26"/>
        </w:rPr>
      </w:pPr>
    </w:p>
    <w:p>
      <w:pPr>
        <w:pStyle w:val="BodyText"/>
        <w:spacing w:line="316" w:lineRule="auto"/>
        <w:ind w:right="1130"/>
        <w:jc w:val="both"/>
      </w:pPr>
      <w:r>
        <w:rPr>
          <w:spacing w:val="-2"/>
        </w:rPr>
        <w:t>精准扶贫方面，报告期公司签约国务院扶贫办信息中心扶贫开发政策仿真系统项目，通过脱贫人口预测、政策贡献度、摘帽</w:t>
      </w:r>
      <w:r>
        <w:rPr>
          <w:spacing w:val="-65"/>
        </w:rPr>
        <w:t> </w:t>
      </w:r>
      <w:r>
        <w:rPr>
          <w:spacing w:val="-65"/>
        </w:rPr>
      </w:r>
      <w:r>
        <w:rPr>
          <w:spacing w:val="-2"/>
        </w:rPr>
        <w:t>合理性三大模型支撑扶贫政策仿真，正式开启精准扶贫大数据三期建设，深入扶贫决策支持模型的研究开发，签约西藏和内</w:t>
      </w:r>
      <w:r>
        <w:rPr>
          <w:spacing w:val="-66"/>
        </w:rPr>
        <w:t> </w:t>
      </w:r>
      <w:r>
        <w:rPr>
          <w:spacing w:val="-66"/>
        </w:rPr>
      </w:r>
      <w:r>
        <w:rPr>
          <w:spacing w:val="-2"/>
        </w:rPr>
        <w:t>蒙古多个地区精准扶贫大数据项目。通过大数据技术在各地扶贫工作过程中的分析与应用，能够因地制宜、因人而异地实施</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政策，扶贫大数据已经成为提升政府扶贫管理能力、强化脱贫攻坚成效的重要手段。</w:t>
      </w:r>
    </w:p>
    <w:p>
      <w:pPr>
        <w:spacing w:line="240" w:lineRule="auto" w:before="0"/>
        <w:rPr>
          <w:rFonts w:ascii="宋体" w:hAnsi="宋体" w:cs="宋体" w:eastAsia="宋体" w:hint="default"/>
          <w:sz w:val="18"/>
          <w:szCs w:val="18"/>
        </w:rPr>
      </w:pPr>
    </w:p>
    <w:p>
      <w:pPr>
        <w:pStyle w:val="BodyText"/>
        <w:spacing w:line="312" w:lineRule="auto" w:before="153"/>
        <w:ind w:right="1129"/>
        <w:jc w:val="both"/>
      </w:pPr>
      <w:r>
        <w:rPr/>
        <w:t>智慧教育方面，报告期公司加快建设教育部国资监管平台，面向高校的资产管理业务已覆盖全国</w:t>
      </w:r>
      <w:r>
        <w:rPr>
          <w:rFonts w:ascii="Times New Roman" w:hAnsi="Times New Roman" w:cs="Times New Roman" w:eastAsia="Times New Roman" w:hint="default"/>
        </w:rPr>
        <w:t>300</w:t>
      </w:r>
      <w:r>
        <w:rPr/>
        <w:t>余家高校。教育大数据</w:t>
      </w:r>
      <w:r>
        <w:rPr>
          <w:spacing w:val="-82"/>
        </w:rPr>
        <w:t> </w:t>
      </w:r>
      <w:r>
        <w:rPr>
          <w:spacing w:val="-82"/>
        </w:rPr>
      </w:r>
      <w:r>
        <w:rPr>
          <w:spacing w:val="-2"/>
        </w:rPr>
        <w:t>是推动教育治理水平提升、均衡教育资源、弥补教育服务短板的重要措施，公司在完成广东、宁夏国家教育大数据与分析决</w:t>
      </w:r>
      <w:r>
        <w:rPr>
          <w:spacing w:val="-66"/>
        </w:rPr>
        <w:t> </w:t>
      </w:r>
      <w:r>
        <w:rPr>
          <w:spacing w:val="-66"/>
        </w:rPr>
      </w:r>
      <w:r>
        <w:rPr>
          <w:spacing w:val="-2"/>
        </w:rPr>
        <w:t>策平台省级项目交付的基础上，中标西藏自治区教育厅教育珠峰旗云工程之数据融合与分析决策项目，首次打通教育资源和</w:t>
      </w:r>
      <w:r>
        <w:rPr>
          <w:spacing w:val="-64"/>
        </w:rPr>
        <w:t> </w:t>
      </w:r>
      <w:r>
        <w:rPr>
          <w:spacing w:val="-64"/>
        </w:rPr>
      </w:r>
      <w:r>
        <w:rPr/>
        <w:t>管理</w:t>
      </w:r>
      <w:r>
        <w:rPr>
          <w:rFonts w:ascii="Times New Roman" w:hAnsi="Times New Roman" w:cs="Times New Roman" w:eastAsia="Times New Roman" w:hint="default"/>
        </w:rPr>
        <w:t>“</w:t>
      </w:r>
      <w:r>
        <w:rPr/>
        <w:t>两平台</w:t>
      </w:r>
      <w:r>
        <w:rPr>
          <w:rFonts w:ascii="Times New Roman" w:hAnsi="Times New Roman" w:cs="Times New Roman" w:eastAsia="Times New Roman" w:hint="default"/>
        </w:rPr>
        <w:t>”</w:t>
      </w:r>
      <w:r>
        <w:rPr/>
        <w:t>，建立统一信息化标准体系，并在全区约</w:t>
      </w:r>
      <w:r>
        <w:rPr>
          <w:rFonts w:ascii="Times New Roman" w:hAnsi="Times New Roman" w:cs="Times New Roman" w:eastAsia="Times New Roman" w:hint="default"/>
        </w:rPr>
        <w:t>2,000</w:t>
      </w:r>
      <w:r>
        <w:rPr/>
        <w:t>所学校推广落地。</w:t>
      </w:r>
    </w:p>
    <w:p>
      <w:pPr>
        <w:spacing w:line="240" w:lineRule="auto" w:before="1"/>
        <w:rPr>
          <w:rFonts w:ascii="宋体" w:hAnsi="宋体" w:cs="宋体" w:eastAsia="宋体" w:hint="default"/>
          <w:sz w:val="24"/>
          <w:szCs w:val="24"/>
        </w:rPr>
      </w:pPr>
    </w:p>
    <w:p>
      <w:pPr>
        <w:pStyle w:val="BodyText"/>
        <w:spacing w:line="300" w:lineRule="auto"/>
        <w:ind w:right="1129"/>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月，国务院办公厅印发《进一步深化</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政务服务</w:t>
      </w:r>
      <w:r>
        <w:rPr>
          <w:rFonts w:ascii="Times New Roman" w:hAnsi="Times New Roman" w:cs="Times New Roman" w:eastAsia="Times New Roman" w:hint="default"/>
          <w:spacing w:val="-1"/>
        </w:rPr>
        <w:t>”</w:t>
      </w:r>
      <w:r>
        <w:rPr>
          <w:spacing w:val="-1"/>
        </w:rPr>
        <w:t>推进政务服务</w:t>
      </w:r>
      <w:r>
        <w:rPr>
          <w:rFonts w:ascii="Times New Roman" w:hAnsi="Times New Roman" w:cs="Times New Roman" w:eastAsia="Times New Roman" w:hint="default"/>
          <w:spacing w:val="-1"/>
        </w:rPr>
        <w:t>“</w:t>
      </w:r>
      <w:r>
        <w:rPr>
          <w:spacing w:val="-1"/>
        </w:rPr>
        <w:t>一网、一门、一次</w:t>
      </w:r>
      <w:r>
        <w:rPr>
          <w:rFonts w:ascii="Times New Roman" w:hAnsi="Times New Roman" w:cs="Times New Roman" w:eastAsia="Times New Roman" w:hint="default"/>
          <w:spacing w:val="-1"/>
        </w:rPr>
        <w:t>”</w:t>
      </w:r>
      <w:r>
        <w:rPr>
          <w:spacing w:val="-1"/>
        </w:rPr>
        <w:t>改革实施方案》，要求加</w:t>
      </w:r>
      <w:r>
        <w:rPr/>
        <w:t> </w:t>
      </w:r>
      <w:r>
        <w:rPr>
          <w:spacing w:val="-1"/>
        </w:rPr>
        <w:t>快推进以简政放权、创新监管、提升服务为核心，以信息化技术为支撑，让</w:t>
      </w:r>
      <w:r>
        <w:rPr>
          <w:rFonts w:ascii="Times New Roman" w:hAnsi="Times New Roman" w:cs="Times New Roman" w:eastAsia="Times New Roman" w:hint="default"/>
          <w:spacing w:val="-1"/>
        </w:rPr>
        <w:t>“</w:t>
      </w:r>
      <w:r>
        <w:rPr>
          <w:spacing w:val="-1"/>
        </w:rPr>
        <w:t>群众跑腿</w:t>
      </w:r>
      <w:r>
        <w:rPr>
          <w:rFonts w:ascii="Times New Roman" w:hAnsi="Times New Roman" w:cs="Times New Roman" w:eastAsia="Times New Roman" w:hint="default"/>
          <w:spacing w:val="-1"/>
        </w:rPr>
        <w:t>”</w:t>
      </w:r>
      <w:r>
        <w:rPr>
          <w:spacing w:val="-1"/>
        </w:rPr>
        <w:t>变为</w:t>
      </w:r>
      <w:r>
        <w:rPr>
          <w:rFonts w:ascii="Times New Roman" w:hAnsi="Times New Roman" w:cs="Times New Roman" w:eastAsia="Times New Roman" w:hint="default"/>
          <w:spacing w:val="-1"/>
        </w:rPr>
        <w:t>“</w:t>
      </w:r>
      <w:r>
        <w:rPr>
          <w:spacing w:val="-1"/>
        </w:rPr>
        <w:t>数据跑腿</w:t>
      </w:r>
      <w:r>
        <w:rPr>
          <w:rFonts w:ascii="Times New Roman" w:hAnsi="Times New Roman" w:cs="Times New Roman" w:eastAsia="Times New Roman" w:hint="default"/>
          <w:spacing w:val="-1"/>
        </w:rPr>
        <w:t>”</w:t>
      </w:r>
      <w:r>
        <w:rPr>
          <w:spacing w:val="-1"/>
        </w:rPr>
        <w:t>的政府服务管理新模</w:t>
      </w:r>
      <w:r>
        <w:rPr>
          <w:spacing w:val="-79"/>
        </w:rPr>
        <w:t> </w:t>
      </w:r>
      <w:r>
        <w:rPr/>
        <w:t>式。公司发挥技术优势，在报告期推进</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政务服务</w:t>
      </w:r>
      <w:r>
        <w:rPr>
          <w:rFonts w:ascii="Times New Roman" w:hAnsi="Times New Roman" w:cs="Times New Roman" w:eastAsia="Times New Roman" w:hint="default"/>
        </w:rPr>
        <w:t>”</w:t>
      </w:r>
      <w:r>
        <w:rPr/>
        <w:t>义务，承担建设全国婚姻登记、国家艺术基金网上申报评审、中</w:t>
      </w:r>
      <w:r>
        <w:rPr>
          <w:spacing w:val="-76"/>
        </w:rPr>
        <w:t> </w:t>
      </w:r>
      <w:r>
        <w:rPr>
          <w:spacing w:val="-76"/>
        </w:rPr>
      </w:r>
      <w:r>
        <w:rPr/>
        <w:t>注协</w:t>
      </w:r>
      <w:r>
        <w:rPr>
          <w:rFonts w:ascii="Times New Roman" w:hAnsi="Times New Roman" w:cs="Times New Roman" w:eastAsia="Times New Roman" w:hint="default"/>
        </w:rPr>
        <w:t>CPA</w:t>
      </w:r>
      <w:r>
        <w:rPr/>
        <w:t>考试报名、全国矿业权人信息公示等系统项目，并以</w:t>
      </w:r>
      <w:r>
        <w:rPr>
          <w:rFonts w:ascii="Times New Roman" w:hAnsi="Times New Roman" w:cs="Times New Roman" w:eastAsia="Times New Roman" w:hint="default"/>
        </w:rPr>
        <w:t>“</w:t>
      </w:r>
      <w:r>
        <w:rPr/>
        <w:t>大数据</w:t>
      </w:r>
      <w:r>
        <w:rPr>
          <w:rFonts w:ascii="Times New Roman" w:hAnsi="Times New Roman" w:cs="Times New Roman" w:eastAsia="Times New Roman" w:hint="default"/>
        </w:rPr>
        <w:t>+</w:t>
      </w:r>
      <w:r>
        <w:rPr/>
        <w:t>人工智能</w:t>
      </w:r>
      <w:r>
        <w:rPr>
          <w:rFonts w:ascii="Times New Roman" w:hAnsi="Times New Roman" w:cs="Times New Roman" w:eastAsia="Times New Roman" w:hint="default"/>
        </w:rPr>
        <w:t>”</w:t>
      </w:r>
      <w:r>
        <w:rPr/>
        <w:t>的应用助力国家信访局、天津信访局等项</w:t>
      </w:r>
      <w:r>
        <w:rPr>
          <w:spacing w:val="-71"/>
        </w:rPr>
        <w:t> </w:t>
      </w:r>
      <w:r>
        <w:rPr>
          <w:spacing w:val="-71"/>
        </w:rPr>
      </w:r>
      <w:r>
        <w:rPr/>
        <w:t>目，实现部门数据互联互通，重塑业务、服务公众。</w:t>
      </w:r>
    </w:p>
    <w:p>
      <w:pPr>
        <w:spacing w:line="240" w:lineRule="auto" w:before="3"/>
        <w:rPr>
          <w:rFonts w:ascii="宋体" w:hAnsi="宋体" w:cs="宋体" w:eastAsia="宋体" w:hint="default"/>
          <w:sz w:val="26"/>
          <w:szCs w:val="26"/>
        </w:rPr>
      </w:pPr>
    </w:p>
    <w:p>
      <w:pPr>
        <w:pStyle w:val="BodyText"/>
        <w:spacing w:line="240" w:lineRule="auto"/>
        <w:ind w:right="0"/>
        <w:jc w:val="both"/>
      </w:pPr>
      <w:r>
        <w:rPr>
          <w:rFonts w:ascii="Times New Roman" w:hAnsi="Times New Roman" w:cs="Times New Roman" w:eastAsia="Times New Roman" w:hint="default"/>
        </w:rPr>
        <w:t>2</w:t>
      </w:r>
      <w:r>
        <w:rPr/>
        <w:t>、集团管控业务</w:t>
      </w:r>
    </w:p>
    <w:p>
      <w:pPr>
        <w:spacing w:line="240" w:lineRule="auto" w:before="0"/>
        <w:rPr>
          <w:rFonts w:ascii="宋体" w:hAnsi="宋体" w:cs="宋体" w:eastAsia="宋体" w:hint="default"/>
          <w:sz w:val="18"/>
          <w:szCs w:val="18"/>
        </w:rPr>
      </w:pPr>
    </w:p>
    <w:p>
      <w:pPr>
        <w:pStyle w:val="BodyText"/>
        <w:spacing w:line="312" w:lineRule="auto" w:before="139"/>
        <w:ind w:right="1130"/>
        <w:jc w:val="both"/>
      </w:pPr>
      <w:r>
        <w:rPr>
          <w:spacing w:val="-2"/>
        </w:rPr>
        <w:t>企业大数据面临的挑战主要是在于企业经营数据、业务数据的分散，数据资产缺乏管控以及数据陈旧，无法支持业务变革需</w:t>
      </w:r>
      <w:r>
        <w:rPr>
          <w:spacing w:val="-66"/>
        </w:rPr>
        <w:t> </w:t>
      </w:r>
      <w:r>
        <w:rPr>
          <w:spacing w:val="-66"/>
        </w:rPr>
      </w:r>
      <w:r>
        <w:rPr>
          <w:spacing w:val="-5"/>
        </w:rPr>
        <w:t>求。同时在当前复杂的社会经济环境和激烈的市场竞争当中，数据不仅是企业的核心资产，还是企业识别风险的最主要元素，</w:t>
      </w:r>
      <w:r>
        <w:rPr>
          <w:spacing w:val="-79"/>
        </w:rPr>
        <w:t> </w:t>
      </w:r>
      <w:r>
        <w:rPr>
          <w:spacing w:val="-79"/>
        </w:rPr>
      </w:r>
      <w:r>
        <w:rPr>
          <w:spacing w:val="-2"/>
        </w:rPr>
        <w:t>以数据量化风险是企业管控过程中发挥数据最大价值的重要环节。公司集团管控业务秉持</w:t>
      </w:r>
      <w:r>
        <w:rPr>
          <w:rFonts w:ascii="Times New Roman" w:hAnsi="Times New Roman" w:cs="Times New Roman" w:eastAsia="Times New Roman" w:hint="default"/>
          <w:spacing w:val="-2"/>
        </w:rPr>
        <w:t>“</w:t>
      </w:r>
      <w:r>
        <w:rPr>
          <w:spacing w:val="-2"/>
        </w:rPr>
        <w:t>服务企业、价值于心</w:t>
      </w:r>
      <w:r>
        <w:rPr>
          <w:rFonts w:ascii="Times New Roman" w:hAnsi="Times New Roman" w:cs="Times New Roman" w:eastAsia="Times New Roman" w:hint="default"/>
          <w:spacing w:val="-2"/>
        </w:rPr>
        <w:t>”</w:t>
      </w:r>
      <w:r>
        <w:rPr>
          <w:spacing w:val="-2"/>
        </w:rPr>
        <w:t>的理念，通</w:t>
      </w:r>
      <w:r>
        <w:rPr>
          <w:spacing w:val="-44"/>
        </w:rPr>
        <w:t> </w:t>
      </w:r>
      <w:r>
        <w:rPr>
          <w:spacing w:val="-44"/>
        </w:rPr>
      </w:r>
      <w:r>
        <w:rPr>
          <w:spacing w:val="-2"/>
        </w:rPr>
        <w:t>过聚焦管控、深耕行业、技术引领、数据赋能，以财务业务一体化管控为目标，基于微服务、大数据及人工智能技术打造新</w:t>
      </w:r>
      <w:r>
        <w:rPr>
          <w:spacing w:val="-68"/>
        </w:rPr>
        <w:t> </w:t>
      </w:r>
      <w:r>
        <w:rPr>
          <w:spacing w:val="-68"/>
        </w:rPr>
      </w:r>
      <w:r>
        <w:rPr>
          <w:spacing w:val="-2"/>
        </w:rPr>
        <w:t>的智慧财务方案体系，用数据激发企业思想、推进企业变革，变数据价值为业务价值，帮助集团型企业客户建立更为强大的</w:t>
      </w:r>
      <w:r>
        <w:rPr>
          <w:spacing w:val="-66"/>
        </w:rPr>
        <w:t> </w:t>
      </w:r>
      <w:r>
        <w:rPr>
          <w:spacing w:val="-66"/>
        </w:rPr>
      </w:r>
      <w:r>
        <w:rPr/>
        <w:t>企业品牌。公司集团管控业务在报告期共实现收入</w:t>
      </w:r>
      <w:r>
        <w:rPr>
          <w:rFonts w:ascii="Times New Roman" w:hAnsi="Times New Roman" w:cs="Times New Roman" w:eastAsia="Times New Roman" w:hint="default"/>
        </w:rPr>
        <w:t>30,254.78</w:t>
      </w:r>
      <w:r>
        <w:rPr/>
        <w:t>万元，同比增幅</w:t>
      </w:r>
      <w:r>
        <w:rPr>
          <w:rFonts w:ascii="Times New Roman" w:hAnsi="Times New Roman" w:cs="Times New Roman" w:eastAsia="Times New Roman" w:hint="default"/>
        </w:rPr>
        <w:t>41.86%</w:t>
      </w:r>
      <w:r>
        <w:rPr/>
        <w:t>，继续聚焦建筑、通信、金融、军工和</w:t>
      </w:r>
      <w:r>
        <w:rPr>
          <w:spacing w:val="-20"/>
        </w:rPr>
        <w:t> </w:t>
      </w:r>
      <w:r>
        <w:rPr>
          <w:spacing w:val="-20"/>
        </w:rPr>
      </w:r>
      <w:r>
        <w:rPr/>
        <w:t>能源等优势行业市场。</w:t>
      </w:r>
    </w:p>
    <w:p>
      <w:pPr>
        <w:spacing w:line="240" w:lineRule="auto" w:before="8"/>
        <w:rPr>
          <w:rFonts w:ascii="宋体" w:hAnsi="宋体" w:cs="宋体" w:eastAsia="宋体" w:hint="default"/>
          <w:sz w:val="25"/>
          <w:szCs w:val="25"/>
        </w:rPr>
      </w:pPr>
    </w:p>
    <w:p>
      <w:pPr>
        <w:pStyle w:val="BodyText"/>
        <w:spacing w:line="240" w:lineRule="auto"/>
        <w:ind w:right="0"/>
        <w:jc w:val="both"/>
      </w:pPr>
      <w:r>
        <w:rPr>
          <w:rFonts w:ascii="Times New Roman" w:hAnsi="Times New Roman" w:cs="Times New Roman" w:eastAsia="Times New Roman" w:hint="default"/>
        </w:rPr>
        <w:t>(1)   </w:t>
      </w:r>
      <w:r>
        <w:rPr>
          <w:rFonts w:ascii="Times New Roman" w:hAnsi="Times New Roman" w:cs="Times New Roman" w:eastAsia="Times New Roman" w:hint="default"/>
          <w:spacing w:val="29"/>
        </w:rPr>
        <w:t> </w:t>
      </w:r>
      <w:r>
        <w:rPr/>
        <w:t>建筑行业</w:t>
      </w:r>
    </w:p>
    <w:p>
      <w:pPr>
        <w:spacing w:line="240" w:lineRule="auto" w:before="0"/>
        <w:rPr>
          <w:rFonts w:ascii="宋体" w:hAnsi="宋体" w:cs="宋体" w:eastAsia="宋体" w:hint="default"/>
          <w:sz w:val="18"/>
          <w:szCs w:val="18"/>
        </w:rPr>
      </w:pPr>
    </w:p>
    <w:p>
      <w:pPr>
        <w:pStyle w:val="BodyText"/>
        <w:spacing w:line="312" w:lineRule="auto" w:before="139"/>
        <w:ind w:right="0"/>
        <w:jc w:val="left"/>
      </w:pPr>
      <w:r>
        <w:rPr>
          <w:spacing w:val="-1"/>
        </w:rPr>
        <w:t>子公司久其金建树立了</w:t>
      </w:r>
      <w:r>
        <w:rPr>
          <w:rFonts w:ascii="Times New Roman" w:hAnsi="Times New Roman" w:cs="Times New Roman" w:eastAsia="Times New Roman" w:hint="default"/>
          <w:spacing w:val="-1"/>
        </w:rPr>
        <w:t>“</w:t>
      </w:r>
      <w:r>
        <w:rPr>
          <w:spacing w:val="-1"/>
        </w:rPr>
        <w:t>为建筑行业客户实现数字企业</w:t>
      </w:r>
      <w:r>
        <w:rPr>
          <w:rFonts w:ascii="Times New Roman" w:hAnsi="Times New Roman" w:cs="Times New Roman" w:eastAsia="Times New Roman" w:hint="default"/>
          <w:spacing w:val="-1"/>
        </w:rPr>
        <w:t>·</w:t>
      </w:r>
      <w:r>
        <w:rPr>
          <w:spacing w:val="-1"/>
        </w:rPr>
        <w:t>智能管理</w:t>
      </w:r>
      <w:r>
        <w:rPr>
          <w:rFonts w:ascii="Times New Roman" w:hAnsi="Times New Roman" w:cs="Times New Roman" w:eastAsia="Times New Roman" w:hint="default"/>
          <w:spacing w:val="-1"/>
        </w:rPr>
        <w:t>”</w:t>
      </w:r>
      <w:r>
        <w:rPr>
          <w:spacing w:val="-1"/>
        </w:rPr>
        <w:t>的宏伟目标，从技术引领和行业深耕两方面进行重点突破。</w:t>
      </w:r>
      <w:r>
        <w:rPr>
          <w:spacing w:val="-67"/>
        </w:rPr>
        <w:t> </w:t>
      </w:r>
      <w:r>
        <w:rPr>
          <w:spacing w:val="-67"/>
        </w:rPr>
      </w:r>
      <w:r>
        <w:rPr>
          <w:spacing w:val="-2"/>
        </w:rPr>
        <w:t>技术研发方面，开发了建筑施工行业应收管理系统和管理驾驶舱，推出了建筑施工行业项目成本管理解决方案，初步完成了</w:t>
      </w:r>
      <w:r>
        <w:rPr>
          <w:spacing w:val="-66"/>
        </w:rPr>
        <w:t> </w:t>
      </w:r>
      <w:r>
        <w:rPr>
          <w:spacing w:val="-66"/>
        </w:rPr>
      </w:r>
      <w:r>
        <w:rPr>
          <w:spacing w:val="-2"/>
        </w:rPr>
        <w:t>工地信息化管理规划方案，实现了公司产品从财务管理延伸到业务管理的重要迈进。行业深耕方面，报告期与中国中铁、中</w:t>
      </w:r>
      <w:r>
        <w:rPr>
          <w:spacing w:val="-66"/>
        </w:rPr>
        <w:t> </w:t>
      </w:r>
      <w:r>
        <w:rPr>
          <w:spacing w:val="-66"/>
        </w:rPr>
      </w:r>
      <w:r>
        <w:rPr>
          <w:spacing w:val="-2"/>
        </w:rPr>
        <w:t>国交建、中国电建、中国能建、中国化学、中国中冶、中国建设科技集团均保持深入合作，拓展财务共享平台的业务应用覆</w:t>
      </w:r>
      <w:r>
        <w:rPr>
          <w:spacing w:val="-67"/>
        </w:rPr>
        <w:t> </w:t>
      </w:r>
      <w:r>
        <w:rPr>
          <w:spacing w:val="-67"/>
        </w:rPr>
      </w:r>
      <w:r>
        <w:rPr/>
        <w:t>盖范围，与中国铁建合作推出了财务共享</w:t>
      </w:r>
      <w:r>
        <w:rPr>
          <w:rFonts w:ascii="Times New Roman" w:hAnsi="Times New Roman" w:cs="Times New Roman" w:eastAsia="Times New Roman" w:hint="default"/>
        </w:rPr>
        <w:t>2.0</w:t>
      </w:r>
      <w:r>
        <w:rPr/>
        <w:t>系统以及管理会计和业财融合的新方案；成功中标中国建筑财务一体化平台建</w:t>
      </w:r>
      <w:r>
        <w:rPr>
          <w:spacing w:val="-45"/>
        </w:rPr>
        <w:t> </w:t>
      </w:r>
      <w:r>
        <w:rPr>
          <w:spacing w:val="-45"/>
        </w:rPr>
      </w:r>
      <w:r>
        <w:rPr>
          <w:spacing w:val="-2"/>
        </w:rPr>
        <w:t>设项目；首次与中国安能建设总公司、中咨公司牵手合作。地方市场方面，中标湖南省交水建集团财务共享和业财一体化项</w:t>
      </w:r>
      <w:r>
        <w:rPr>
          <w:spacing w:val="-66"/>
        </w:rPr>
        <w:t> </w:t>
      </w:r>
      <w:r>
        <w:rPr>
          <w:spacing w:val="-66"/>
        </w:rPr>
      </w:r>
      <w:r>
        <w:rPr>
          <w:spacing w:val="-2"/>
        </w:rPr>
        <w:t>目，同时进一步加强与贵州交建集团、陕西交通集团、陕西建工集团、中国青建等地方行业客户的合作。公司积极参与行业</w:t>
      </w:r>
      <w:r>
        <w:rPr>
          <w:spacing w:val="-66"/>
        </w:rPr>
        <w:t> </w:t>
      </w:r>
      <w:r>
        <w:rPr>
          <w:spacing w:val="-66"/>
        </w:rPr>
      </w:r>
      <w:r>
        <w:rPr/>
        <w:t>交流，与《施工企业管理》杂志社合作举办</w:t>
      </w:r>
      <w:r>
        <w:rPr>
          <w:rFonts w:ascii="Times New Roman" w:hAnsi="Times New Roman" w:cs="Times New Roman" w:eastAsia="Times New Roman" w:hint="default"/>
        </w:rPr>
        <w:t>“</w:t>
      </w:r>
      <w:r>
        <w:rPr/>
        <w:t>财务共享中心典型案例经验交流与现场观摩会</w:t>
      </w:r>
      <w:r>
        <w:rPr>
          <w:rFonts w:ascii="Times New Roman" w:hAnsi="Times New Roman" w:cs="Times New Roman" w:eastAsia="Times New Roman" w:hint="default"/>
        </w:rPr>
        <w:t>”</w:t>
      </w:r>
      <w:r>
        <w:rPr/>
        <w:t>，并应邀参加</w:t>
      </w:r>
      <w:r>
        <w:rPr>
          <w:rFonts w:ascii="Times New Roman" w:hAnsi="Times New Roman" w:cs="Times New Roman" w:eastAsia="Times New Roman" w:hint="default"/>
        </w:rPr>
        <w:t>“</w:t>
      </w:r>
      <w:r>
        <w:rPr/>
        <w:t>第十四届工程建</w:t>
      </w:r>
      <w:r>
        <w:rPr>
          <w:spacing w:val="-54"/>
        </w:rPr>
        <w:t> </w:t>
      </w:r>
      <w:r>
        <w:rPr>
          <w:spacing w:val="-54"/>
        </w:rPr>
      </w:r>
      <w:r>
        <w:rPr/>
        <w:t>筑行业信息化高峰论坛</w:t>
      </w:r>
      <w:r>
        <w:rPr>
          <w:rFonts w:ascii="Times New Roman" w:hAnsi="Times New Roman" w:cs="Times New Roman" w:eastAsia="Times New Roman" w:hint="default"/>
        </w:rPr>
        <w:t>”</w:t>
      </w:r>
      <w:r>
        <w:rPr/>
        <w:t>，提升了品牌形象及行业知名度。</w:t>
      </w:r>
    </w:p>
    <w:p>
      <w:pPr>
        <w:spacing w:line="240" w:lineRule="auto" w:before="1"/>
        <w:rPr>
          <w:rFonts w:ascii="宋体" w:hAnsi="宋体" w:cs="宋体" w:eastAsia="宋体" w:hint="default"/>
          <w:sz w:val="24"/>
          <w:szCs w:val="24"/>
        </w:rPr>
      </w:pPr>
    </w:p>
    <w:p>
      <w:pPr>
        <w:pStyle w:val="BodyText"/>
        <w:spacing w:line="240" w:lineRule="auto"/>
        <w:ind w:right="0"/>
        <w:jc w:val="both"/>
      </w:pPr>
      <w:r>
        <w:rPr>
          <w:rFonts w:ascii="Times New Roman" w:hAnsi="Times New Roman" w:cs="Times New Roman" w:eastAsia="Times New Roman" w:hint="default"/>
        </w:rPr>
        <w:t>(2)   </w:t>
      </w:r>
      <w:r>
        <w:rPr>
          <w:rFonts w:ascii="Times New Roman" w:hAnsi="Times New Roman" w:cs="Times New Roman" w:eastAsia="Times New Roman" w:hint="default"/>
          <w:spacing w:val="29"/>
        </w:rPr>
        <w:t> </w:t>
      </w:r>
      <w:r>
        <w:rPr/>
        <w:t>通信行业</w:t>
      </w:r>
    </w:p>
    <w:p>
      <w:pPr>
        <w:spacing w:line="240" w:lineRule="auto" w:before="0"/>
        <w:rPr>
          <w:rFonts w:ascii="宋体" w:hAnsi="宋体" w:cs="宋体" w:eastAsia="宋体" w:hint="default"/>
          <w:sz w:val="18"/>
          <w:szCs w:val="18"/>
        </w:rPr>
      </w:pPr>
    </w:p>
    <w:p>
      <w:pPr>
        <w:pStyle w:val="BodyText"/>
        <w:spacing w:line="302" w:lineRule="auto" w:before="139"/>
        <w:ind w:right="1131"/>
        <w:jc w:val="both"/>
      </w:pPr>
      <w:r>
        <w:rPr/>
        <w:t>随着</w:t>
      </w:r>
      <w:r>
        <w:rPr>
          <w:rFonts w:ascii="Times New Roman" w:hAnsi="Times New Roman" w:cs="Times New Roman" w:eastAsia="Times New Roman" w:hint="default"/>
        </w:rPr>
        <w:t>5G</w:t>
      </w:r>
      <w:r>
        <w:rPr/>
        <w:t>时代的到来，通信行业内</w:t>
      </w:r>
      <w:r>
        <w:rPr>
          <w:rFonts w:ascii="Times New Roman" w:hAnsi="Times New Roman" w:cs="Times New Roman" w:eastAsia="Times New Roman" w:hint="default"/>
        </w:rPr>
        <w:t>B</w:t>
      </w:r>
      <w:r>
        <w:rPr/>
        <w:t>域、</w:t>
      </w:r>
      <w:r>
        <w:rPr>
          <w:rFonts w:ascii="Times New Roman" w:hAnsi="Times New Roman" w:cs="Times New Roman" w:eastAsia="Times New Roman" w:hint="default"/>
        </w:rPr>
        <w:t>O</w:t>
      </w:r>
      <w:r>
        <w:rPr/>
        <w:t>域和</w:t>
      </w:r>
      <w:r>
        <w:rPr>
          <w:rFonts w:ascii="Times New Roman" w:hAnsi="Times New Roman" w:cs="Times New Roman" w:eastAsia="Times New Roman" w:hint="default"/>
        </w:rPr>
        <w:t>M</w:t>
      </w:r>
      <w:r>
        <w:rPr/>
        <w:t>域的数据融合管理、大数据业务分析以及业务财务分析成为运营商最基本的</w:t>
      </w:r>
      <w:r>
        <w:rPr>
          <w:spacing w:val="-86"/>
        </w:rPr>
        <w:t> </w:t>
      </w:r>
      <w:r>
        <w:rPr>
          <w:spacing w:val="-86"/>
        </w:rPr>
      </w:r>
      <w:r>
        <w:rPr>
          <w:spacing w:val="-2"/>
        </w:rPr>
        <w:t>业务管理诉求。公司在通信行业的核心方案以</w:t>
      </w:r>
      <w:r>
        <w:rPr>
          <w:rFonts w:ascii="Times New Roman" w:hAnsi="Times New Roman" w:cs="Times New Roman" w:eastAsia="Times New Roman" w:hint="default"/>
          <w:spacing w:val="-2"/>
        </w:rPr>
        <w:t>M</w:t>
      </w:r>
      <w:r>
        <w:rPr>
          <w:spacing w:val="-2"/>
        </w:rPr>
        <w:t>域的管理会计为核心，结合数据稽核、数据资产管理和知识图谱等大数据应</w:t>
      </w:r>
      <w:r>
        <w:rPr>
          <w:spacing w:val="-46"/>
        </w:rPr>
        <w:t> </w:t>
      </w:r>
      <w:r>
        <w:rPr>
          <w:spacing w:val="-46"/>
        </w:rPr>
      </w:r>
      <w:r>
        <w:rPr>
          <w:spacing w:val="-2"/>
        </w:rPr>
        <w:t>用，划小核算主体，支撑自上至下管理需要，并通过集成内外部管理数据，积累面向运营的大数据支撑，为管理决策提供支</w:t>
      </w:r>
      <w:r>
        <w:rPr>
          <w:spacing w:val="-66"/>
        </w:rPr>
        <w:t> </w:t>
      </w:r>
      <w:r>
        <w:rPr>
          <w:spacing w:val="-66"/>
        </w:rPr>
      </w:r>
      <w:r>
        <w:rPr>
          <w:spacing w:val="-2"/>
        </w:rPr>
        <w:t>撑。</w:t>
      </w:r>
      <w:r>
        <w:rPr>
          <w:rFonts w:ascii="Times New Roman" w:hAnsi="Times New Roman" w:cs="Times New Roman" w:eastAsia="Times New Roman" w:hint="default"/>
          <w:spacing w:val="-2"/>
        </w:rPr>
        <w:t>2018</w:t>
      </w:r>
      <w:r>
        <w:rPr>
          <w:spacing w:val="-2"/>
        </w:rPr>
        <w:t>年是公司运用人工智能技术在通信行业用户业务场景实现落地的元年，通过人工智能技术的应用来提升用户使用便</w:t>
      </w:r>
      <w:r>
        <w:rPr>
          <w:spacing w:val="-60"/>
        </w:rPr>
        <w:t> </w:t>
      </w:r>
      <w:r>
        <w:rPr>
          <w:spacing w:val="-60"/>
        </w:rPr>
      </w:r>
      <w:r>
        <w:rPr>
          <w:spacing w:val="-2"/>
        </w:rPr>
        <w:t>捷度，提升管理效率。中国电信集中</w:t>
      </w:r>
      <w:r>
        <w:rPr>
          <w:rFonts w:ascii="Times New Roman" w:hAnsi="Times New Roman" w:cs="Times New Roman" w:eastAsia="Times New Roman" w:hint="default"/>
          <w:spacing w:val="-2"/>
        </w:rPr>
        <w:t>MSS</w:t>
      </w:r>
      <w:r>
        <w:rPr>
          <w:spacing w:val="-2"/>
        </w:rPr>
        <w:t>项目由建设阶段转向数据价值挖掘阶段，已实现为各专业工作台提供数据服务，逐</w:t>
      </w:r>
      <w:r>
        <w:rPr>
          <w:spacing w:val="-67"/>
        </w:rPr>
        <w:t> </w:t>
      </w:r>
      <w:r>
        <w:rPr>
          <w:spacing w:val="-67"/>
        </w:rPr>
      </w:r>
      <w:r>
        <w:rPr/>
        <w:t>步提高集团用户数据采集、数据应用与数据分析的效率及质量，并融合</w:t>
      </w:r>
      <w:r>
        <w:rPr>
          <w:rFonts w:ascii="Times New Roman" w:hAnsi="Times New Roman" w:cs="Times New Roman" w:eastAsia="Times New Roman" w:hint="default"/>
        </w:rPr>
        <w:t>BI</w:t>
      </w:r>
      <w:r>
        <w:rPr/>
        <w:t>与</w:t>
      </w:r>
      <w:r>
        <w:rPr>
          <w:rFonts w:ascii="Times New Roman" w:hAnsi="Times New Roman" w:cs="Times New Roman" w:eastAsia="Times New Roman" w:hint="default"/>
        </w:rPr>
        <w:t>AI</w:t>
      </w:r>
      <w:r>
        <w:rPr/>
        <w:t>技术，为中国电信数据中心提供企业级指标</w:t>
      </w:r>
      <w:r>
        <w:rPr>
          <w:spacing w:val="-16"/>
        </w:rPr>
        <w:t> </w:t>
      </w:r>
      <w:r>
        <w:rPr>
          <w:spacing w:val="-16"/>
        </w:rPr>
      </w:r>
      <w:r>
        <w:rPr>
          <w:spacing w:val="-2"/>
        </w:rPr>
        <w:t>管理方案和产品。此外，公司为中国移动构建的报表和关联交易业务系统保持良好运行，并于报告期实现在北京、四川、陕</w:t>
      </w:r>
    </w:p>
    <w:p>
      <w:pPr>
        <w:spacing w:after="0" w:line="302"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西、河北、甘肃和新疆等省份的业务拓展。</w:t>
      </w:r>
    </w:p>
    <w:p>
      <w:pPr>
        <w:spacing w:line="240" w:lineRule="auto" w:before="0"/>
        <w:rPr>
          <w:rFonts w:ascii="宋体" w:hAnsi="宋体" w:cs="宋体" w:eastAsia="宋体" w:hint="default"/>
          <w:sz w:val="18"/>
          <w:szCs w:val="18"/>
        </w:rPr>
      </w:pPr>
    </w:p>
    <w:p>
      <w:pPr>
        <w:pStyle w:val="BodyText"/>
        <w:spacing w:line="240" w:lineRule="auto" w:before="153"/>
        <w:ind w:right="0"/>
        <w:jc w:val="both"/>
      </w:pPr>
      <w:r>
        <w:rPr>
          <w:rFonts w:ascii="Times New Roman" w:hAnsi="Times New Roman" w:cs="Times New Roman" w:eastAsia="Times New Roman" w:hint="default"/>
        </w:rPr>
        <w:t>(3)   </w:t>
      </w:r>
      <w:r>
        <w:rPr>
          <w:rFonts w:ascii="Times New Roman" w:hAnsi="Times New Roman" w:cs="Times New Roman" w:eastAsia="Times New Roman" w:hint="default"/>
          <w:spacing w:val="29"/>
        </w:rPr>
        <w:t> </w:t>
      </w:r>
      <w:r>
        <w:rPr/>
        <w:t>金融行业</w:t>
      </w:r>
    </w:p>
    <w:p>
      <w:pPr>
        <w:spacing w:line="240" w:lineRule="auto" w:before="0"/>
        <w:rPr>
          <w:rFonts w:ascii="宋体" w:hAnsi="宋体" w:cs="宋体" w:eastAsia="宋体" w:hint="default"/>
          <w:sz w:val="18"/>
          <w:szCs w:val="18"/>
        </w:rPr>
      </w:pPr>
    </w:p>
    <w:p>
      <w:pPr>
        <w:pStyle w:val="BodyText"/>
        <w:spacing w:line="316" w:lineRule="auto" w:before="139"/>
        <w:ind w:right="1032"/>
        <w:jc w:val="left"/>
      </w:pPr>
      <w:r>
        <w:rPr>
          <w:spacing w:val="-2"/>
        </w:rPr>
        <w:t>公司持续专注金融及投资行业管控信息化的业务模式探索，根据金融企业和投资集团的特性，以资本与资产两个维度，通过</w:t>
      </w:r>
      <w:r>
        <w:rPr>
          <w:spacing w:val="-66"/>
        </w:rPr>
        <w:t> </w:t>
      </w:r>
      <w:r>
        <w:rPr>
          <w:spacing w:val="-66"/>
        </w:rPr>
      </w:r>
      <w:r>
        <w:rPr>
          <w:spacing w:val="-2"/>
        </w:rPr>
        <w:t>投资管理、财务共享、管理会计体系支撑投资管控；并将帮助金融投资企业建立基于大数据的金融风险监测与预警体系，为</w:t>
      </w:r>
      <w:r>
        <w:rPr>
          <w:spacing w:val="-66"/>
        </w:rPr>
        <w:t> </w:t>
      </w:r>
      <w:r>
        <w:rPr>
          <w:spacing w:val="-66"/>
        </w:rPr>
      </w:r>
      <w:r>
        <w:rPr>
          <w:spacing w:val="-2"/>
        </w:rPr>
        <w:t>金融产业稳定、安全与可持续发展保驾护航。报告期，公司与新华保险在多年合作的基础上正式启动全国财务共享平台建设</w:t>
      </w:r>
      <w:r>
        <w:rPr>
          <w:spacing w:val="-66"/>
        </w:rPr>
        <w:t> </w:t>
      </w:r>
      <w:r>
        <w:rPr>
          <w:spacing w:val="-66"/>
        </w:rPr>
      </w:r>
      <w:r>
        <w:rPr/>
        <w:t>项目，并为中国长城资产完成费用管理、银企直连、合并报表建设项目；同时深入与中国华融在财务报表管理业务的合作，</w:t>
      </w:r>
      <w:r>
        <w:rPr>
          <w:spacing w:val="-85"/>
        </w:rPr>
        <w:t> </w:t>
      </w:r>
      <w:r>
        <w:rPr>
          <w:spacing w:val="-85"/>
        </w:rPr>
      </w:r>
      <w:r>
        <w:rPr>
          <w:spacing w:val="-2"/>
        </w:rPr>
        <w:t>并与紫金保险签约全面预算项目；与中国银联签约的合并报表项目将推动其核算体系标准化建设，是公司涉足金融基础建设</w:t>
      </w:r>
      <w:r>
        <w:rPr>
          <w:spacing w:val="-64"/>
        </w:rPr>
        <w:t> </w:t>
      </w:r>
      <w:r>
        <w:rPr>
          <w:spacing w:val="-64"/>
        </w:rPr>
      </w:r>
      <w:r>
        <w:rPr>
          <w:spacing w:val="-2"/>
        </w:rPr>
        <w:t>领域的一次新突破。此外，公司完成国投集团财务共享二期项目上线，并向国投集团各业务板块下属单位推广，完成河南投</w:t>
      </w:r>
      <w:r>
        <w:rPr>
          <w:spacing w:val="-66"/>
        </w:rPr>
        <w:t> </w:t>
      </w:r>
      <w:r>
        <w:rPr>
          <w:spacing w:val="-66"/>
        </w:rPr>
      </w:r>
      <w:r>
        <w:rPr/>
        <w:t>资集团百余家单位财务共享中心的上线和运营。</w:t>
      </w:r>
    </w:p>
    <w:p>
      <w:pPr>
        <w:spacing w:line="240" w:lineRule="auto" w:before="4"/>
        <w:rPr>
          <w:rFonts w:ascii="宋体" w:hAnsi="宋体" w:cs="宋体" w:eastAsia="宋体" w:hint="default"/>
          <w:sz w:val="25"/>
          <w:szCs w:val="25"/>
        </w:rPr>
      </w:pPr>
    </w:p>
    <w:p>
      <w:pPr>
        <w:pStyle w:val="BodyText"/>
        <w:spacing w:line="240" w:lineRule="auto"/>
        <w:ind w:right="0"/>
        <w:jc w:val="both"/>
      </w:pPr>
      <w:r>
        <w:rPr>
          <w:rFonts w:ascii="Times New Roman" w:hAnsi="Times New Roman" w:cs="Times New Roman" w:eastAsia="Times New Roman" w:hint="default"/>
        </w:rPr>
        <w:t>(4)   </w:t>
      </w:r>
      <w:r>
        <w:rPr>
          <w:rFonts w:ascii="Times New Roman" w:hAnsi="Times New Roman" w:cs="Times New Roman" w:eastAsia="Times New Roman" w:hint="default"/>
          <w:spacing w:val="29"/>
        </w:rPr>
        <w:t> </w:t>
      </w:r>
      <w:r>
        <w:rPr/>
        <w:t>军工行业</w:t>
      </w:r>
    </w:p>
    <w:p>
      <w:pPr>
        <w:spacing w:line="240" w:lineRule="auto" w:before="0"/>
        <w:rPr>
          <w:rFonts w:ascii="宋体" w:hAnsi="宋体" w:cs="宋体" w:eastAsia="宋体" w:hint="default"/>
          <w:sz w:val="18"/>
          <w:szCs w:val="18"/>
        </w:rPr>
      </w:pPr>
    </w:p>
    <w:p>
      <w:pPr>
        <w:pStyle w:val="BodyText"/>
        <w:spacing w:line="312" w:lineRule="auto" w:before="139"/>
        <w:ind w:right="1032"/>
        <w:jc w:val="left"/>
      </w:pPr>
      <w:r>
        <w:rPr>
          <w:spacing w:val="-2"/>
        </w:rPr>
        <w:t>集团管控业务在军工行业的应用价值在于通过打通集团内外部经营数据，构建财务共享，提升管理数据支撑，进一步提升军</w:t>
      </w:r>
      <w:r>
        <w:rPr>
          <w:spacing w:val="-66"/>
        </w:rPr>
        <w:t> </w:t>
      </w:r>
      <w:r>
        <w:rPr>
          <w:spacing w:val="-66"/>
        </w:rPr>
      </w:r>
      <w:r>
        <w:rPr/>
        <w:t>工制造企业数据资产价值。报告期公司加快推进中国航天科工集团财务共享服务中心项目建设进程，业务覆盖</w:t>
      </w:r>
      <w:r>
        <w:rPr>
          <w:rFonts w:ascii="Times New Roman" w:hAnsi="Times New Roman" w:cs="Times New Roman" w:eastAsia="Times New Roman" w:hint="default"/>
        </w:rPr>
        <w:t>600</w:t>
      </w:r>
      <w:r>
        <w:rPr/>
        <w:t>余家成员</w:t>
      </w:r>
      <w:r>
        <w:rPr>
          <w:spacing w:val="-81"/>
        </w:rPr>
        <w:t> </w:t>
      </w:r>
      <w:r>
        <w:rPr/>
        <w:t>单位，用户规模达</w:t>
      </w:r>
      <w:r>
        <w:rPr>
          <w:rFonts w:ascii="Times New Roman" w:hAnsi="Times New Roman" w:cs="Times New Roman" w:eastAsia="Times New Roman" w:hint="default"/>
        </w:rPr>
        <w:t>15</w:t>
      </w:r>
      <w:r>
        <w:rPr/>
        <w:t>万人，并首次实现保密科研单位的财务共享作业机制和小久智能机器人的应用，创新构建全业务流程、</w:t>
      </w:r>
      <w:r>
        <w:rPr>
          <w:spacing w:val="-85"/>
        </w:rPr>
        <w:t> </w:t>
      </w:r>
      <w:r>
        <w:rPr>
          <w:spacing w:val="-85"/>
        </w:rPr>
      </w:r>
      <w:r>
        <w:rPr>
          <w:spacing w:val="-2"/>
        </w:rPr>
        <w:t>生态链合作及快速咨询交付的新模式。此外，公司建设了核工业集团三网部署的财务报表系统，财务共享项目在兵器工业集</w:t>
      </w:r>
      <w:r>
        <w:rPr>
          <w:spacing w:val="-66"/>
        </w:rPr>
        <w:t> </w:t>
      </w:r>
      <w:r>
        <w:rPr>
          <w:spacing w:val="-66"/>
        </w:rPr>
      </w:r>
      <w:r>
        <w:rPr>
          <w:spacing w:val="-2"/>
        </w:rPr>
        <w:t>团亦取得新突破，成功中标其二级试点单位，为全集团推广奠定了基础。在统计核算等优势业务领域，开拓了中船重工与中</w:t>
      </w:r>
      <w:r>
        <w:rPr>
          <w:spacing w:val="-66"/>
        </w:rPr>
        <w:t> </w:t>
      </w:r>
      <w:r>
        <w:rPr>
          <w:spacing w:val="-66"/>
        </w:rPr>
      </w:r>
      <w:r>
        <w:rPr/>
        <w:t>国电子两大新客户。</w:t>
      </w:r>
    </w:p>
    <w:p>
      <w:pPr>
        <w:spacing w:line="240" w:lineRule="auto" w:before="7"/>
        <w:rPr>
          <w:rFonts w:ascii="宋体" w:hAnsi="宋体" w:cs="宋体" w:eastAsia="宋体" w:hint="default"/>
          <w:sz w:val="25"/>
          <w:szCs w:val="25"/>
        </w:rPr>
      </w:pPr>
    </w:p>
    <w:p>
      <w:pPr>
        <w:pStyle w:val="BodyText"/>
        <w:spacing w:line="240" w:lineRule="auto"/>
        <w:ind w:right="0"/>
        <w:jc w:val="both"/>
      </w:pPr>
      <w:r>
        <w:rPr>
          <w:rFonts w:ascii="Times New Roman" w:hAnsi="Times New Roman" w:cs="Times New Roman" w:eastAsia="Times New Roman" w:hint="default"/>
        </w:rPr>
        <w:t>(5)   </w:t>
      </w:r>
      <w:r>
        <w:rPr>
          <w:rFonts w:ascii="Times New Roman" w:hAnsi="Times New Roman" w:cs="Times New Roman" w:eastAsia="Times New Roman" w:hint="default"/>
          <w:spacing w:val="29"/>
        </w:rPr>
        <w:t> </w:t>
      </w:r>
      <w:r>
        <w:rPr/>
        <w:t>能源行业</w:t>
      </w:r>
    </w:p>
    <w:p>
      <w:pPr>
        <w:spacing w:line="240" w:lineRule="auto" w:before="0"/>
        <w:rPr>
          <w:rFonts w:ascii="宋体" w:hAnsi="宋体" w:cs="宋体" w:eastAsia="宋体" w:hint="default"/>
          <w:sz w:val="18"/>
          <w:szCs w:val="18"/>
        </w:rPr>
      </w:pPr>
    </w:p>
    <w:p>
      <w:pPr>
        <w:pStyle w:val="BodyText"/>
        <w:spacing w:line="312" w:lineRule="auto" w:before="139"/>
        <w:ind w:right="1129"/>
        <w:jc w:val="both"/>
      </w:pPr>
      <w:r>
        <w:rPr>
          <w:spacing w:val="-2"/>
        </w:rPr>
        <w:t>针对能源行业重成本和市场周期性的规律，公司通过管理会计模拟和管理报告形式追溯能源行业价值链，为集团掌握全面运</w:t>
      </w:r>
      <w:r>
        <w:rPr>
          <w:spacing w:val="-64"/>
        </w:rPr>
        <w:t> </w:t>
      </w:r>
      <w:r>
        <w:rPr>
          <w:spacing w:val="-64"/>
        </w:rPr>
      </w:r>
      <w:r>
        <w:rPr>
          <w:spacing w:val="-2"/>
        </w:rPr>
        <w:t>营数据提供数据支撑。报告期，公司在能源行业打开新局面、探索新模式，携手国家能源集团共建财务报表系统，实现数据</w:t>
      </w:r>
      <w:r>
        <w:rPr>
          <w:spacing w:val="-66"/>
        </w:rPr>
        <w:t> </w:t>
      </w:r>
      <w:r>
        <w:rPr>
          <w:spacing w:val="-66"/>
        </w:rPr>
      </w:r>
      <w:r>
        <w:rPr>
          <w:spacing w:val="-3"/>
        </w:rPr>
        <w:t>资源整合与优化；与华能集团达成战略合作，积极推动电力</w:t>
      </w:r>
      <w:r>
        <w:rPr>
          <w:rFonts w:ascii="Times New Roman" w:hAnsi="Times New Roman" w:cs="Times New Roman" w:eastAsia="Times New Roman" w:hint="default"/>
          <w:spacing w:val="-3"/>
        </w:rPr>
        <w:t>“</w:t>
      </w:r>
      <w:r>
        <w:rPr>
          <w:spacing w:val="-3"/>
        </w:rPr>
        <w:t>一日结算</w:t>
      </w:r>
      <w:r>
        <w:rPr>
          <w:rFonts w:ascii="Times New Roman" w:hAnsi="Times New Roman" w:cs="Times New Roman" w:eastAsia="Times New Roman" w:hint="default"/>
          <w:spacing w:val="-3"/>
        </w:rPr>
        <w:t>”</w:t>
      </w:r>
      <w:r>
        <w:rPr>
          <w:spacing w:val="-3"/>
        </w:rPr>
        <w:t>自动化业务模式，已覆盖华能集团下属</w:t>
      </w:r>
      <w:r>
        <w:rPr>
          <w:rFonts w:ascii="Times New Roman" w:hAnsi="Times New Roman" w:cs="Times New Roman" w:eastAsia="Times New Roman" w:hint="default"/>
          <w:spacing w:val="-3"/>
        </w:rPr>
        <w:t>500</w:t>
      </w:r>
      <w:r>
        <w:rPr>
          <w:spacing w:val="-3"/>
        </w:rPr>
        <w:t>多家单位；</w:t>
      </w:r>
      <w:r>
        <w:rPr>
          <w:spacing w:val="-72"/>
        </w:rPr>
        <w:t> </w:t>
      </w:r>
      <w:r>
        <w:rPr>
          <w:spacing w:val="-5"/>
        </w:rPr>
        <w:t>大唐集团全面预算项目完成了初验，实现了闭环预算控制，打造能源行业先进案例；完成对中广核财务报表系统的升级改造。</w:t>
      </w:r>
    </w:p>
    <w:p>
      <w:pPr>
        <w:spacing w:line="240" w:lineRule="auto" w:before="7"/>
        <w:rPr>
          <w:rFonts w:ascii="宋体" w:hAnsi="宋体" w:cs="宋体" w:eastAsia="宋体" w:hint="default"/>
          <w:sz w:val="25"/>
          <w:szCs w:val="25"/>
        </w:rPr>
      </w:pPr>
    </w:p>
    <w:p>
      <w:pPr>
        <w:pStyle w:val="BodyText"/>
        <w:spacing w:line="316" w:lineRule="auto"/>
        <w:ind w:right="1131"/>
        <w:jc w:val="both"/>
      </w:pPr>
      <w:r>
        <w:rPr>
          <w:spacing w:val="-2"/>
        </w:rPr>
        <w:t>报告期，公司在其他行业实现的业务拓展包括：与西部机场集团签署战略合作协议，建立了西北地区首个省属企业财务共享</w:t>
      </w:r>
      <w:r>
        <w:rPr>
          <w:spacing w:val="-66"/>
        </w:rPr>
        <w:t> </w:t>
      </w:r>
      <w:r>
        <w:rPr>
          <w:spacing w:val="-66"/>
        </w:rPr>
      </w:r>
      <w:r>
        <w:rPr>
          <w:spacing w:val="-2"/>
        </w:rPr>
        <w:t>服务中心，树立了区域性行业标杆，并已落地内蒙古机场财务信息升级项目；首次与招商局集团建立合作，打破了招商局集</w:t>
      </w:r>
      <w:r>
        <w:rPr>
          <w:spacing w:val="-66"/>
        </w:rPr>
        <w:t> </w:t>
      </w:r>
      <w:r>
        <w:rPr>
          <w:spacing w:val="-66"/>
        </w:rPr>
      </w:r>
      <w:r>
        <w:rPr>
          <w:spacing w:val="-2"/>
        </w:rPr>
        <w:t>团与友商的独家合作模式，打造全面预算系统项目；积极探索烟草大数据和财务共享中心业务，完成烟草总局报表项目的服</w:t>
      </w:r>
      <w:r>
        <w:rPr>
          <w:spacing w:val="-66"/>
        </w:rPr>
        <w:t> </w:t>
      </w:r>
      <w:r>
        <w:rPr>
          <w:spacing w:val="-66"/>
        </w:rPr>
      </w:r>
      <w:r>
        <w:rPr/>
        <w:t>务支撑，并实现部分省份的推广实施；同时继续深化与中国农资集团、中国铝业等大型企业集团的合作。</w:t>
      </w:r>
    </w:p>
    <w:p>
      <w:pPr>
        <w:spacing w:line="240" w:lineRule="auto" w:before="4"/>
        <w:rPr>
          <w:rFonts w:ascii="宋体" w:hAnsi="宋体" w:cs="宋体" w:eastAsia="宋体" w:hint="default"/>
          <w:sz w:val="25"/>
          <w:szCs w:val="25"/>
        </w:rPr>
      </w:pPr>
    </w:p>
    <w:p>
      <w:pPr>
        <w:pStyle w:val="BodyText"/>
        <w:spacing w:line="240" w:lineRule="auto"/>
        <w:ind w:right="0"/>
        <w:jc w:val="both"/>
      </w:pPr>
      <w:r>
        <w:rPr>
          <w:rFonts w:ascii="Times New Roman" w:hAnsi="Times New Roman" w:cs="Times New Roman" w:eastAsia="Times New Roman" w:hint="default"/>
        </w:rPr>
        <w:t>3</w:t>
      </w:r>
      <w:r>
        <w:rPr/>
        <w:t>、数字传播业务</w:t>
      </w:r>
    </w:p>
    <w:p>
      <w:pPr>
        <w:spacing w:line="240" w:lineRule="auto" w:before="0"/>
        <w:rPr>
          <w:rFonts w:ascii="宋体" w:hAnsi="宋体" w:cs="宋体" w:eastAsia="宋体" w:hint="default"/>
          <w:sz w:val="18"/>
          <w:szCs w:val="18"/>
        </w:rPr>
      </w:pPr>
    </w:p>
    <w:p>
      <w:pPr>
        <w:pStyle w:val="BodyText"/>
        <w:spacing w:line="307" w:lineRule="auto" w:before="139"/>
        <w:ind w:right="1130"/>
        <w:jc w:val="both"/>
      </w:pPr>
      <w:r>
        <w:rPr>
          <w:spacing w:val="-2"/>
        </w:rPr>
        <w:t>我国数字营销行业经过过去几年的高歌猛进，取得了不俗的成绩，据了解，我国数字营销的市场规模从</w:t>
      </w:r>
      <w:r>
        <w:rPr>
          <w:rFonts w:ascii="Times New Roman" w:hAnsi="Times New Roman" w:cs="Times New Roman" w:eastAsia="Times New Roman" w:hint="default"/>
          <w:spacing w:val="-2"/>
        </w:rPr>
        <w:t>2014</w:t>
      </w:r>
      <w:r>
        <w:rPr>
          <w:spacing w:val="-2"/>
        </w:rPr>
        <w:t>年的</w:t>
      </w:r>
      <w:r>
        <w:rPr>
          <w:rFonts w:ascii="Times New Roman" w:hAnsi="Times New Roman" w:cs="Times New Roman" w:eastAsia="Times New Roman" w:hint="default"/>
          <w:spacing w:val="-2"/>
        </w:rPr>
        <w:t>1,458.6</w:t>
      </w:r>
      <w:r>
        <w:rPr>
          <w:spacing w:val="-2"/>
        </w:rPr>
        <w:t>亿元</w:t>
      </w:r>
      <w:r>
        <w:rPr>
          <w:spacing w:val="-53"/>
        </w:rPr>
        <w:t> </w:t>
      </w:r>
      <w:r>
        <w:rPr>
          <w:spacing w:val="-2"/>
        </w:rPr>
        <w:t>增长至</w:t>
      </w:r>
      <w:r>
        <w:rPr>
          <w:rFonts w:ascii="Times New Roman" w:hAnsi="Times New Roman" w:cs="Times New Roman" w:eastAsia="Times New Roman" w:hint="default"/>
          <w:spacing w:val="-2"/>
        </w:rPr>
        <w:t>2018</w:t>
      </w:r>
      <w:r>
        <w:rPr>
          <w:spacing w:val="-2"/>
        </w:rPr>
        <w:t>年的</w:t>
      </w:r>
      <w:r>
        <w:rPr>
          <w:rFonts w:ascii="Times New Roman" w:hAnsi="Times New Roman" w:cs="Times New Roman" w:eastAsia="Times New Roman" w:hint="default"/>
          <w:spacing w:val="-2"/>
        </w:rPr>
        <w:t>3,906.3</w:t>
      </w:r>
      <w:r>
        <w:rPr>
          <w:spacing w:val="-2"/>
        </w:rPr>
        <w:t>亿元，稳坐全球第二大数字营销市场宝座。而伴随着互联网流量红利逐渐消减，媒体资源不断向头部</w:t>
      </w:r>
      <w:r>
        <w:rPr>
          <w:spacing w:val="-56"/>
        </w:rPr>
        <w:t> </w:t>
      </w:r>
      <w:r>
        <w:rPr>
          <w:spacing w:val="-56"/>
        </w:rPr>
      </w:r>
      <w:r>
        <w:rPr>
          <w:spacing w:val="-2"/>
        </w:rPr>
        <w:t>平台聚拢，同质化市场竞争愈发激烈，数字营销行业的整体行业增速将出现下降。但由于人工智能、大数据等新兴技术在各</w:t>
      </w:r>
      <w:r>
        <w:rPr>
          <w:spacing w:val="-66"/>
        </w:rPr>
        <w:t> </w:t>
      </w:r>
      <w:r>
        <w:rPr>
          <w:spacing w:val="-66"/>
        </w:rPr>
      </w:r>
      <w:r>
        <w:rPr/>
        <w:t>领域的深入应用，为数字营销模式与方法的创新带来了新的机遇和可能。</w:t>
      </w:r>
    </w:p>
    <w:p>
      <w:pPr>
        <w:spacing w:line="240" w:lineRule="auto" w:before="11"/>
        <w:rPr>
          <w:rFonts w:ascii="宋体" w:hAnsi="宋体" w:cs="宋体" w:eastAsia="宋体" w:hint="default"/>
          <w:sz w:val="25"/>
          <w:szCs w:val="25"/>
        </w:rPr>
      </w:pPr>
    </w:p>
    <w:p>
      <w:pPr>
        <w:pStyle w:val="BodyText"/>
        <w:spacing w:line="307" w:lineRule="auto"/>
        <w:ind w:right="1130"/>
        <w:jc w:val="both"/>
      </w:pPr>
      <w:r>
        <w:rPr/>
        <w:t>报告期，公司积极探索</w:t>
      </w:r>
      <w:r>
        <w:rPr>
          <w:rFonts w:ascii="Times New Roman" w:hAnsi="Times New Roman" w:cs="Times New Roman" w:eastAsia="Times New Roman" w:hint="default"/>
        </w:rPr>
        <w:t>“</w:t>
      </w:r>
      <w:r>
        <w:rPr/>
        <w:t>大数据</w:t>
      </w:r>
      <w:r>
        <w:rPr>
          <w:rFonts w:ascii="Times New Roman" w:hAnsi="Times New Roman" w:cs="Times New Roman" w:eastAsia="Times New Roman" w:hint="default"/>
        </w:rPr>
        <w:t>+</w:t>
      </w:r>
      <w:r>
        <w:rPr/>
        <w:t>营销</w:t>
      </w:r>
      <w:r>
        <w:rPr>
          <w:rFonts w:ascii="Times New Roman" w:hAnsi="Times New Roman" w:cs="Times New Roman" w:eastAsia="Times New Roman" w:hint="default"/>
        </w:rPr>
        <w:t>”</w:t>
      </w:r>
      <w:r>
        <w:rPr/>
        <w:t>的发展道路，久其数字着眼资源整合与优势协同，打造数字营销</w:t>
      </w:r>
      <w:r>
        <w:rPr>
          <w:rFonts w:ascii="Times New Roman" w:hAnsi="Times New Roman" w:cs="Times New Roman" w:eastAsia="Times New Roman" w:hint="default"/>
        </w:rPr>
        <w:t>4.0</w:t>
      </w:r>
      <w:r>
        <w:rPr/>
        <w:t>技术平台，为</w:t>
      </w:r>
      <w:r>
        <w:rPr>
          <w:rFonts w:ascii="Times New Roman" w:hAnsi="Times New Roman" w:cs="Times New Roman" w:eastAsia="Times New Roman" w:hint="default"/>
        </w:rPr>
        <w:t>“</w:t>
      </w:r>
      <w:r>
        <w:rPr/>
        <w:t>数</w:t>
      </w:r>
      <w:r>
        <w:rPr>
          <w:spacing w:val="-31"/>
        </w:rPr>
        <w:t> </w:t>
      </w:r>
      <w:r>
        <w:rPr>
          <w:spacing w:val="-2"/>
        </w:rPr>
        <w:t>字</w:t>
      </w:r>
      <w:r>
        <w:rPr>
          <w:rFonts w:ascii="Times New Roman" w:hAnsi="Times New Roman" w:cs="Times New Roman" w:eastAsia="Times New Roman" w:hint="default"/>
          <w:spacing w:val="-2"/>
        </w:rPr>
        <w:t>+</w:t>
      </w:r>
      <w:r>
        <w:rPr>
          <w:spacing w:val="-2"/>
        </w:rPr>
        <w:t>传播</w:t>
      </w:r>
      <w:r>
        <w:rPr>
          <w:rFonts w:ascii="Times New Roman" w:hAnsi="Times New Roman" w:cs="Times New Roman" w:eastAsia="Times New Roman" w:hint="default"/>
          <w:spacing w:val="-2"/>
        </w:rPr>
        <w:t>”</w:t>
      </w:r>
      <w:r>
        <w:rPr>
          <w:spacing w:val="-2"/>
        </w:rPr>
        <w:t>双基因的业务模式巩固数据和技术基础，同时建立媒介中心以加大优势媒体资源覆盖能力，建立品牌中心以拓宽品</w:t>
      </w:r>
      <w:r>
        <w:rPr>
          <w:spacing w:val="-66"/>
        </w:rPr>
        <w:t> </w:t>
      </w:r>
      <w:r>
        <w:rPr>
          <w:spacing w:val="-66"/>
        </w:rPr>
      </w:r>
      <w:r>
        <w:rPr>
          <w:spacing w:val="-2"/>
        </w:rPr>
        <w:t>牌大客户的全案整合营销实力，全面打造独具竞争力的久其数字传播集团。报告期内，数字传播业务规模实现扩大，但由于</w:t>
      </w:r>
      <w:r>
        <w:rPr>
          <w:spacing w:val="-65"/>
        </w:rPr>
        <w:t> </w:t>
      </w:r>
      <w:r>
        <w:rPr>
          <w:spacing w:val="-65"/>
        </w:rPr>
      </w:r>
      <w:r>
        <w:rPr>
          <w:spacing w:val="-2"/>
        </w:rPr>
        <w:t>资源整合初期阶段投入的成本费用增加较多，以及同质化市场竞争日益加剧，业务模式创新升级未及预期，导致报告期数字</w:t>
      </w:r>
    </w:p>
    <w:p>
      <w:pPr>
        <w:spacing w:after="0" w:line="307"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传播的整体业绩出现较大幅度下滑。</w:t>
      </w:r>
    </w:p>
    <w:p>
      <w:pPr>
        <w:spacing w:line="240" w:lineRule="auto" w:before="0"/>
        <w:rPr>
          <w:rFonts w:ascii="宋体" w:hAnsi="宋体" w:cs="宋体" w:eastAsia="宋体" w:hint="default"/>
          <w:sz w:val="18"/>
          <w:szCs w:val="18"/>
        </w:rPr>
      </w:pPr>
    </w:p>
    <w:p>
      <w:pPr>
        <w:pStyle w:val="BodyText"/>
        <w:spacing w:line="300" w:lineRule="auto" w:before="153"/>
        <w:ind w:right="1130"/>
        <w:jc w:val="both"/>
      </w:pPr>
      <w:r>
        <w:rPr>
          <w:spacing w:val="-6"/>
        </w:rPr>
        <w:t>国内业务方面，公司主要围绕媒介代理、效果营销、社会化营销等业务展开。点入移动因未能及时有效应对苹果公司</w:t>
      </w:r>
      <w:r>
        <w:rPr>
          <w:rFonts w:ascii="Times New Roman" w:hAnsi="Times New Roman" w:cs="Times New Roman" w:eastAsia="Times New Roman" w:hint="default"/>
          <w:spacing w:val="-6"/>
        </w:rPr>
        <w:t>App </w:t>
      </w:r>
      <w:r>
        <w:rPr>
          <w:rFonts w:ascii="Times New Roman" w:hAnsi="Times New Roman" w:cs="Times New Roman" w:eastAsia="Times New Roman" w:hint="default"/>
        </w:rPr>
        <w:t>Store</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t>审核政策调整的变化，</w:t>
      </w:r>
      <w:r>
        <w:rPr>
          <w:rFonts w:ascii="Times New Roman" w:hAnsi="Times New Roman" w:cs="Times New Roman" w:eastAsia="Times New Roman" w:hint="default"/>
        </w:rPr>
        <w:t>AMO</w:t>
      </w:r>
      <w:r>
        <w:rPr/>
        <w:t>（</w:t>
      </w:r>
      <w:r>
        <w:rPr>
          <w:rFonts w:ascii="Times New Roman" w:hAnsi="Times New Roman" w:cs="Times New Roman" w:eastAsia="Times New Roman" w:hint="default"/>
        </w:rPr>
        <w:t>App Store Marketing</w:t>
      </w:r>
      <w:r>
        <w:rPr>
          <w:rFonts w:ascii="Times New Roman" w:hAnsi="Times New Roman" w:cs="Times New Roman" w:eastAsia="Times New Roman" w:hint="default"/>
          <w:spacing w:val="24"/>
        </w:rPr>
        <w:t> </w:t>
      </w:r>
      <w:r>
        <w:rPr>
          <w:rFonts w:ascii="Times New Roman" w:hAnsi="Times New Roman" w:cs="Times New Roman" w:eastAsia="Times New Roman" w:hint="default"/>
        </w:rPr>
        <w:t>Optimization</w:t>
      </w:r>
      <w:r>
        <w:rPr/>
        <w:t>，即应用商店营销优化）业务在报告期下滑严重。为积极应 对，公司逐步深度整合积分墙与</w:t>
      </w:r>
      <w:r>
        <w:rPr>
          <w:rFonts w:ascii="Times New Roman" w:hAnsi="Times New Roman" w:cs="Times New Roman" w:eastAsia="Times New Roman" w:hint="default"/>
        </w:rPr>
        <w:t>AMO</w:t>
      </w:r>
      <w:r>
        <w:rPr/>
        <w:t>业务，建立媒体质量模型库，进一步完善关键词优化、榜单优化、热搜榜等各维度的</w:t>
      </w:r>
      <w:r>
        <w:rPr>
          <w:spacing w:val="-58"/>
        </w:rPr>
        <w:t> </w:t>
      </w:r>
      <w:r>
        <w:rPr>
          <w:spacing w:val="-58"/>
        </w:rPr>
      </w:r>
      <w:r>
        <w:rPr>
          <w:rFonts w:ascii="Times New Roman" w:hAnsi="Times New Roman" w:cs="Times New Roman" w:eastAsia="Times New Roman" w:hint="default"/>
        </w:rPr>
        <w:t>App</w:t>
      </w:r>
      <w:r>
        <w:rPr>
          <w:rFonts w:ascii="Times New Roman" w:hAnsi="Times New Roman" w:cs="Times New Roman" w:eastAsia="Times New Roman" w:hint="default"/>
          <w:spacing w:val="21"/>
        </w:rPr>
        <w:t> </w:t>
      </w:r>
      <w:r>
        <w:rPr>
          <w:rFonts w:ascii="Times New Roman" w:hAnsi="Times New Roman" w:cs="Times New Roman" w:eastAsia="Times New Roman" w:hint="default"/>
        </w:rPr>
        <w:t>Store</w:t>
      </w:r>
      <w:r>
        <w:rPr/>
        <w:t>效果营销服务。同时，通过不断加强图文和视频创作能力，提升媒介代理业务的附加值，获得了客户的认可。此</w:t>
      </w:r>
      <w:r>
        <w:rPr>
          <w:spacing w:val="-82"/>
        </w:rPr>
        <w:t> </w:t>
      </w:r>
      <w:r>
        <w:rPr>
          <w:spacing w:val="-82"/>
        </w:rPr>
      </w:r>
      <w:r>
        <w:rPr>
          <w:spacing w:val="-1"/>
        </w:rPr>
        <w:t>外，社会化营销业务继续保持稳定增长，客户主要集中在汽车、快消、互联网等行业，报告期公司创新研发</w:t>
      </w:r>
      <w:r>
        <w:rPr>
          <w:rFonts w:ascii="Times New Roman" w:hAnsi="Times New Roman" w:cs="Times New Roman" w:eastAsia="Times New Roman" w:hint="default"/>
          <w:spacing w:val="-1"/>
        </w:rPr>
        <w:t>SCRM</w:t>
      </w:r>
      <w:r>
        <w:rPr>
          <w:spacing w:val="-1"/>
        </w:rPr>
        <w:t>技术，收</w:t>
      </w:r>
      <w:r>
        <w:rPr>
          <w:spacing w:val="-84"/>
        </w:rPr>
        <w:t> </w:t>
      </w:r>
      <w:r>
        <w:rPr>
          <w:spacing w:val="-84"/>
        </w:rPr>
      </w:r>
      <w:r>
        <w:rPr>
          <w:spacing w:val="-3"/>
        </w:rPr>
        <w:t>获了佳能、</w:t>
      </w:r>
      <w:r>
        <w:rPr>
          <w:rFonts w:ascii="Times New Roman" w:hAnsi="Times New Roman" w:cs="Times New Roman" w:eastAsia="Times New Roman" w:hint="default"/>
          <w:spacing w:val="-3"/>
        </w:rPr>
        <w:t>Zippo</w:t>
      </w:r>
      <w:r>
        <w:rPr>
          <w:spacing w:val="-3"/>
        </w:rPr>
        <w:t>、永利皇宫等品牌客户社交平台会员管理系统的设计、开发与运营项目，积累了大型综合项目的服务经验，</w:t>
      </w:r>
      <w:r>
        <w:rPr>
          <w:spacing w:val="-74"/>
        </w:rPr>
        <w:t> </w:t>
      </w:r>
      <w:r>
        <w:rPr>
          <w:spacing w:val="-74"/>
        </w:rPr>
      </w:r>
      <w:r>
        <w:rPr>
          <w:spacing w:val="-1"/>
        </w:rPr>
        <w:t>显著加强了项目研发与运营服务团队的业务能力。同时，凭借</w:t>
      </w:r>
      <w:r>
        <w:rPr>
          <w:rFonts w:ascii="Times New Roman" w:hAnsi="Times New Roman" w:cs="Times New Roman" w:eastAsia="Times New Roman" w:hint="default"/>
          <w:spacing w:val="-1"/>
        </w:rPr>
        <w:t>SCRM</w:t>
      </w:r>
      <w:r>
        <w:rPr>
          <w:spacing w:val="-1"/>
        </w:rPr>
        <w:t>业务与品牌营销策划业务的一站式整合，又进一步加强</w:t>
      </w:r>
      <w:r>
        <w:rPr>
          <w:spacing w:val="-82"/>
        </w:rPr>
        <w:t> </w:t>
      </w:r>
      <w:r>
        <w:rPr>
          <w:spacing w:val="-82"/>
        </w:rPr>
      </w:r>
      <w:r>
        <w:rPr/>
        <w:t>了开拓新客户能力与客户续约粘性，并深化与抖音、小红书等新平台的合作机会，扩大了与品牌客户的业务量。</w:t>
      </w:r>
    </w:p>
    <w:p>
      <w:pPr>
        <w:spacing w:line="240" w:lineRule="auto" w:before="3"/>
        <w:rPr>
          <w:rFonts w:ascii="宋体" w:hAnsi="宋体" w:cs="宋体" w:eastAsia="宋体" w:hint="default"/>
          <w:sz w:val="26"/>
          <w:szCs w:val="26"/>
        </w:rPr>
      </w:pPr>
    </w:p>
    <w:p>
      <w:pPr>
        <w:pStyle w:val="BodyText"/>
        <w:spacing w:line="304" w:lineRule="auto"/>
        <w:ind w:right="1130"/>
        <w:jc w:val="both"/>
      </w:pPr>
      <w:r>
        <w:rPr>
          <w:spacing w:val="-2"/>
        </w:rPr>
        <w:t>出海营销方面，</w:t>
      </w:r>
      <w:r>
        <w:rPr>
          <w:rFonts w:ascii="Times New Roman" w:hAnsi="Times New Roman" w:cs="Times New Roman" w:eastAsia="Times New Roman" w:hint="default"/>
          <w:spacing w:val="-2"/>
        </w:rPr>
        <w:t>PandaMobo</w:t>
      </w:r>
      <w:r>
        <w:rPr>
          <w:spacing w:val="-2"/>
        </w:rPr>
        <w:t>逐步向技术数据型的出海营销服务商发展，报告期实现收入</w:t>
      </w:r>
      <w:r>
        <w:rPr>
          <w:rFonts w:ascii="Times New Roman" w:hAnsi="Times New Roman" w:cs="Times New Roman" w:eastAsia="Times New Roman" w:hint="default"/>
          <w:spacing w:val="-2"/>
        </w:rPr>
        <w:t>54,621.56</w:t>
      </w:r>
      <w:r>
        <w:rPr>
          <w:spacing w:val="-2"/>
        </w:rPr>
        <w:t>万元，同比增幅</w:t>
      </w:r>
      <w:r>
        <w:rPr>
          <w:rFonts w:ascii="Times New Roman" w:hAnsi="Times New Roman" w:cs="Times New Roman" w:eastAsia="Times New Roman" w:hint="default"/>
          <w:spacing w:val="-2"/>
        </w:rPr>
        <w:t>45.07%</w:t>
      </w:r>
      <w:r>
        <w:rPr>
          <w:spacing w:val="-2"/>
        </w:rPr>
        <w:t>。在</w:t>
      </w:r>
      <w:r>
        <w:rPr>
          <w:spacing w:val="-28"/>
        </w:rPr>
        <w:t> </w:t>
      </w:r>
      <w:r>
        <w:rPr>
          <w:spacing w:val="-28"/>
        </w:rPr>
      </w:r>
      <w:r>
        <w:rPr>
          <w:rFonts w:ascii="Times New Roman" w:hAnsi="Times New Roman" w:cs="Times New Roman" w:eastAsia="Times New Roman" w:hint="default"/>
        </w:rPr>
        <w:t>Panda Compass</w:t>
      </w:r>
      <w:r>
        <w:rPr/>
        <w:t>和</w:t>
      </w:r>
      <w:r>
        <w:rPr>
          <w:rFonts w:ascii="Times New Roman" w:hAnsi="Times New Roman" w:cs="Times New Roman" w:eastAsia="Times New Roman" w:hint="default"/>
        </w:rPr>
        <w:t>Panda</w:t>
      </w:r>
      <w:r>
        <w:rPr>
          <w:rFonts w:ascii="Times New Roman" w:hAnsi="Times New Roman" w:cs="Times New Roman" w:eastAsia="Times New Roman" w:hint="default"/>
          <w:spacing w:val="4"/>
        </w:rPr>
        <w:t> </w:t>
      </w:r>
      <w:r>
        <w:rPr>
          <w:rFonts w:ascii="Times New Roman" w:hAnsi="Times New Roman" w:cs="Times New Roman" w:eastAsia="Times New Roman" w:hint="default"/>
        </w:rPr>
        <w:t>Engine</w:t>
      </w:r>
      <w:r>
        <w:rPr/>
        <w:t>等海外营销技术平台的支撑下，</w:t>
      </w:r>
      <w:r>
        <w:rPr>
          <w:rFonts w:ascii="Times New Roman" w:hAnsi="Times New Roman" w:cs="Times New Roman" w:eastAsia="Times New Roman" w:hint="default"/>
        </w:rPr>
        <w:t>PandaMobo</w:t>
      </w:r>
      <w:r>
        <w:rPr/>
        <w:t>已成为全球知名媒介</w:t>
      </w:r>
      <w:r>
        <w:rPr>
          <w:rFonts w:ascii="Times New Roman" w:hAnsi="Times New Roman" w:cs="Times New Roman" w:eastAsia="Times New Roman" w:hint="default"/>
        </w:rPr>
        <w:t>Twitter</w:t>
      </w:r>
      <w:r>
        <w:rPr/>
        <w:t>、</w:t>
      </w:r>
      <w:r>
        <w:rPr>
          <w:rFonts w:ascii="Times New Roman" w:hAnsi="Times New Roman" w:cs="Times New Roman" w:eastAsia="Times New Roman" w:hint="default"/>
        </w:rPr>
        <w:t>Google</w:t>
      </w:r>
      <w:r>
        <w:rPr/>
        <w:t>、</w:t>
      </w:r>
      <w:r>
        <w:rPr>
          <w:rFonts w:ascii="Times New Roman" w:hAnsi="Times New Roman" w:cs="Times New Roman" w:eastAsia="Times New Roman" w:hint="default"/>
        </w:rPr>
        <w:t>Facebook</w:t>
      </w:r>
      <w:r>
        <w:rPr/>
        <w:t>和 </w:t>
      </w:r>
      <w:r>
        <w:rPr>
          <w:rFonts w:ascii="Times New Roman" w:hAnsi="Times New Roman" w:cs="Times New Roman" w:eastAsia="Times New Roman" w:hint="default"/>
          <w:spacing w:val="-1"/>
        </w:rPr>
        <w:t>Tiktok</w:t>
      </w:r>
      <w:r>
        <w:rPr>
          <w:spacing w:val="-1"/>
        </w:rPr>
        <w:t>的核心代理商，以及字节跳动、快手、网易等国内流量媒体的重要合作伙伴，报告期互联网业务和品牌业务收入均得</w:t>
      </w:r>
      <w:r>
        <w:rPr>
          <w:spacing w:val="-58"/>
        </w:rPr>
        <w:t> </w:t>
      </w:r>
      <w:r>
        <w:rPr>
          <w:spacing w:val="-58"/>
        </w:rPr>
      </w:r>
      <w:r>
        <w:rPr>
          <w:spacing w:val="-1"/>
        </w:rPr>
        <w:t>到快速增长。在</w:t>
      </w:r>
      <w:r>
        <w:rPr>
          <w:rFonts w:ascii="Times New Roman" w:hAnsi="Times New Roman" w:cs="Times New Roman" w:eastAsia="Times New Roman" w:hint="default"/>
          <w:spacing w:val="-1"/>
        </w:rPr>
        <w:t>“</w:t>
      </w:r>
      <w:r>
        <w:rPr>
          <w:spacing w:val="-1"/>
        </w:rPr>
        <w:t>一带一路</w:t>
      </w:r>
      <w:r>
        <w:rPr>
          <w:rFonts w:ascii="Times New Roman" w:hAnsi="Times New Roman" w:cs="Times New Roman" w:eastAsia="Times New Roman" w:hint="default"/>
          <w:spacing w:val="-1"/>
        </w:rPr>
        <w:t>”</w:t>
      </w:r>
      <w:r>
        <w:rPr>
          <w:spacing w:val="-1"/>
        </w:rPr>
        <w:t>倡议以及国家品牌战略的驱动下，</w:t>
      </w:r>
      <w:r>
        <w:rPr>
          <w:rFonts w:ascii="Times New Roman" w:hAnsi="Times New Roman" w:cs="Times New Roman" w:eastAsia="Times New Roman" w:hint="default"/>
          <w:spacing w:val="-1"/>
        </w:rPr>
        <w:t>PandaMobo</w:t>
      </w:r>
      <w:r>
        <w:rPr>
          <w:spacing w:val="-1"/>
        </w:rPr>
        <w:t>积极发展以大数据产品为核心的国企出海、旅游出</w:t>
      </w:r>
      <w:r>
        <w:rPr>
          <w:spacing w:val="-65"/>
        </w:rPr>
        <w:t> </w:t>
      </w:r>
      <w:r>
        <w:rPr>
          <w:spacing w:val="-65"/>
        </w:rPr>
      </w:r>
      <w:r>
        <w:rPr>
          <w:spacing w:val="-2"/>
        </w:rPr>
        <w:t>海等面向政企客户的业务，与乌镇、古北水镇等国内知名旅游目的地以及贵州茅台、中国一汽等知名品牌客户的合作项目为</w:t>
      </w:r>
      <w:r>
        <w:rPr>
          <w:spacing w:val="-66"/>
        </w:rPr>
        <w:t> </w:t>
      </w:r>
      <w:r>
        <w:rPr>
          <w:spacing w:val="-66"/>
        </w:rPr>
      </w:r>
      <w:r>
        <w:rPr/>
        <w:t>公司出海营销业务带来了新的商业机遇。</w:t>
      </w:r>
    </w:p>
    <w:p>
      <w:pPr>
        <w:spacing w:line="240" w:lineRule="auto" w:before="6"/>
        <w:rPr>
          <w:rFonts w:ascii="宋体" w:hAnsi="宋体" w:cs="宋体" w:eastAsia="宋体" w:hint="default"/>
          <w:sz w:val="21"/>
          <w:szCs w:val="21"/>
        </w:rPr>
      </w:pPr>
    </w:p>
    <w:p>
      <w:pPr>
        <w:pStyle w:val="Heading2"/>
        <w:spacing w:line="240" w:lineRule="auto"/>
        <w:ind w:right="0"/>
        <w:jc w:val="both"/>
        <w:rPr>
          <w:b w:val="0"/>
          <w:bCs w:val="0"/>
        </w:rPr>
      </w:pPr>
      <w:bookmarkStart w:name="二、主营业务分析" w:id="27"/>
      <w:bookmarkEnd w:id="27"/>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4" w:right="6472" w:firstLine="0"/>
        <w:jc w:val="left"/>
        <w:rPr>
          <w:rFonts w:ascii="宋体" w:hAnsi="宋体" w:cs="宋体" w:eastAsia="宋体" w:hint="default"/>
          <w:sz w:val="21"/>
          <w:szCs w:val="21"/>
        </w:rPr>
      </w:pPr>
      <w:bookmarkStart w:name="1、概述" w:id="28"/>
      <w:bookmarkEnd w:id="2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9"/>
      <w:bookmarkEnd w:id="29"/>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both"/>
        <w:rPr>
          <w:b w:val="0"/>
          <w:bCs w:val="0"/>
        </w:rPr>
      </w:pPr>
      <w:bookmarkStart w:name="（1）营业收入构成" w:id="30"/>
      <w:bookmarkEnd w:id="30"/>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0"/>
        <w:gridCol w:w="1594"/>
        <w:gridCol w:w="1591"/>
        <w:gridCol w:w="1598"/>
        <w:gridCol w:w="1586"/>
        <w:gridCol w:w="1599"/>
      </w:tblGrid>
      <w:tr>
        <w:trPr>
          <w:trHeight w:val="205" w:hRule="exact"/>
        </w:trPr>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600"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600"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2,720,235,569.39</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1,992,176,981.00</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36.55%</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电子政务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717,703,674.49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553,082,183.98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27.76%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29.76%</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集团管控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302,547,781.81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213,276,957.08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10.71%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41.86%</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1,691,564,483.47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62.18%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1,216,821,094.72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61.08%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39.02%</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8,419,629.62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8,996,745.22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0.45%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-6.41%</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426,638,535.43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310,556,634.10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15.59%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37.38%</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硬件产品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77,501,054.97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76,384,473.12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516,111,865.90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379,863,583.22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19.07%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1,691,564,483.47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1,216,375,545.34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39.07%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8,419,629.62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8,996,745.22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占公司营业收入或营业利润10%以上的行业、产品或地区情况" w:id="31"/>
      <w:bookmarkEnd w:id="31"/>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8" w:lineRule="auto" w:before="44"/>
        <w:ind w:right="58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是</w:t>
      </w:r>
    </w:p>
    <w:p>
      <w:pPr>
        <w:pStyle w:val="BodyText"/>
        <w:spacing w:line="240" w:lineRule="auto" w:before="35"/>
        <w:ind w:right="5830"/>
        <w:jc w:val="left"/>
      </w:pPr>
      <w:r>
        <w:rPr/>
        <w:t>软件与信息技术服务业</w:t>
      </w:r>
    </w:p>
    <w:p>
      <w:pPr>
        <w:pStyle w:val="BodyText"/>
        <w:spacing w:line="240" w:lineRule="auto" w:before="117"/>
        <w:ind w:right="-1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6"/>
        <w:ind w:left="-32" w:right="0"/>
        <w:jc w:val="left"/>
      </w:pPr>
      <w:r>
        <w:rPr/>
        <w:t>单位：元</w:t>
      </w:r>
    </w:p>
    <w:p>
      <w:pPr>
        <w:spacing w:after="0" w:line="240" w:lineRule="auto"/>
        <w:jc w:val="left"/>
        <w:sectPr>
          <w:type w:val="continuous"/>
          <w:pgSz w:w="11910" w:h="16840"/>
          <w:pgMar w:top="1060" w:bottom="700" w:left="980" w:right="0"/>
          <w:cols w:num="2" w:equalWidth="0">
            <w:col w:w="9065" w:space="40"/>
            <w:col w:w="1825"/>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电子政务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717,703,674.49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131,260,820.22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21.18%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集团管控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302,547,781.81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34,588,529.65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21.43%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1.93%</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互联网业务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1,691,564,483.47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1,393,631,154.47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60.24%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-10.91%</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426,638,535.43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49,612,159.12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81.69%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516,111,865.90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42,382,179.95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-12.54%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4.55%</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1,691,564,483.47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1,393,631,154.47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60.24%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-10.89%</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2"/>
      <w:bookmarkEnd w:id="32"/>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公司已签订的重大销售合同截至本报告期的履行情况" w:id="33"/>
      <w:bookmarkEnd w:id="33"/>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营业成本构成" w:id="34"/>
      <w:bookmarkEnd w:id="34"/>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700" w:left="980" w:right="0"/>
        </w:sectPr>
      </w:pPr>
    </w:p>
    <w:p>
      <w:pPr>
        <w:pStyle w:val="BodyText"/>
        <w:spacing w:line="338" w:lineRule="auto" w:before="44"/>
        <w:ind w:right="-1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32" w:right="0"/>
        <w:jc w:val="left"/>
      </w:pPr>
      <w:r>
        <w:rPr/>
        <w:t>单位：元</w:t>
      </w:r>
    </w:p>
    <w:p>
      <w:pPr>
        <w:spacing w:after="0" w:line="240" w:lineRule="auto"/>
        <w:jc w:val="left"/>
        <w:sectPr>
          <w:type w:val="continuous"/>
          <w:pgSz w:w="11910" w:h="16840"/>
          <w:pgMar w:top="1060" w:bottom="700" w:left="980" w:right="0"/>
          <w:cols w:num="2" w:equalWidth="0">
            <w:col w:w="9065" w:space="40"/>
            <w:col w:w="1825"/>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媒体资源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1,393,631,154.47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870,470,797.38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60.10%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74,647,947.58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61,766,482.18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92,144,278.93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74,519,096.36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1,560,423,380.98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1,006,756,375.92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55.00%</w:t>
            </w:r>
          </w:p>
        </w:tc>
      </w:tr>
    </w:tbl>
    <w:p>
      <w:pPr>
        <w:pStyle w:val="BodyText"/>
        <w:spacing w:line="240" w:lineRule="auto" w:before="51"/>
        <w:ind w:right="0"/>
        <w:jc w:val="left"/>
      </w:pPr>
      <w:r>
        <w:rPr/>
        <w:t>行业和产品分类</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电子政务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131,260,820.22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108,322,617.81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21.18%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集团管控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34,588,529.65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28,485,486.60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21.43%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互联网业务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1,393,631,154.47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869,737,218.41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60.24%</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942,876.64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211,053.10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346.75%</w:t>
            </w:r>
          </w:p>
        </w:tc>
      </w:tr>
    </w:tbl>
    <w:p>
      <w:pPr>
        <w:pStyle w:val="BodyText"/>
        <w:spacing w:line="240" w:lineRule="auto" w:before="51"/>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软件产品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49,612,159.12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27,306,584.09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81.69%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硬件服务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73,855,010.80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61,045,359.24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20.98%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42,382,179.95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48,456,161.08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-12.54%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1,393,631,154.47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869,737,218.41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60.24%</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942,876.64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211,053.10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346.75%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报告期内合并范围是否发生变动" w:id="35"/>
      <w:bookmarkEnd w:id="35"/>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1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17</w:t>
      </w:r>
      <w:r>
        <w:rPr>
          <w:spacing w:val="-1"/>
        </w:rPr>
        <w:t>日，公司第六届董事会第二十四次（临时）会议审议通过，公司拟在雄安新区投资</w:t>
      </w:r>
      <w:r>
        <w:rPr>
          <w:rFonts w:ascii="Times New Roman" w:hAnsi="Times New Roman" w:cs="Times New Roman" w:eastAsia="Times New Roman" w:hint="default"/>
          <w:spacing w:val="-1"/>
        </w:rPr>
        <w:t>5,000</w:t>
      </w:r>
      <w:r>
        <w:rPr>
          <w:spacing w:val="-1"/>
        </w:rPr>
        <w:t>万元人民币设立全资子</w:t>
      </w:r>
      <w:r>
        <w:rPr>
          <w:spacing w:val="-71"/>
        </w:rPr>
        <w:t> </w:t>
      </w:r>
      <w:r>
        <w:rPr/>
        <w:t>公司雄安久其。该新公司已于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日办理完成工商设立登记手续。</w:t>
      </w:r>
    </w:p>
    <w:p>
      <w:pPr>
        <w:pStyle w:val="BodyText"/>
        <w:spacing w:line="300" w:lineRule="auto"/>
        <w:ind w:right="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23</w:t>
      </w:r>
      <w:r>
        <w:rPr>
          <w:spacing w:val="-2"/>
        </w:rPr>
        <w:t>日，公司第六届董事会第三十一次会议决议通过，公司拟对控股子公司北京久其龙信数据科技有限公司进行清</w:t>
      </w:r>
      <w:r>
        <w:rPr>
          <w:spacing w:val="-56"/>
        </w:rPr>
        <w:t> </w:t>
      </w:r>
      <w:r>
        <w:rPr>
          <w:spacing w:val="-56"/>
        </w:rPr>
      </w:r>
      <w:r>
        <w:rPr/>
        <w:t>算注销。该公司已于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日完成工商注销手续。</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7）公司报告期内业务、产品或服务发生重大变化或调整有关情况" w:id="36"/>
      <w:bookmarkEnd w:id="36"/>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8）主要销售客户和主要供应商情况" w:id="37"/>
      <w:bookmarkEnd w:id="37"/>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2"/>
        <w:gridCol w:w="3302"/>
        <w:gridCol w:w="2322"/>
        <w:gridCol w:w="3143"/>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14"/>
              <w:jc w:val="righ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47"/>
              <w:jc w:val="right"/>
              <w:rPr>
                <w:rFonts w:ascii="Times New Roman" w:hAnsi="Times New Roman" w:cs="Times New Roman" w:eastAsia="Times New Roman" w:hint="default"/>
                <w:sz w:val="18"/>
                <w:szCs w:val="18"/>
              </w:rPr>
            </w:pPr>
            <w:r>
              <w:rPr>
                <w:rFonts w:ascii="Times New Roman"/>
                <w:spacing w:val="-1"/>
                <w:sz w:val="18"/>
              </w:rPr>
              <w:t>186,736,516.30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6.86%</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2"/>
              <w:jc w:val="right"/>
              <w:rPr>
                <w:rFonts w:ascii="Times New Roman" w:hAnsi="Times New Roman" w:cs="Times New Roman" w:eastAsia="Times New Roman" w:hint="default"/>
                <w:sz w:val="18"/>
                <w:szCs w:val="18"/>
              </w:rPr>
            </w:pPr>
            <w:r>
              <w:rPr>
                <w:rFonts w:ascii="Times New Roman"/>
                <w:spacing w:val="-1"/>
                <w:sz w:val="18"/>
              </w:rPr>
              <w:t>79,622,641.51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2.93%</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2"/>
              <w:jc w:val="right"/>
              <w:rPr>
                <w:rFonts w:ascii="Times New Roman" w:hAnsi="Times New Roman" w:cs="Times New Roman" w:eastAsia="Times New Roman" w:hint="default"/>
                <w:sz w:val="18"/>
                <w:szCs w:val="18"/>
              </w:rPr>
            </w:pPr>
            <w:r>
              <w:rPr>
                <w:rFonts w:ascii="Times New Roman"/>
                <w:spacing w:val="-1"/>
                <w:sz w:val="18"/>
              </w:rPr>
              <w:t>67,813,989.60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2.49%</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2"/>
              <w:jc w:val="right"/>
              <w:rPr>
                <w:rFonts w:ascii="Times New Roman" w:hAnsi="Times New Roman" w:cs="Times New Roman" w:eastAsia="Times New Roman" w:hint="default"/>
                <w:sz w:val="18"/>
                <w:szCs w:val="18"/>
              </w:rPr>
            </w:pPr>
            <w:r>
              <w:rPr>
                <w:rFonts w:ascii="Times New Roman"/>
                <w:spacing w:val="-1"/>
                <w:sz w:val="18"/>
              </w:rPr>
              <w:t>66,297,872.93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2.44%</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2"/>
              <w:jc w:val="right"/>
              <w:rPr>
                <w:rFonts w:ascii="Times New Roman" w:hAnsi="Times New Roman" w:cs="Times New Roman" w:eastAsia="Times New Roman" w:hint="default"/>
                <w:sz w:val="18"/>
                <w:szCs w:val="18"/>
              </w:rPr>
            </w:pPr>
            <w:r>
              <w:rPr>
                <w:rFonts w:ascii="Times New Roman"/>
                <w:spacing w:val="-1"/>
                <w:sz w:val="18"/>
              </w:rPr>
              <w:t>66,099,605.20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2.43%</w:t>
            </w:r>
          </w:p>
        </w:tc>
      </w:tr>
      <w:tr>
        <w:trPr>
          <w:trHeight w:val="402" w:hRule="exact"/>
        </w:trPr>
        <w:tc>
          <w:tcPr>
            <w:tcW w:w="41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92"/>
              <w:jc w:val="right"/>
              <w:rPr>
                <w:rFonts w:ascii="Times New Roman" w:hAnsi="Times New Roman" w:cs="Times New Roman" w:eastAsia="Times New Roman" w:hint="default"/>
                <w:sz w:val="18"/>
                <w:szCs w:val="18"/>
              </w:rPr>
            </w:pPr>
            <w:r>
              <w:rPr>
                <w:rFonts w:ascii="Times New Roman"/>
                <w:spacing w:val="-1"/>
                <w:sz w:val="18"/>
              </w:rPr>
              <w:t>466,570,625.54</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17.15%</w:t>
            </w:r>
          </w:p>
        </w:tc>
      </w:tr>
    </w:tbl>
    <w:p>
      <w:pPr>
        <w:pStyle w:val="BodyText"/>
        <w:spacing w:line="240" w:lineRule="auto" w:before="52"/>
        <w:ind w:right="0"/>
        <w:jc w:val="left"/>
      </w:pPr>
      <w:r>
        <w:rPr/>
        <w:t>主要客户其他情况说明</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357" w:lineRule="auto"/>
        <w:ind w:right="8954"/>
        <w:jc w:val="left"/>
      </w:pPr>
      <w:r>
        <w:rPr/>
        <w:t>公司主要供应商情况 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tbl>
      <w:tblPr>
        <w:tblW w:w="0" w:type="auto"/>
        <w:jc w:val="left"/>
        <w:tblInd w:w="14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right="614"/>
              <w:jc w:val="righ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47"/>
              <w:jc w:val="right"/>
              <w:rPr>
                <w:rFonts w:ascii="Times New Roman" w:hAnsi="Times New Roman" w:cs="Times New Roman" w:eastAsia="Times New Roman" w:hint="default"/>
                <w:sz w:val="18"/>
                <w:szCs w:val="18"/>
              </w:rPr>
            </w:pPr>
            <w:r>
              <w:rPr>
                <w:rFonts w:ascii="Times New Roman"/>
                <w:spacing w:val="-1"/>
                <w:sz w:val="18"/>
              </w:rPr>
              <w:t>232,092,956.50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8"/>
                <w:szCs w:val="18"/>
              </w:rPr>
            </w:pPr>
            <w:r>
              <w:rPr>
                <w:rFonts w:ascii="Times New Roman"/>
                <w:sz w:val="18"/>
              </w:rPr>
              <w:t>14.87%</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47"/>
              <w:jc w:val="right"/>
              <w:rPr>
                <w:rFonts w:ascii="Times New Roman" w:hAnsi="Times New Roman" w:cs="Times New Roman" w:eastAsia="Times New Roman" w:hint="default"/>
                <w:sz w:val="18"/>
                <w:szCs w:val="18"/>
              </w:rPr>
            </w:pPr>
            <w:r>
              <w:rPr>
                <w:rFonts w:ascii="Times New Roman"/>
                <w:spacing w:val="-1"/>
                <w:sz w:val="18"/>
              </w:rPr>
              <w:t>172,770,609.50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8"/>
                <w:szCs w:val="18"/>
              </w:rPr>
            </w:pPr>
            <w:r>
              <w:rPr>
                <w:rFonts w:ascii="Times New Roman"/>
                <w:sz w:val="18"/>
              </w:rPr>
              <w:t>11.07%</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92"/>
              <w:jc w:val="right"/>
              <w:rPr>
                <w:rFonts w:ascii="Times New Roman" w:hAnsi="Times New Roman" w:cs="Times New Roman" w:eastAsia="Times New Roman" w:hint="default"/>
                <w:sz w:val="18"/>
                <w:szCs w:val="18"/>
              </w:rPr>
            </w:pPr>
            <w:r>
              <w:rPr>
                <w:rFonts w:ascii="Times New Roman"/>
                <w:spacing w:val="-1"/>
                <w:sz w:val="18"/>
              </w:rPr>
              <w:t>98,974,949.17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 w:right="0"/>
              <w:jc w:val="center"/>
              <w:rPr>
                <w:rFonts w:ascii="Times New Roman" w:hAnsi="Times New Roman" w:cs="Times New Roman" w:eastAsia="Times New Roman" w:hint="default"/>
                <w:sz w:val="18"/>
                <w:szCs w:val="18"/>
              </w:rPr>
            </w:pPr>
            <w:r>
              <w:rPr>
                <w:rFonts w:ascii="Times New Roman"/>
                <w:sz w:val="18"/>
              </w:rPr>
              <w:t>6.34%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92"/>
              <w:jc w:val="right"/>
              <w:rPr>
                <w:rFonts w:ascii="Times New Roman" w:hAnsi="Times New Roman" w:cs="Times New Roman" w:eastAsia="Times New Roman" w:hint="default"/>
                <w:sz w:val="18"/>
                <w:szCs w:val="18"/>
              </w:rPr>
            </w:pPr>
            <w:r>
              <w:rPr>
                <w:rFonts w:ascii="Times New Roman"/>
                <w:spacing w:val="-1"/>
                <w:sz w:val="18"/>
              </w:rPr>
              <w:t>94,903,325.03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 w:right="0"/>
              <w:jc w:val="center"/>
              <w:rPr>
                <w:rFonts w:ascii="Times New Roman" w:hAnsi="Times New Roman" w:cs="Times New Roman" w:eastAsia="Times New Roman" w:hint="default"/>
                <w:sz w:val="18"/>
                <w:szCs w:val="18"/>
              </w:rPr>
            </w:pPr>
            <w:r>
              <w:rPr>
                <w:rFonts w:ascii="Times New Roman"/>
                <w:sz w:val="18"/>
              </w:rPr>
              <w:t>6.08%</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92"/>
              <w:jc w:val="right"/>
              <w:rPr>
                <w:rFonts w:ascii="Times New Roman" w:hAnsi="Times New Roman" w:cs="Times New Roman" w:eastAsia="Times New Roman" w:hint="default"/>
                <w:sz w:val="18"/>
                <w:szCs w:val="18"/>
              </w:rPr>
            </w:pPr>
            <w:r>
              <w:rPr>
                <w:rFonts w:ascii="Times New Roman"/>
                <w:spacing w:val="-1"/>
                <w:sz w:val="18"/>
              </w:rPr>
              <w:t>71,444,736.46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 w:right="0"/>
              <w:jc w:val="center"/>
              <w:rPr>
                <w:rFonts w:ascii="Times New Roman" w:hAnsi="Times New Roman" w:cs="Times New Roman" w:eastAsia="Times New Roman" w:hint="default"/>
                <w:sz w:val="18"/>
                <w:szCs w:val="18"/>
              </w:rPr>
            </w:pPr>
            <w:r>
              <w:rPr>
                <w:rFonts w:ascii="Times New Roman"/>
                <w:sz w:val="18"/>
              </w:rPr>
              <w:t>4.58%</w:t>
            </w:r>
          </w:p>
        </w:tc>
      </w:tr>
      <w:tr>
        <w:trPr>
          <w:trHeight w:val="402" w:hRule="exact"/>
        </w:trPr>
        <w:tc>
          <w:tcPr>
            <w:tcW w:w="41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5"/>
              <w:ind w:right="592"/>
              <w:jc w:val="right"/>
              <w:rPr>
                <w:rFonts w:ascii="Times New Roman" w:hAnsi="Times New Roman" w:cs="Times New Roman" w:eastAsia="Times New Roman" w:hint="default"/>
                <w:sz w:val="18"/>
                <w:szCs w:val="18"/>
              </w:rPr>
            </w:pPr>
            <w:r>
              <w:rPr>
                <w:rFonts w:ascii="Times New Roman"/>
                <w:spacing w:val="-1"/>
                <w:sz w:val="18"/>
              </w:rPr>
              <w:t>670,186,576.66</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5"/>
              <w:ind w:right="0"/>
              <w:jc w:val="center"/>
              <w:rPr>
                <w:rFonts w:ascii="Times New Roman" w:hAnsi="Times New Roman" w:cs="Times New Roman" w:eastAsia="Times New Roman" w:hint="default"/>
                <w:sz w:val="18"/>
                <w:szCs w:val="18"/>
              </w:rPr>
            </w:pPr>
            <w:r>
              <w:rPr>
                <w:rFonts w:ascii="Times New Roman"/>
                <w:sz w:val="18"/>
              </w:rPr>
              <w:t>42.95%</w:t>
            </w:r>
          </w:p>
        </w:tc>
      </w:tr>
    </w:tbl>
    <w:p>
      <w:pPr>
        <w:pStyle w:val="BodyText"/>
        <w:spacing w:line="240" w:lineRule="auto" w:before="45"/>
        <w:ind w:right="0"/>
        <w:jc w:val="left"/>
      </w:pPr>
      <w:r>
        <w:rPr/>
        <w:t>主要供应商其他情况说明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费用" w:id="38"/>
      <w:bookmarkEnd w:id="38"/>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812"/>
        <w:gridCol w:w="1282"/>
        <w:gridCol w:w="1270"/>
        <w:gridCol w:w="837"/>
        <w:gridCol w:w="5483"/>
      </w:tblGrid>
      <w:tr>
        <w:trPr>
          <w:trHeight w:val="402" w:hRule="exact"/>
        </w:trPr>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5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2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111,128,496.71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85,972,578.20</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29.26%</w:t>
            </w:r>
          </w:p>
        </w:tc>
        <w:tc>
          <w:tcPr>
            <w:tcW w:w="5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报告期内无重大变化</w:t>
            </w:r>
          </w:p>
        </w:tc>
      </w:tr>
      <w:tr>
        <w:trPr>
          <w:trHeight w:val="402" w:hRule="exact"/>
        </w:trPr>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2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402,278,571.92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324,741,661.23</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23.88%</w:t>
            </w:r>
          </w:p>
        </w:tc>
        <w:tc>
          <w:tcPr>
            <w:tcW w:w="5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报告期内无重大变化</w:t>
            </w:r>
          </w:p>
        </w:tc>
      </w:tr>
      <w:tr>
        <w:trPr>
          <w:trHeight w:val="402" w:hRule="exact"/>
        </w:trPr>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2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40,791,170.98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17,794,165.40</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129.24%</w:t>
            </w:r>
          </w:p>
        </w:tc>
        <w:tc>
          <w:tcPr>
            <w:tcW w:w="5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主要系报告期支付的借款利息，以及计提的可转债利息增加所致</w:t>
            </w:r>
          </w:p>
        </w:tc>
      </w:tr>
      <w:tr>
        <w:trPr>
          <w:trHeight w:val="402" w:hRule="exact"/>
        </w:trPr>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2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272,619,937.55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232,757,317.80</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17.13%</w:t>
            </w:r>
          </w:p>
        </w:tc>
        <w:tc>
          <w:tcPr>
            <w:tcW w:w="5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报告期内无重大变化</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研发投入" w:id="39"/>
      <w:bookmarkEnd w:id="39"/>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38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2018</w:t>
      </w:r>
      <w:r>
        <w:rPr/>
        <w:t>年全年研发支出总额为</w:t>
      </w:r>
      <w:r>
        <w:rPr>
          <w:rFonts w:ascii="Times New Roman" w:hAnsi="Times New Roman" w:cs="Times New Roman" w:eastAsia="Times New Roman" w:hint="default"/>
        </w:rPr>
        <w:t>28,864.64</w:t>
      </w:r>
      <w:r>
        <w:rPr/>
        <w:t>万元，占营业收入比重为</w:t>
      </w:r>
      <w:r>
        <w:rPr>
          <w:rFonts w:ascii="Times New Roman" w:hAnsi="Times New Roman" w:cs="Times New Roman" w:eastAsia="Times New Roman" w:hint="default"/>
        </w:rPr>
        <w:t>10.61%</w:t>
      </w:r>
      <w:r>
        <w:rPr/>
        <w:t>，同比增长</w:t>
      </w:r>
      <w:r>
        <w:rPr>
          <w:rFonts w:ascii="Times New Roman" w:hAnsi="Times New Roman" w:cs="Times New Roman" w:eastAsia="Times New Roman" w:hint="default"/>
        </w:rPr>
        <w:t>17.42% </w:t>
      </w:r>
      <w:r>
        <w:rPr/>
        <w:t>公司研发投入情况</w:t>
      </w:r>
    </w:p>
    <w:p>
      <w:pPr>
        <w:spacing w:after="0" w:line="338"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3" w:type="dxa"/>
        <w:tblLayout w:type="fixed"/>
        <w:tblCellMar>
          <w:top w:w="0" w:type="dxa"/>
          <w:left w:w="0" w:type="dxa"/>
          <w:bottom w:w="0" w:type="dxa"/>
          <w:right w:w="0" w:type="dxa"/>
        </w:tblCellMar>
        <w:tblLook w:val="01E0"/>
      </w:tblPr>
      <w:tblGrid>
        <w:gridCol w:w="4509"/>
        <w:gridCol w:w="1955"/>
        <w:gridCol w:w="1943"/>
        <w:gridCol w:w="1276"/>
      </w:tblGrid>
      <w:tr>
        <w:trPr>
          <w:trHeight w:val="402" w:hRule="exact"/>
        </w:trPr>
        <w:tc>
          <w:tcPr>
            <w:tcW w:w="45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4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19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1,738</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w:t>
            </w:r>
          </w:p>
        </w:tc>
      </w:tr>
      <w:tr>
        <w:trPr>
          <w:trHeight w:val="402" w:hRule="exact"/>
        </w:trPr>
        <w:tc>
          <w:tcPr>
            <w:tcW w:w="4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19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67.73%</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2.69%</w:t>
            </w:r>
          </w:p>
        </w:tc>
      </w:tr>
      <w:tr>
        <w:trPr>
          <w:trHeight w:val="402" w:hRule="exact"/>
        </w:trPr>
        <w:tc>
          <w:tcPr>
            <w:tcW w:w="4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19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288,646,361.78</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245,822,176.47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17.42%</w:t>
            </w:r>
          </w:p>
        </w:tc>
      </w:tr>
      <w:tr>
        <w:trPr>
          <w:trHeight w:val="402" w:hRule="exact"/>
        </w:trPr>
        <w:tc>
          <w:tcPr>
            <w:tcW w:w="4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19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10.61%</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w:t>
            </w:r>
          </w:p>
        </w:tc>
      </w:tr>
      <w:tr>
        <w:trPr>
          <w:trHeight w:val="402" w:hRule="exact"/>
        </w:trPr>
        <w:tc>
          <w:tcPr>
            <w:tcW w:w="4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19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16,026,424.23</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13,064,858.67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22.67%</w:t>
            </w:r>
          </w:p>
        </w:tc>
      </w:tr>
      <w:tr>
        <w:trPr>
          <w:trHeight w:val="402" w:hRule="exact"/>
        </w:trPr>
        <w:tc>
          <w:tcPr>
            <w:tcW w:w="4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19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5.55%</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19"/>
        <w:jc w:val="left"/>
      </w:pPr>
      <w:r>
        <w:rPr/>
        <w:t>研发投入总额占营业收入的比重较上年发生显著变化的原因</w:t>
      </w:r>
    </w:p>
    <w:p>
      <w:pPr>
        <w:pStyle w:val="BodyText"/>
        <w:spacing w:line="338" w:lineRule="auto" w:before="117"/>
        <w:ind w:right="49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58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32" w:right="0"/>
        <w:jc w:val="left"/>
      </w:pPr>
      <w:r>
        <w:rPr/>
        <w:t>单位：元</w:t>
      </w:r>
    </w:p>
    <w:p>
      <w:pPr>
        <w:spacing w:after="0" w:line="240" w:lineRule="auto"/>
        <w:jc w:val="left"/>
        <w:sectPr>
          <w:type w:val="continuous"/>
          <w:pgSz w:w="11910" w:h="16840"/>
          <w:pgMar w:top="1060" w:bottom="700" w:left="980" w:right="0"/>
          <w:cols w:num="2" w:equalWidth="0">
            <w:col w:w="9065" w:space="40"/>
            <w:col w:w="1825"/>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68"/>
        <w:gridCol w:w="1843"/>
        <w:gridCol w:w="3544"/>
        <w:gridCol w:w="2513"/>
      </w:tblGrid>
      <w:tr>
        <w:trPr>
          <w:trHeight w:val="402"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研发资本化金额</w:t>
            </w:r>
          </w:p>
        </w:tc>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56"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71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久其国资监管平台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16,026,424.23</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46" w:right="65" w:hanging="81"/>
              <w:jc w:val="left"/>
              <w:rPr>
                <w:rFonts w:ascii="宋体" w:hAnsi="宋体" w:cs="宋体" w:eastAsia="宋体" w:hint="default"/>
                <w:sz w:val="18"/>
                <w:szCs w:val="18"/>
              </w:rPr>
            </w:pPr>
            <w:r>
              <w:rPr>
                <w:rFonts w:ascii="宋体" w:hAnsi="宋体" w:cs="宋体" w:eastAsia="宋体" w:hint="default"/>
                <w:sz w:val="18"/>
                <w:szCs w:val="18"/>
              </w:rPr>
              <w:t>本项目围绕</w:t>
            </w:r>
            <w:r>
              <w:rPr>
                <w:rFonts w:ascii="Times New Roman" w:hAnsi="Times New Roman" w:cs="Times New Roman" w:eastAsia="Times New Roman" w:hint="default"/>
                <w:sz w:val="18"/>
                <w:szCs w:val="18"/>
              </w:rPr>
              <w:t>“</w:t>
            </w:r>
            <w:r>
              <w:rPr>
                <w:rFonts w:ascii="宋体" w:hAnsi="宋体" w:cs="宋体" w:eastAsia="宋体" w:hint="default"/>
                <w:sz w:val="18"/>
                <w:szCs w:val="18"/>
              </w:rPr>
              <w:t>履行出资人职责</w:t>
            </w:r>
            <w:r>
              <w:rPr>
                <w:rFonts w:ascii="Times New Roman" w:hAnsi="Times New Roman" w:cs="Times New Roman" w:eastAsia="Times New Roman" w:hint="default"/>
                <w:sz w:val="18"/>
                <w:szCs w:val="18"/>
              </w:rPr>
              <w:t>”</w:t>
            </w:r>
            <w:r>
              <w:rPr>
                <w:rFonts w:ascii="宋体" w:hAnsi="宋体" w:cs="宋体" w:eastAsia="宋体" w:hint="default"/>
                <w:sz w:val="18"/>
                <w:szCs w:val="18"/>
              </w:rPr>
              <w:t>的监管核心， 基于大数据技术建立国资监管数据平台。</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报告期内已完成主要研发模块</w:t>
            </w:r>
          </w:p>
        </w:tc>
      </w:tr>
    </w:tbl>
    <w:p>
      <w:pPr>
        <w:pStyle w:val="BodyText"/>
        <w:spacing w:line="316" w:lineRule="auto" w:before="51"/>
        <w:ind w:right="0"/>
        <w:jc w:val="left"/>
      </w:pPr>
      <w:r>
        <w:rPr>
          <w:spacing w:val="-2"/>
        </w:rPr>
        <w:t>说明：久其国资监管平台为公司自主研发项目，该项目的可研、预算以及决策程序等均严格按照公司内控制度执行，该项目</w:t>
      </w:r>
      <w:r>
        <w:rPr>
          <w:spacing w:val="-66"/>
        </w:rPr>
        <w:t> </w:t>
      </w:r>
      <w:r>
        <w:rPr>
          <w:spacing w:val="-66"/>
        </w:rPr>
      </w:r>
      <w:r>
        <w:rPr/>
        <w:t>已形成产品软件著作权，并取得一定效益，公司根据相关规定对该项目进行资本化。</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5、现金流" w:id="40"/>
      <w:bookmarkEnd w:id="40"/>
      <w:r>
        <w:rPr>
          <w:b w:val="0"/>
          <w:bCs w:val="0"/>
        </w:rPr>
      </w:r>
      <w:r>
        <w:rPr>
          <w:rFonts w:ascii="Times New Roman" w:hAnsi="Times New Roman" w:cs="Times New Roman" w:eastAsia="Times New Roman" w:hint="default"/>
        </w:rPr>
        <w:t>5</w:t>
      </w:r>
      <w:r>
        <w:rPr/>
        <w:t>、现金流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939"/>
        <w:gridCol w:w="2187"/>
        <w:gridCol w:w="2175"/>
        <w:gridCol w:w="1382"/>
      </w:tblGrid>
      <w:tr>
        <w:trPr>
          <w:trHeight w:val="402" w:hRule="exact"/>
        </w:trPr>
        <w:tc>
          <w:tcPr>
            <w:tcW w:w="3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3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2,957,090,995.02</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1,971,544,244.76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49.99%</w:t>
            </w:r>
          </w:p>
        </w:tc>
      </w:tr>
      <w:tr>
        <w:trPr>
          <w:trHeight w:val="402" w:hRule="exact"/>
        </w:trPr>
        <w:tc>
          <w:tcPr>
            <w:tcW w:w="3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2,514,804,529.76</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1,843,624,319.23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36.41%</w:t>
            </w:r>
          </w:p>
        </w:tc>
      </w:tr>
      <w:tr>
        <w:trPr>
          <w:trHeight w:val="402" w:hRule="exact"/>
        </w:trPr>
        <w:tc>
          <w:tcPr>
            <w:tcW w:w="3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442,286,465.26</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127,919,925.53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245.75%</w:t>
            </w:r>
          </w:p>
        </w:tc>
      </w:tr>
      <w:tr>
        <w:trPr>
          <w:trHeight w:val="402" w:hRule="exact"/>
        </w:trPr>
        <w:tc>
          <w:tcPr>
            <w:tcW w:w="3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1,760,444,810.32</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110,313,785.21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1,495.85%</w:t>
            </w:r>
          </w:p>
        </w:tc>
      </w:tr>
      <w:tr>
        <w:trPr>
          <w:trHeight w:val="402" w:hRule="exact"/>
        </w:trPr>
        <w:tc>
          <w:tcPr>
            <w:tcW w:w="3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2,246,102,922.12</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880,230,945.13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155.17%</w:t>
            </w:r>
          </w:p>
        </w:tc>
      </w:tr>
      <w:tr>
        <w:trPr>
          <w:trHeight w:val="402" w:hRule="exact"/>
        </w:trPr>
        <w:tc>
          <w:tcPr>
            <w:tcW w:w="3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-485,658,111.80</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-769,917,159.92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478,730,000.00</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972,771,880.00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-50.79%</w:t>
            </w:r>
          </w:p>
        </w:tc>
      </w:tr>
      <w:tr>
        <w:trPr>
          <w:trHeight w:val="402" w:hRule="exact"/>
        </w:trPr>
        <w:tc>
          <w:tcPr>
            <w:tcW w:w="3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574,722,275.00</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105,903,602.46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442.68%</w:t>
            </w:r>
          </w:p>
        </w:tc>
      </w:tr>
      <w:tr>
        <w:trPr>
          <w:trHeight w:val="402" w:hRule="exact"/>
        </w:trPr>
        <w:tc>
          <w:tcPr>
            <w:tcW w:w="3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-95,992,275.00</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866,868,277.54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-137,633,472.89</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223,161,405.25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相关数据同比发生重大变动的主要影响因素说明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7"/>
        <w:jc w:val="left"/>
      </w:pPr>
      <w:r>
        <w:rPr/>
        <w:t>经营活动产生的现金流量净额本期为流入 </w:t>
      </w:r>
      <w:r>
        <w:rPr>
          <w:rFonts w:ascii="Times New Roman" w:hAnsi="Times New Roman" w:cs="Times New Roman" w:eastAsia="Times New Roman" w:hint="default"/>
        </w:rPr>
        <w:t>44,228.65 </w:t>
      </w:r>
      <w:r>
        <w:rPr/>
        <w:t>万元，较上期净流入增加</w:t>
      </w:r>
      <w:r>
        <w:rPr>
          <w:spacing w:val="-55"/>
        </w:rPr>
        <w:t> </w:t>
      </w:r>
      <w:r>
        <w:rPr>
          <w:rFonts w:ascii="Times New Roman" w:hAnsi="Times New Roman" w:cs="Times New Roman" w:eastAsia="Times New Roman" w:hint="default"/>
        </w:rPr>
        <w:t>245.75%</w:t>
      </w:r>
      <w:r>
        <w:rPr/>
        <w:t>，主要系报告期内公司业务经营规模 扩大所致。</w:t>
      </w:r>
    </w:p>
    <w:p>
      <w:pPr>
        <w:spacing w:after="0" w:line="302" w:lineRule="auto"/>
        <w:jc w:val="left"/>
        <w:sectPr>
          <w:type w:val="continuous"/>
          <w:pgSz w:w="11910" w:h="16840"/>
          <w:pgMar w:top="1060" w:bottom="70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1120"/>
        <w:jc w:val="left"/>
      </w:pPr>
      <w:r>
        <w:rPr/>
        <w:t>投资活动产生的现金流量净额本期为流出</w:t>
      </w:r>
      <w:r>
        <w:rPr>
          <w:spacing w:val="-41"/>
        </w:rPr>
        <w:t> </w:t>
      </w:r>
      <w:r>
        <w:rPr>
          <w:rFonts w:ascii="Times New Roman" w:hAnsi="Times New Roman" w:cs="Times New Roman" w:eastAsia="Times New Roman" w:hint="default"/>
        </w:rPr>
        <w:t>48,565.81</w:t>
      </w:r>
      <w:r>
        <w:rPr>
          <w:rFonts w:ascii="Times New Roman" w:hAnsi="Times New Roman" w:cs="Times New Roman" w:eastAsia="Times New Roman" w:hint="default"/>
          <w:spacing w:val="5"/>
        </w:rPr>
        <w:t> </w:t>
      </w:r>
      <w:r>
        <w:rPr>
          <w:spacing w:val="-6"/>
        </w:rPr>
        <w:t>万元，上期为流出</w:t>
      </w:r>
      <w:r>
        <w:rPr>
          <w:spacing w:val="-41"/>
        </w:rPr>
        <w:t> </w:t>
      </w:r>
      <w:r>
        <w:rPr>
          <w:rFonts w:ascii="Times New Roman" w:hAnsi="Times New Roman" w:cs="Times New Roman" w:eastAsia="Times New Roman" w:hint="default"/>
        </w:rPr>
        <w:t>76,991.72</w:t>
      </w:r>
      <w:r>
        <w:rPr>
          <w:rFonts w:ascii="Times New Roman" w:hAnsi="Times New Roman" w:cs="Times New Roman" w:eastAsia="Times New Roman" w:hint="default"/>
          <w:spacing w:val="4"/>
        </w:rPr>
        <w:t> </w:t>
      </w:r>
      <w:r>
        <w:rPr>
          <w:spacing w:val="-3"/>
        </w:rPr>
        <w:t>万元，主要系报告期以暂时闲置的募集资金</w:t>
      </w:r>
      <w:r>
        <w:rPr/>
        <w:t> 购买银行理财产品到期收回本金所致。</w:t>
      </w:r>
    </w:p>
    <w:p>
      <w:pPr>
        <w:pStyle w:val="BodyText"/>
        <w:spacing w:line="302" w:lineRule="auto" w:before="68"/>
        <w:ind w:right="1119"/>
        <w:jc w:val="left"/>
      </w:pPr>
      <w:r>
        <w:rPr/>
        <w:t>筹资活动产生的现金流量净额本期为流出</w:t>
      </w:r>
      <w:r>
        <w:rPr>
          <w:spacing w:val="-44"/>
        </w:rPr>
        <w:t> </w:t>
      </w:r>
      <w:r>
        <w:rPr>
          <w:rFonts w:ascii="Times New Roman" w:hAnsi="Times New Roman" w:cs="Times New Roman" w:eastAsia="Times New Roman" w:hint="default"/>
        </w:rPr>
        <w:t>9,599.23</w:t>
      </w:r>
      <w:r>
        <w:rPr>
          <w:rFonts w:ascii="Times New Roman" w:hAnsi="Times New Roman" w:cs="Times New Roman" w:eastAsia="Times New Roman" w:hint="default"/>
          <w:spacing w:val="1"/>
        </w:rPr>
        <w:t> </w:t>
      </w:r>
      <w:r>
        <w:rPr/>
        <w:t>万元，上期为流入</w:t>
      </w:r>
      <w:r>
        <w:rPr>
          <w:spacing w:val="-45"/>
        </w:rPr>
        <w:t> </w:t>
      </w:r>
      <w:r>
        <w:rPr>
          <w:rFonts w:ascii="Times New Roman" w:hAnsi="Times New Roman" w:cs="Times New Roman" w:eastAsia="Times New Roman" w:hint="default"/>
        </w:rPr>
        <w:t>86,686.83</w:t>
      </w:r>
      <w:r>
        <w:rPr>
          <w:rFonts w:ascii="Times New Roman" w:hAnsi="Times New Roman" w:cs="Times New Roman" w:eastAsia="Times New Roman" w:hint="default"/>
          <w:spacing w:val="1"/>
        </w:rPr>
        <w:t> </w:t>
      </w:r>
      <w:r>
        <w:rPr/>
        <w:t>万元，主要系上年同期发行可转换公司债券 及报告期支付股权对价款增加所致。</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报告期内公司经营活动产生的现金净流量与本年度净利润存在重大差异的原因说明</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1152"/>
        <w:jc w:val="left"/>
      </w:pPr>
      <w:r>
        <w:rPr/>
        <w:t>报告期内公司经营活动产生的现金净流量为</w:t>
      </w:r>
      <w:r>
        <w:rPr>
          <w:rFonts w:ascii="Times New Roman" w:hAnsi="Times New Roman" w:cs="Times New Roman" w:eastAsia="Times New Roman" w:hint="default"/>
        </w:rPr>
        <w:t>44,228.65</w:t>
      </w:r>
      <w:r>
        <w:rPr/>
        <w:t>万元，而本年净利润为</w:t>
      </w:r>
      <w:r>
        <w:rPr>
          <w:rFonts w:ascii="Times New Roman" w:hAnsi="Times New Roman" w:cs="Times New Roman" w:eastAsia="Times New Roman" w:hint="default"/>
        </w:rPr>
        <w:t>-84,146.43</w:t>
      </w:r>
      <w:r>
        <w:rPr/>
        <w:t>万元，存在重大差异的原因主要是公 司于本报告期计提商誉减值准备</w:t>
      </w:r>
      <w:r>
        <w:rPr>
          <w:rFonts w:ascii="Times New Roman" w:hAnsi="Times New Roman" w:cs="Times New Roman" w:eastAsia="Times New Roman" w:hint="default"/>
        </w:rPr>
        <w:t>107,739.49</w:t>
      </w:r>
      <w:r>
        <w:rPr/>
        <w:t>万元，导致公司本年度净利润大幅下滑。</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三、非主营业务分析" w:id="41"/>
      <w:bookmarkEnd w:id="41"/>
      <w:r>
        <w:rPr>
          <w:b w:val="0"/>
          <w:bCs w:val="0"/>
        </w:rPr>
      </w:r>
      <w:r>
        <w:rPr/>
        <w:t>三、非主营业务分析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792"/>
        <w:gridCol w:w="1475"/>
        <w:gridCol w:w="892"/>
        <w:gridCol w:w="5341"/>
        <w:gridCol w:w="1184"/>
      </w:tblGrid>
      <w:tr>
        <w:trPr>
          <w:trHeight w:val="162" w:hRule="exact"/>
        </w:trPr>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75" w:type="dxa"/>
            <w:tcBorders>
              <w:top w:val="single" w:sz="4" w:space="0" w:color="000000"/>
              <w:left w:val="single" w:sz="4" w:space="0" w:color="000000"/>
              <w:bottom w:val="nil" w:sz="6" w:space="0" w:color="auto"/>
              <w:right w:val="single" w:sz="4" w:space="0" w:color="000000"/>
            </w:tcBorders>
            <w:shd w:val="clear" w:color="auto" w:fill="D2D2D2"/>
          </w:tcPr>
          <w:p>
            <w:pPr/>
          </w:p>
        </w:tc>
        <w:tc>
          <w:tcPr>
            <w:tcW w:w="8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70" w:right="79" w:hanging="90"/>
              <w:jc w:val="left"/>
              <w:rPr>
                <w:rFonts w:ascii="宋体" w:hAnsi="宋体" w:cs="宋体" w:eastAsia="宋体" w:hint="default"/>
                <w:sz w:val="18"/>
                <w:szCs w:val="18"/>
              </w:rPr>
            </w:pPr>
            <w:r>
              <w:rPr>
                <w:rFonts w:ascii="宋体" w:hAnsi="宋体" w:cs="宋体" w:eastAsia="宋体" w:hint="default"/>
                <w:sz w:val="18"/>
                <w:szCs w:val="18"/>
              </w:rPr>
              <w:t>占利润总 额比例</w:t>
            </w:r>
          </w:p>
        </w:tc>
        <w:tc>
          <w:tcPr>
            <w:tcW w:w="534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06" w:right="47" w:hanging="360"/>
              <w:jc w:val="left"/>
              <w:rPr>
                <w:rFonts w:ascii="宋体" w:hAnsi="宋体" w:cs="宋体" w:eastAsia="宋体" w:hint="default"/>
                <w:sz w:val="18"/>
                <w:szCs w:val="18"/>
              </w:rPr>
            </w:pPr>
            <w:r>
              <w:rPr>
                <w:rFonts w:ascii="宋体" w:hAnsi="宋体" w:cs="宋体" w:eastAsia="宋体" w:hint="default"/>
                <w:sz w:val="18"/>
                <w:szCs w:val="18"/>
              </w:rPr>
              <w:t>是否具有可持 续性</w:t>
            </w:r>
          </w:p>
        </w:tc>
      </w:tr>
      <w:tr>
        <w:trPr>
          <w:trHeight w:val="391" w:hRule="exact"/>
        </w:trPr>
        <w:tc>
          <w:tcPr>
            <w:tcW w:w="792" w:type="dxa"/>
            <w:tcBorders>
              <w:top w:val="nil" w:sz="6" w:space="0" w:color="auto"/>
              <w:left w:val="single" w:sz="4" w:space="0" w:color="000000"/>
              <w:bottom w:val="nil" w:sz="6" w:space="0" w:color="auto"/>
              <w:right w:val="single" w:sz="4" w:space="0" w:color="000000"/>
            </w:tcBorders>
            <w:shd w:val="clear" w:color="auto" w:fill="D2D2D2"/>
          </w:tcPr>
          <w:p>
            <w:pPr/>
          </w:p>
        </w:tc>
        <w:tc>
          <w:tcPr>
            <w:tcW w:w="14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92" w:type="dxa"/>
            <w:vMerge/>
            <w:tcBorders>
              <w:left w:val="single" w:sz="4" w:space="0" w:color="000000"/>
              <w:right w:val="single" w:sz="4" w:space="0" w:color="000000"/>
            </w:tcBorders>
            <w:shd w:val="clear" w:color="auto" w:fill="D2D2D2"/>
          </w:tcPr>
          <w:p>
            <w:pPr/>
          </w:p>
        </w:tc>
        <w:tc>
          <w:tcPr>
            <w:tcW w:w="53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5" w:type="dxa"/>
            <w:tcBorders>
              <w:top w:val="nil" w:sz="6" w:space="0" w:color="auto"/>
              <w:left w:val="single" w:sz="4" w:space="0" w:color="000000"/>
              <w:bottom w:val="single" w:sz="4" w:space="0" w:color="000000"/>
              <w:right w:val="single" w:sz="4" w:space="0" w:color="000000"/>
            </w:tcBorders>
            <w:shd w:val="clear" w:color="auto" w:fill="D2D2D2"/>
          </w:tcPr>
          <w:p>
            <w:pPr/>
          </w:p>
        </w:tc>
        <w:tc>
          <w:tcPr>
            <w:tcW w:w="892" w:type="dxa"/>
            <w:vMerge/>
            <w:tcBorders>
              <w:left w:val="single" w:sz="4" w:space="0" w:color="000000"/>
              <w:bottom w:val="single" w:sz="4" w:space="0" w:color="000000"/>
              <w:right w:val="single" w:sz="4" w:space="0" w:color="000000"/>
            </w:tcBorders>
            <w:shd w:val="clear" w:color="auto" w:fill="D2D2D2"/>
          </w:tcPr>
          <w:p>
            <w:pPr/>
          </w:p>
        </w:tc>
        <w:tc>
          <w:tcPr>
            <w:tcW w:w="534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75"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23,891,437.56</w:t>
            </w:r>
          </w:p>
        </w:tc>
        <w:tc>
          <w:tcPr>
            <w:tcW w:w="89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5341"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85"/>
              <w:jc w:val="left"/>
              <w:rPr>
                <w:rFonts w:ascii="宋体" w:hAnsi="宋体" w:cs="宋体" w:eastAsia="宋体" w:hint="default"/>
                <w:sz w:val="18"/>
                <w:szCs w:val="18"/>
              </w:rPr>
            </w:pPr>
            <w:r>
              <w:rPr>
                <w:rFonts w:ascii="宋体" w:hAnsi="宋体" w:cs="宋体" w:eastAsia="宋体" w:hint="default"/>
                <w:sz w:val="18"/>
                <w:szCs w:val="18"/>
              </w:rPr>
              <w:t>主要系报告期以暂时闲置的募集资金购买的银行理财产品到期取得 投资收益增加所致</w:t>
            </w:r>
          </w:p>
        </w:tc>
        <w:tc>
          <w:tcPr>
            <w:tcW w:w="11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7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75" w:type="dxa"/>
            <w:vMerge/>
            <w:tcBorders>
              <w:left w:val="single" w:sz="9" w:space="0" w:color="D2D2D2"/>
              <w:right w:val="single" w:sz="4" w:space="0" w:color="000000"/>
            </w:tcBorders>
          </w:tcPr>
          <w:p>
            <w:pPr/>
          </w:p>
        </w:tc>
        <w:tc>
          <w:tcPr>
            <w:tcW w:w="892" w:type="dxa"/>
            <w:vMerge/>
            <w:tcBorders>
              <w:left w:val="single" w:sz="4" w:space="0" w:color="000000"/>
              <w:right w:val="single" w:sz="4" w:space="0" w:color="000000"/>
            </w:tcBorders>
          </w:tcPr>
          <w:p>
            <w:pPr/>
          </w:p>
        </w:tc>
        <w:tc>
          <w:tcPr>
            <w:tcW w:w="5341" w:type="dxa"/>
            <w:vMerge/>
            <w:tcBorders>
              <w:left w:val="single" w:sz="4" w:space="0" w:color="000000"/>
              <w:right w:val="single" w:sz="4" w:space="0" w:color="000000"/>
            </w:tcBorders>
          </w:tcPr>
          <w:p>
            <w:pPr/>
          </w:p>
        </w:tc>
        <w:tc>
          <w:tcPr>
            <w:tcW w:w="1184" w:type="dxa"/>
            <w:vMerge/>
            <w:tcBorders>
              <w:left w:val="single" w:sz="4" w:space="0" w:color="000000"/>
              <w:right w:val="single" w:sz="4" w:space="0" w:color="000000"/>
            </w:tcBorders>
          </w:tcPr>
          <w:p>
            <w:pPr/>
          </w:p>
        </w:tc>
      </w:tr>
      <w:tr>
        <w:trPr>
          <w:trHeight w:val="161" w:hRule="exact"/>
        </w:trPr>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5" w:type="dxa"/>
            <w:vMerge/>
            <w:tcBorders>
              <w:left w:val="single" w:sz="9" w:space="0" w:color="D2D2D2"/>
              <w:bottom w:val="single" w:sz="4" w:space="0" w:color="000000"/>
              <w:right w:val="single" w:sz="4" w:space="0" w:color="000000"/>
            </w:tcBorders>
          </w:tcPr>
          <w:p>
            <w:pPr/>
          </w:p>
        </w:tc>
        <w:tc>
          <w:tcPr>
            <w:tcW w:w="892" w:type="dxa"/>
            <w:vMerge/>
            <w:tcBorders>
              <w:left w:val="single" w:sz="4" w:space="0" w:color="000000"/>
              <w:bottom w:val="single" w:sz="4" w:space="0" w:color="000000"/>
              <w:right w:val="single" w:sz="4" w:space="0" w:color="000000"/>
            </w:tcBorders>
          </w:tcPr>
          <w:p>
            <w:pPr/>
          </w:p>
        </w:tc>
        <w:tc>
          <w:tcPr>
            <w:tcW w:w="5341" w:type="dxa"/>
            <w:vMerge/>
            <w:tcBorders>
              <w:left w:val="single" w:sz="4" w:space="0" w:color="000000"/>
              <w:bottom w:val="single" w:sz="4" w:space="0" w:color="000000"/>
              <w:right w:val="single" w:sz="4" w:space="0" w:color="000000"/>
            </w:tcBorders>
          </w:tcPr>
          <w:p>
            <w:pPr/>
          </w:p>
        </w:tc>
        <w:tc>
          <w:tcPr>
            <w:tcW w:w="1184" w:type="dxa"/>
            <w:vMerge/>
            <w:tcBorders>
              <w:left w:val="single" w:sz="4" w:space="0" w:color="000000"/>
              <w:bottom w:val="single" w:sz="4" w:space="0" w:color="000000"/>
              <w:right w:val="single" w:sz="4" w:space="0" w:color="000000"/>
            </w:tcBorders>
          </w:tcPr>
          <w:p>
            <w:pPr/>
          </w:p>
        </w:tc>
      </w:tr>
      <w:tr>
        <w:trPr>
          <w:trHeight w:val="403"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4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69" w:right="0"/>
              <w:jc w:val="left"/>
              <w:rPr>
                <w:rFonts w:ascii="Times New Roman" w:hAnsi="Times New Roman" w:cs="Times New Roman" w:eastAsia="Times New Roman" w:hint="default"/>
                <w:sz w:val="18"/>
                <w:szCs w:val="18"/>
              </w:rPr>
            </w:pPr>
            <w:r>
              <w:rPr>
                <w:rFonts w:ascii="Times New Roman"/>
                <w:sz w:val="18"/>
              </w:rPr>
              <w:t>1,179,173,331.48</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w:t>
            </w:r>
          </w:p>
        </w:tc>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1"/>
              <w:jc w:val="center"/>
              <w:rPr>
                <w:rFonts w:ascii="宋体" w:hAnsi="宋体" w:cs="宋体" w:eastAsia="宋体" w:hint="default"/>
                <w:sz w:val="18"/>
                <w:szCs w:val="18"/>
              </w:rPr>
            </w:pPr>
            <w:r>
              <w:rPr>
                <w:rFonts w:ascii="宋体" w:hAnsi="宋体" w:cs="宋体" w:eastAsia="宋体" w:hint="default"/>
                <w:sz w:val="18"/>
                <w:szCs w:val="18"/>
              </w:rPr>
              <w:t>主要系报告期计提上海移通、亿起联科技、瑞意恒动商誉减值所致</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四、资产及负债状况分析" w:id="42"/>
      <w:bookmarkEnd w:id="42"/>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3"/>
      <w:bookmarkEnd w:id="43"/>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001"/>
        <w:gridCol w:w="1283"/>
        <w:gridCol w:w="856"/>
        <w:gridCol w:w="1422"/>
        <w:gridCol w:w="858"/>
        <w:gridCol w:w="854"/>
        <w:gridCol w:w="3420"/>
      </w:tblGrid>
      <w:tr>
        <w:trPr>
          <w:trHeight w:val="402" w:hRule="exact"/>
        </w:trPr>
        <w:tc>
          <w:tcPr>
            <w:tcW w:w="1001" w:type="dxa"/>
            <w:vMerge w:val="restart"/>
            <w:tcBorders>
              <w:top w:val="single" w:sz="4" w:space="0" w:color="000000"/>
              <w:left w:val="single" w:sz="4" w:space="0" w:color="000000"/>
              <w:right w:val="single" w:sz="4" w:space="0" w:color="000000"/>
            </w:tcBorders>
            <w:shd w:val="clear" w:color="auto" w:fill="D2D2D2"/>
          </w:tcPr>
          <w:p>
            <w:pPr/>
          </w:p>
        </w:tc>
        <w:tc>
          <w:tcPr>
            <w:tcW w:w="21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34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3" w:hRule="exact"/>
        </w:trPr>
        <w:tc>
          <w:tcPr>
            <w:tcW w:w="1001" w:type="dxa"/>
            <w:vMerge/>
            <w:tcBorders>
              <w:left w:val="single" w:sz="4" w:space="0" w:color="000000"/>
              <w:bottom w:val="single" w:sz="4" w:space="0" w:color="000000"/>
              <w:right w:val="single" w:sz="4" w:space="0" w:color="000000"/>
            </w:tcBorders>
            <w:shd w:val="clear" w:color="auto" w:fill="D2D2D2"/>
          </w:tcPr>
          <w:p>
            <w:pPr/>
          </w:p>
        </w:tc>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2" w:right="61"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4" w:right="61"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854" w:type="dxa"/>
            <w:vMerge/>
            <w:tcBorders>
              <w:left w:val="single" w:sz="4" w:space="0" w:color="000000"/>
              <w:bottom w:val="single" w:sz="4" w:space="0" w:color="000000"/>
              <w:right w:val="single" w:sz="4" w:space="0" w:color="000000"/>
            </w:tcBorders>
            <w:shd w:val="clear" w:color="auto" w:fill="D2D2D2"/>
          </w:tcPr>
          <w:p>
            <w:pPr/>
          </w:p>
        </w:tc>
        <w:tc>
          <w:tcPr>
            <w:tcW w:w="342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0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793,917,307.25</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24.11%</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932,948,125.31</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19.82%</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4.29%</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10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517,590,825.75</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15.72%</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488,216,872.31</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10.37%</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5.35%</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10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23,991,294.24</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0.73%</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56,658,351.64</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-0.47%</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主要系报告期华夏电通项目验收结转所致</w:t>
            </w:r>
          </w:p>
        </w:tc>
      </w:tr>
      <w:tr>
        <w:trPr>
          <w:trHeight w:val="714" w:hRule="exact"/>
        </w:trPr>
        <w:tc>
          <w:tcPr>
            <w:tcW w:w="10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66"/>
              <w:jc w:val="left"/>
              <w:rPr>
                <w:rFonts w:ascii="宋体" w:hAnsi="宋体" w:cs="宋体" w:eastAsia="宋体" w:hint="default"/>
                <w:sz w:val="18"/>
                <w:szCs w:val="18"/>
              </w:rPr>
            </w:pPr>
            <w:r>
              <w:rPr>
                <w:rFonts w:ascii="宋体" w:hAnsi="宋体" w:cs="宋体" w:eastAsia="宋体" w:hint="default"/>
                <w:sz w:val="18"/>
                <w:szCs w:val="18"/>
              </w:rPr>
              <w:t>投资性房地 产</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28,522,376.28</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0.87%</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29,455,657.20</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0.63%</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0.24%</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714" w:hRule="exact"/>
        </w:trPr>
        <w:tc>
          <w:tcPr>
            <w:tcW w:w="10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66"/>
              <w:jc w:val="left"/>
              <w:rPr>
                <w:rFonts w:ascii="宋体" w:hAnsi="宋体" w:cs="宋体" w:eastAsia="宋体" w:hint="default"/>
                <w:sz w:val="18"/>
                <w:szCs w:val="18"/>
              </w:rPr>
            </w:pPr>
            <w:r>
              <w:rPr>
                <w:rFonts w:ascii="宋体" w:hAnsi="宋体" w:cs="宋体" w:eastAsia="宋体" w:hint="default"/>
                <w:sz w:val="18"/>
                <w:szCs w:val="18"/>
              </w:rPr>
              <w:t>长期股权投 资</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129,886,501.93</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3.94%</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133,658,047.63</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2.84%</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1.10%</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10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226,609,647.58</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6.88%</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234,522,059.54</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4.98%</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1.90%</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714" w:hRule="exact"/>
        </w:trPr>
        <w:tc>
          <w:tcPr>
            <w:tcW w:w="10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81,224,640.18</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2.47%</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50,514,159.99</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47"/>
              <w:jc w:val="left"/>
              <w:rPr>
                <w:rFonts w:ascii="宋体" w:hAnsi="宋体" w:cs="宋体" w:eastAsia="宋体" w:hint="default"/>
                <w:sz w:val="18"/>
                <w:szCs w:val="18"/>
              </w:rPr>
            </w:pPr>
            <w:r>
              <w:rPr>
                <w:rFonts w:ascii="宋体" w:hAnsi="宋体" w:cs="宋体" w:eastAsia="宋体" w:hint="default"/>
                <w:sz w:val="18"/>
                <w:szCs w:val="18"/>
              </w:rPr>
              <w:t>主要系报告期内久其政务研发中心建设正 常开展所致</w:t>
            </w:r>
          </w:p>
        </w:tc>
      </w:tr>
      <w:tr>
        <w:trPr>
          <w:trHeight w:val="402" w:hRule="exact"/>
        </w:trPr>
        <w:tc>
          <w:tcPr>
            <w:tcW w:w="10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134,820,300.00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4.09%</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185,825,300.00</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3.95%</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系报告期内公司归还部分银行借款所致</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1001"/>
        <w:gridCol w:w="1283"/>
        <w:gridCol w:w="856"/>
        <w:gridCol w:w="1422"/>
        <w:gridCol w:w="858"/>
        <w:gridCol w:w="854"/>
        <w:gridCol w:w="3420"/>
      </w:tblGrid>
      <w:tr>
        <w:trPr>
          <w:trHeight w:val="402" w:hRule="exact"/>
        </w:trPr>
        <w:tc>
          <w:tcPr>
            <w:tcW w:w="1001" w:type="dxa"/>
            <w:vMerge w:val="restart"/>
            <w:tcBorders>
              <w:top w:val="single" w:sz="4" w:space="0" w:color="000000"/>
              <w:left w:val="single" w:sz="4" w:space="0" w:color="000000"/>
              <w:right w:val="single" w:sz="4" w:space="0" w:color="000000"/>
            </w:tcBorders>
            <w:shd w:val="clear" w:color="auto" w:fill="D2D2D2"/>
          </w:tcPr>
          <w:p>
            <w:pPr/>
          </w:p>
        </w:tc>
        <w:tc>
          <w:tcPr>
            <w:tcW w:w="21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34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001" w:type="dxa"/>
            <w:vMerge/>
            <w:tcBorders>
              <w:left w:val="single" w:sz="4" w:space="0" w:color="000000"/>
              <w:bottom w:val="single" w:sz="4" w:space="0" w:color="000000"/>
              <w:right w:val="single" w:sz="4" w:space="0" w:color="000000"/>
            </w:tcBorders>
            <w:shd w:val="clear" w:color="auto" w:fill="D2D2D2"/>
          </w:tcPr>
          <w:p>
            <w:pPr/>
          </w:p>
        </w:tc>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2" w:right="61"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4" w:right="61"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854" w:type="dxa"/>
            <w:vMerge/>
            <w:tcBorders>
              <w:left w:val="single" w:sz="4" w:space="0" w:color="000000"/>
              <w:bottom w:val="single" w:sz="4" w:space="0" w:color="000000"/>
              <w:right w:val="single" w:sz="4" w:space="0" w:color="000000"/>
            </w:tcBorders>
            <w:shd w:val="clear" w:color="auto" w:fill="D2D2D2"/>
          </w:tcPr>
          <w:p>
            <w:pPr/>
          </w:p>
        </w:tc>
        <w:tc>
          <w:tcPr>
            <w:tcW w:w="342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0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252,000,000.00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7.65%</w:t>
            </w:r>
          </w:p>
        </w:tc>
        <w:tc>
          <w:tcPr>
            <w:tcW w:w="1422"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7.65%</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系报告期内获得银行并购贷款所致</w:t>
            </w:r>
          </w:p>
        </w:tc>
      </w:tr>
      <w:tr>
        <w:trPr>
          <w:trHeight w:val="714" w:hRule="exact"/>
        </w:trPr>
        <w:tc>
          <w:tcPr>
            <w:tcW w:w="10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16,026,424.23</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0.49%</w:t>
            </w:r>
          </w:p>
        </w:tc>
        <w:tc>
          <w:tcPr>
            <w:tcW w:w="1422"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0.49%</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主要系报告期新增久其国资监管平台开发 项目所致</w:t>
            </w:r>
          </w:p>
        </w:tc>
      </w:tr>
      <w:tr>
        <w:trPr>
          <w:trHeight w:val="714" w:hRule="exact"/>
        </w:trPr>
        <w:tc>
          <w:tcPr>
            <w:tcW w:w="10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70,883,629.59</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2.15%</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44,464,060.78</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0.94%</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主要系报告期内数字传播业务规模扩大预 付的媒体资源成本增加所致</w:t>
            </w:r>
          </w:p>
        </w:tc>
      </w:tr>
      <w:tr>
        <w:trPr>
          <w:trHeight w:val="714" w:hRule="exact"/>
        </w:trPr>
        <w:tc>
          <w:tcPr>
            <w:tcW w:w="10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应收保理款</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130,125,330.00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253,120,711.94</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5.38%</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-1.43%</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主要系报告期内久金保归还银行借款降低 业务规模及计提坏账损失所致</w:t>
            </w:r>
          </w:p>
        </w:tc>
      </w:tr>
      <w:tr>
        <w:trPr>
          <w:trHeight w:val="714" w:hRule="exact"/>
        </w:trPr>
        <w:tc>
          <w:tcPr>
            <w:tcW w:w="10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601,235,608.10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18.26%</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1,678,630,539.32</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35.66%</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-17.40%</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主要系报告期内计提上海移通、亿起联科 技、瑞意恒动商誉减值所致</w:t>
            </w:r>
          </w:p>
        </w:tc>
      </w:tr>
      <w:tr>
        <w:trPr>
          <w:trHeight w:val="714" w:hRule="exact"/>
        </w:trPr>
        <w:tc>
          <w:tcPr>
            <w:tcW w:w="10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68,584,431.39</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112,939,472.36</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-0.32%</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主要系报告期内华夏电通项目验收实现收 入所致</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的资产和负债" w:id="44"/>
      <w:bookmarkEnd w:id="44"/>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截至报告期末的资产权利受限情况" w:id="45"/>
      <w:bookmarkEnd w:id="45"/>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2"/>
        <w:jc w:val="left"/>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日召开的第六届董事会第二十五次（临时）会议审议通过了《关于以自有资产抵押向银行申请并购贷款 的议案》，同意公司向中国工商银行股份有限公司北京经济技术开发区支行申请金额不超过</w:t>
      </w:r>
      <w:r>
        <w:rPr>
          <w:rFonts w:ascii="Times New Roman" w:hAnsi="Times New Roman" w:cs="Times New Roman" w:eastAsia="Times New Roman" w:hint="default"/>
        </w:rPr>
        <w:t>4.8</w:t>
      </w:r>
      <w:r>
        <w:rPr/>
        <w:t>亿元人民币的并购贷款，贷 款期限不超过五年，同时公司以持有的上海移通</w:t>
      </w:r>
      <w:r>
        <w:rPr>
          <w:rFonts w:ascii="Times New Roman" w:hAnsi="Times New Roman" w:cs="Times New Roman" w:eastAsia="Times New Roman" w:hint="default"/>
        </w:rPr>
        <w:t>100%</w:t>
      </w:r>
      <w:r>
        <w:rPr/>
        <w:t>股权质押，并以部分自有土地使用权及房屋产权作为抵押担保物。具 </w:t>
      </w:r>
      <w:r>
        <w:rPr>
          <w:spacing w:val="-1"/>
        </w:rPr>
        <w:t>体情况详见公司于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13</w:t>
      </w:r>
      <w:r>
        <w:rPr>
          <w:spacing w:val="-1"/>
        </w:rPr>
        <w:t>日在巨潮资讯网（</w:t>
      </w:r>
      <w:hyperlink r:id="rId13">
        <w:r>
          <w:rPr>
            <w:rFonts w:ascii="Times New Roman" w:hAnsi="Times New Roman" w:cs="Times New Roman" w:eastAsia="Times New Roman" w:hint="default"/>
            <w:spacing w:val="-1"/>
          </w:rPr>
          <w:t>www.cninfo.com.cn</w:t>
        </w:r>
      </w:hyperlink>
      <w:r>
        <w:rPr>
          <w:spacing w:val="-1"/>
        </w:rPr>
        <w:t>）上披露的《关于以自有资产抵押向银行申请并购贷款</w:t>
      </w:r>
      <w:r>
        <w:rPr>
          <w:spacing w:val="-46"/>
        </w:rPr>
        <w:t> </w:t>
      </w:r>
      <w:r>
        <w:rPr>
          <w:spacing w:val="-46"/>
        </w:rPr>
      </w:r>
      <w:r>
        <w:rPr/>
        <w:t>的公告》（公告编号</w:t>
      </w:r>
      <w:r>
        <w:rPr>
          <w:rFonts w:ascii="Times New Roman" w:hAnsi="Times New Roman" w:cs="Times New Roman" w:eastAsia="Times New Roman" w:hint="default"/>
        </w:rPr>
        <w:t>2018-063</w:t>
      </w:r>
      <w:r>
        <w:rPr/>
        <w:t>）。截至报告期末，有关土地使用权和房屋产权的抵押手续，以及上海移通</w:t>
      </w:r>
      <w:r>
        <w:rPr>
          <w:rFonts w:ascii="Times New Roman" w:hAnsi="Times New Roman" w:cs="Times New Roman" w:eastAsia="Times New Roman" w:hint="default"/>
        </w:rPr>
        <w:t>100%</w:t>
      </w:r>
      <w:r>
        <w:rPr/>
        <w:t>股权的出质</w:t>
      </w:r>
      <w:r>
        <w:rPr>
          <w:w w:val="99"/>
        </w:rPr>
        <w:t> </w:t>
      </w:r>
      <w:r>
        <w:rPr/>
        <w:t>手续已办理完成，公司已使用并购贷款额度为</w:t>
      </w:r>
      <w:r>
        <w:rPr>
          <w:rFonts w:ascii="Times New Roman" w:hAnsi="Times New Roman" w:cs="Times New Roman" w:eastAsia="Times New Roman" w:hint="default"/>
        </w:rPr>
        <w:t>29,800</w:t>
      </w:r>
      <w:r>
        <w:rPr/>
        <w:t>万元。</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五、投资状况分析" w:id="46"/>
      <w:bookmarkEnd w:id="46"/>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7"/>
      <w:bookmarkEnd w:id="47"/>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5" w:right="0"/>
              <w:jc w:val="left"/>
              <w:rPr>
                <w:rFonts w:ascii="Times New Roman" w:hAnsi="Times New Roman" w:cs="Times New Roman" w:eastAsia="Times New Roman" w:hint="default"/>
                <w:sz w:val="18"/>
                <w:szCs w:val="18"/>
              </w:rPr>
            </w:pPr>
            <w:r>
              <w:rPr>
                <w:rFonts w:ascii="Times New Roman"/>
                <w:sz w:val="18"/>
              </w:rPr>
              <w:t>1,008,693,539.00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771,098,003.00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3"/>
          <w:szCs w:val="23"/>
        </w:rPr>
      </w:pPr>
    </w:p>
    <w:p>
      <w:pPr>
        <w:pStyle w:val="Heading3"/>
        <w:spacing w:line="240" w:lineRule="auto"/>
        <w:ind w:left="140" w:right="0"/>
        <w:jc w:val="left"/>
        <w:rPr>
          <w:b w:val="0"/>
          <w:bCs w:val="0"/>
        </w:rPr>
      </w:pPr>
      <w:bookmarkStart w:name="2、报告期内获取的重大的股权投资情况" w:id="48"/>
      <w:bookmarkEnd w:id="48"/>
      <w:r>
        <w:rPr>
          <w:b w:val="0"/>
          <w:bCs w:val="0"/>
        </w:rPr>
      </w:r>
      <w:r>
        <w:rPr>
          <w:rFonts w:ascii="Times New Roman" w:hAnsi="Times New Roman" w:cs="Times New Roman" w:eastAsia="Times New Roman" w:hint="default"/>
          <w:w w:val="95"/>
        </w:rPr>
        <w:t>2</w:t>
      </w:r>
      <w:r>
        <w:rPr>
          <w:w w:val="95"/>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5"/>
        <w:ind w:left="0" w:right="136"/>
        <w:jc w:val="right"/>
      </w:pPr>
      <w:r>
        <w:rPr/>
        <w:br w:type="column"/>
      </w:r>
      <w:r>
        <w:rPr/>
        <w:t>北京久其软件股份有限公司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pStyle w:val="BodyText"/>
        <w:spacing w:line="240" w:lineRule="auto"/>
        <w:ind w:left="0" w:right="136"/>
        <w:jc w:val="right"/>
      </w:pPr>
      <w:r>
        <w:rPr/>
        <w:pict>
          <v:group style="position:absolute;margin-left:70.5pt;margin-top:-49.928272pt;width:701pt;height:.1pt;mso-position-horizontal-relative:page;mso-position-vertical-relative:paragraph;z-index:1120" coordorigin="1410,-999" coordsize="14020,2">
            <v:shape style="position:absolute;left:1410;top:-999;width:14020;height:2" coordorigin="1410,-999" coordsize="14020,0" path="m1410,-999l15430,-999e" filled="false" stroked="true" strokeweight=".72pt" strokecolor="#000000">
              <v:path arrowok="t"/>
            </v:shape>
            <w10:wrap type="none"/>
          </v:group>
        </w:pict>
      </w:r>
      <w:r>
        <w:rPr/>
        <w:t>单位：元</w:t>
      </w:r>
    </w:p>
    <w:p>
      <w:pPr>
        <w:spacing w:after="0" w:line="240" w:lineRule="auto"/>
        <w:jc w:val="right"/>
        <w:sectPr>
          <w:headerReference w:type="default" r:id="rId14"/>
          <w:footerReference w:type="default" r:id="rId15"/>
          <w:pgSz w:w="16840" w:h="11910" w:orient="landscape"/>
          <w:pgMar w:header="0" w:footer="0" w:top="800" w:bottom="0" w:left="1300" w:right="1300"/>
          <w:cols w:num="2" w:equalWidth="0">
            <w:col w:w="3827" w:space="6264"/>
            <w:col w:w="4149"/>
          </w:cols>
        </w:sectPr>
      </w:pP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782"/>
        <w:gridCol w:w="539"/>
        <w:gridCol w:w="420"/>
        <w:gridCol w:w="1181"/>
        <w:gridCol w:w="667"/>
        <w:gridCol w:w="479"/>
        <w:gridCol w:w="358"/>
        <w:gridCol w:w="419"/>
        <w:gridCol w:w="419"/>
        <w:gridCol w:w="966"/>
        <w:gridCol w:w="1182"/>
        <w:gridCol w:w="1105"/>
        <w:gridCol w:w="419"/>
        <w:gridCol w:w="797"/>
        <w:gridCol w:w="4282"/>
      </w:tblGrid>
      <w:tr>
        <w:trPr>
          <w:trHeight w:val="1026" w:hRule="exact"/>
        </w:trPr>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6" w:right="24" w:hanging="90"/>
              <w:jc w:val="left"/>
              <w:rPr>
                <w:rFonts w:ascii="宋体" w:hAnsi="宋体" w:cs="宋体" w:eastAsia="宋体" w:hint="default"/>
                <w:sz w:val="18"/>
                <w:szCs w:val="18"/>
              </w:rPr>
            </w:pPr>
            <w:r>
              <w:rPr>
                <w:rFonts w:ascii="宋体" w:hAnsi="宋体" w:cs="宋体" w:eastAsia="宋体" w:hint="default"/>
                <w:sz w:val="18"/>
                <w:szCs w:val="18"/>
              </w:rPr>
              <w:t>被投资公 司名称</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3" w:right="83"/>
              <w:jc w:val="left"/>
              <w:rPr>
                <w:rFonts w:ascii="宋体" w:hAnsi="宋体" w:cs="宋体" w:eastAsia="宋体" w:hint="default"/>
                <w:sz w:val="18"/>
                <w:szCs w:val="18"/>
              </w:rPr>
            </w:pPr>
            <w:r>
              <w:rPr>
                <w:rFonts w:ascii="宋体" w:hAnsi="宋体" w:cs="宋体" w:eastAsia="宋体" w:hint="default"/>
                <w:sz w:val="18"/>
                <w:szCs w:val="18"/>
              </w:rPr>
              <w:t>主要 业务</w:t>
            </w:r>
          </w:p>
        </w:tc>
        <w:tc>
          <w:tcPr>
            <w:tcW w:w="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投资金额</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7" w:right="59"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3" w:right="53"/>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3" w:right="83"/>
              <w:jc w:val="both"/>
              <w:rPr>
                <w:rFonts w:ascii="宋体" w:hAnsi="宋体" w:cs="宋体" w:eastAsia="宋体" w:hint="default"/>
                <w:sz w:val="18"/>
                <w:szCs w:val="18"/>
              </w:rPr>
            </w:pPr>
            <w:r>
              <w:rPr>
                <w:rFonts w:ascii="宋体" w:hAnsi="宋体" w:cs="宋体" w:eastAsia="宋体" w:hint="default"/>
                <w:sz w:val="18"/>
                <w:szCs w:val="18"/>
              </w:rPr>
              <w:t>合 作 方</w:t>
            </w:r>
          </w:p>
        </w:tc>
        <w:tc>
          <w:tcPr>
            <w:tcW w:w="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 w:right="25"/>
              <w:jc w:val="center"/>
              <w:rPr>
                <w:rFonts w:ascii="宋体" w:hAnsi="宋体" w:cs="宋体" w:eastAsia="宋体" w:hint="default"/>
                <w:sz w:val="18"/>
                <w:szCs w:val="18"/>
              </w:rPr>
            </w:pPr>
            <w:r>
              <w:rPr>
                <w:rFonts w:ascii="宋体" w:hAnsi="宋体" w:cs="宋体" w:eastAsia="宋体" w:hint="default"/>
                <w:sz w:val="18"/>
                <w:szCs w:val="18"/>
              </w:rPr>
              <w:t>截至资产负 债表日的进 展情况</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预计收益</w:t>
            </w:r>
          </w:p>
        </w:tc>
        <w:tc>
          <w:tcPr>
            <w:tcW w:w="1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57" w:right="96" w:hanging="360"/>
              <w:jc w:val="left"/>
              <w:rPr>
                <w:rFonts w:ascii="宋体" w:hAnsi="宋体" w:cs="宋体" w:eastAsia="宋体" w:hint="default"/>
                <w:sz w:val="18"/>
                <w:szCs w:val="18"/>
              </w:rPr>
            </w:pPr>
            <w:r>
              <w:rPr>
                <w:rFonts w:ascii="宋体" w:hAnsi="宋体" w:cs="宋体" w:eastAsia="宋体" w:hint="default"/>
                <w:sz w:val="18"/>
                <w:szCs w:val="18"/>
              </w:rPr>
              <w:t>本期投资盈 亏</w:t>
            </w:r>
          </w:p>
        </w:tc>
        <w:tc>
          <w:tcPr>
            <w:tcW w:w="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33"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4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1026" w:hRule="exact"/>
        </w:trPr>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both"/>
              <w:rPr>
                <w:rFonts w:ascii="宋体" w:hAnsi="宋体" w:cs="宋体" w:eastAsia="宋体" w:hint="default"/>
                <w:sz w:val="18"/>
                <w:szCs w:val="18"/>
              </w:rPr>
            </w:pPr>
            <w:r>
              <w:rPr>
                <w:rFonts w:ascii="宋体" w:hAnsi="宋体" w:cs="宋体" w:eastAsia="宋体" w:hint="default"/>
                <w:sz w:val="18"/>
                <w:szCs w:val="18"/>
              </w:rPr>
              <w:t>上海移通 网络有限 公司</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4"/>
              <w:jc w:val="both"/>
              <w:rPr>
                <w:rFonts w:ascii="宋体" w:hAnsi="宋体" w:cs="宋体" w:eastAsia="宋体" w:hint="default"/>
                <w:sz w:val="18"/>
                <w:szCs w:val="18"/>
              </w:rPr>
            </w:pPr>
            <w:r>
              <w:rPr>
                <w:rFonts w:ascii="宋体" w:hAnsi="宋体" w:cs="宋体" w:eastAsia="宋体" w:hint="default"/>
                <w:sz w:val="18"/>
                <w:szCs w:val="18"/>
              </w:rPr>
              <w:t>移动 信息 服务</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收购</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800,000,000.00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49.00%</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自有 与自 筹</w:t>
            </w:r>
          </w:p>
        </w:tc>
        <w:tc>
          <w:tcPr>
            <w:tcW w:w="358"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长期</w:t>
            </w:r>
          </w:p>
        </w:tc>
        <w:tc>
          <w:tcPr>
            <w:tcW w:w="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30"/>
              <w:jc w:val="left"/>
              <w:rPr>
                <w:rFonts w:ascii="宋体" w:hAnsi="宋体" w:cs="宋体" w:eastAsia="宋体" w:hint="default"/>
                <w:sz w:val="18"/>
                <w:szCs w:val="18"/>
              </w:rPr>
            </w:pPr>
            <w:r>
              <w:rPr>
                <w:rFonts w:ascii="宋体" w:hAnsi="宋体" w:cs="宋体" w:eastAsia="宋体" w:hint="default"/>
                <w:sz w:val="18"/>
                <w:szCs w:val="18"/>
              </w:rPr>
              <w:t>已完成资产 交割过户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135,000,000.00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57,082,990.53</w:t>
            </w:r>
          </w:p>
        </w:tc>
        <w:tc>
          <w:tcPr>
            <w:tcW w:w="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4"/>
              <w:jc w:val="right"/>
              <w:rPr>
                <w:rFonts w:ascii="宋体" w:hAnsi="宋体" w:cs="宋体" w:eastAsia="宋体" w:hint="default"/>
                <w:sz w:val="18"/>
                <w:szCs w:val="18"/>
              </w:rPr>
            </w:pPr>
            <w:r>
              <w:rPr>
                <w:rFonts w:ascii="宋体" w:hAnsi="宋体" w:cs="宋体" w:eastAsia="宋体" w:hint="default"/>
                <w:sz w:val="18"/>
                <w:szCs w:val="18"/>
              </w:rPr>
              <w:t>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《关于收购上海移通</w:t>
            </w:r>
            <w:r>
              <w:rPr>
                <w:rFonts w:ascii="宋体" w:hAnsi="宋体" w:cs="宋体" w:eastAsia="宋体" w:hint="default"/>
                <w:spacing w:val="-45"/>
                <w:sz w:val="18"/>
                <w:szCs w:val="18"/>
              </w:rPr>
              <w:t> </w:t>
            </w:r>
            <w:r>
              <w:rPr>
                <w:rFonts w:ascii="Times New Roman" w:hAnsi="Times New Roman" w:cs="Times New Roman" w:eastAsia="Times New Roman" w:hint="default"/>
                <w:spacing w:val="-7"/>
                <w:sz w:val="18"/>
                <w:szCs w:val="18"/>
              </w:rPr>
              <w:t>49%</w:t>
            </w:r>
            <w:r>
              <w:rPr>
                <w:rFonts w:ascii="宋体" w:hAnsi="宋体" w:cs="宋体" w:eastAsia="宋体" w:hint="default"/>
                <w:spacing w:val="-7"/>
                <w:sz w:val="18"/>
                <w:szCs w:val="18"/>
              </w:rPr>
              <w:t>股权暨关联交易的公告》（公</w:t>
            </w:r>
            <w:r>
              <w:rPr>
                <w:rFonts w:ascii="宋体" w:hAnsi="宋体" w:cs="宋体" w:eastAsia="宋体" w:hint="default"/>
                <w:sz w:val="18"/>
                <w:szCs w:val="18"/>
              </w:rPr>
              <w:t> 告编号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2018-020</w:t>
            </w:r>
            <w:r>
              <w:rPr>
                <w:rFonts w:ascii="宋体" w:hAnsi="宋体" w:cs="宋体" w:eastAsia="宋体" w:hint="default"/>
                <w:sz w:val="18"/>
                <w:szCs w:val="18"/>
              </w:rPr>
              <w:t>）披露于巨潮资讯网</w:t>
            </w:r>
          </w:p>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800,000,000.00</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w:t>
            </w:r>
          </w:p>
        </w:tc>
        <w:tc>
          <w:tcPr>
            <w:tcW w:w="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135,000,000.00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57,082,990.53</w:t>
            </w:r>
          </w:p>
        </w:tc>
        <w:tc>
          <w:tcPr>
            <w:tcW w:w="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3"/>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40" w:right="0"/>
        <w:jc w:val="left"/>
        <w:rPr>
          <w:b w:val="0"/>
          <w:bCs w:val="0"/>
        </w:rPr>
      </w:pPr>
      <w:bookmarkStart w:name="3、报告期内正在进行的重大的非股权投资情况" w:id="49"/>
      <w:bookmarkEnd w:id="49"/>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36"/>
        <w:jc w:val="right"/>
      </w:pPr>
      <w:r>
        <w:rPr/>
        <w:t>单位：元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990"/>
        <w:gridCol w:w="998"/>
        <w:gridCol w:w="996"/>
        <w:gridCol w:w="997"/>
        <w:gridCol w:w="1091"/>
        <w:gridCol w:w="1092"/>
        <w:gridCol w:w="996"/>
        <w:gridCol w:w="997"/>
        <w:gridCol w:w="997"/>
        <w:gridCol w:w="997"/>
        <w:gridCol w:w="997"/>
        <w:gridCol w:w="997"/>
        <w:gridCol w:w="1869"/>
      </w:tblGrid>
      <w:tr>
        <w:trPr>
          <w:trHeight w:val="1026" w:hRule="exact"/>
        </w:trPr>
        <w:tc>
          <w:tcPr>
            <w:tcW w:w="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3" w:right="0"/>
              <w:jc w:val="left"/>
              <w:rPr>
                <w:rFonts w:ascii="宋体" w:hAnsi="宋体" w:cs="宋体" w:eastAsia="宋体" w:hint="default"/>
                <w:sz w:val="18"/>
                <w:szCs w:val="18"/>
              </w:rPr>
            </w:pPr>
            <w:r>
              <w:rPr>
                <w:rFonts w:ascii="宋体" w:hAnsi="宋体" w:cs="宋体" w:eastAsia="宋体" w:hint="default"/>
                <w:sz w:val="18"/>
                <w:szCs w:val="18"/>
              </w:rPr>
              <w:t>投资方式</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33" w:right="41" w:hanging="90"/>
              <w:jc w:val="left"/>
              <w:rPr>
                <w:rFonts w:ascii="宋体" w:hAnsi="宋体" w:cs="宋体" w:eastAsia="宋体" w:hint="default"/>
                <w:sz w:val="18"/>
                <w:szCs w:val="18"/>
              </w:rPr>
            </w:pPr>
            <w:r>
              <w:rPr>
                <w:rFonts w:ascii="宋体" w:hAnsi="宋体" w:cs="宋体" w:eastAsia="宋体" w:hint="default"/>
                <w:sz w:val="18"/>
                <w:szCs w:val="18"/>
              </w:rPr>
              <w:t>是否为固定 资产投资</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4" w:right="41" w:hanging="180"/>
              <w:jc w:val="left"/>
              <w:rPr>
                <w:rFonts w:ascii="宋体" w:hAnsi="宋体" w:cs="宋体" w:eastAsia="宋体" w:hint="default"/>
                <w:sz w:val="18"/>
                <w:szCs w:val="18"/>
              </w:rPr>
            </w:pPr>
            <w:r>
              <w:rPr>
                <w:rFonts w:ascii="宋体" w:hAnsi="宋体" w:cs="宋体" w:eastAsia="宋体" w:hint="default"/>
                <w:sz w:val="18"/>
                <w:szCs w:val="18"/>
              </w:rPr>
              <w:t>投资项目涉 及行业</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9" w:right="89" w:hanging="180"/>
              <w:jc w:val="left"/>
              <w:rPr>
                <w:rFonts w:ascii="宋体" w:hAnsi="宋体" w:cs="宋体" w:eastAsia="宋体" w:hint="default"/>
                <w:sz w:val="18"/>
                <w:szCs w:val="18"/>
              </w:rPr>
            </w:pPr>
            <w:r>
              <w:rPr>
                <w:rFonts w:ascii="宋体" w:hAnsi="宋体" w:cs="宋体" w:eastAsia="宋体" w:hint="default"/>
                <w:sz w:val="18"/>
                <w:szCs w:val="18"/>
              </w:rPr>
              <w:t>本报告期投 入金额</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1" w:right="89"/>
              <w:jc w:val="both"/>
              <w:rPr>
                <w:rFonts w:ascii="宋体" w:hAnsi="宋体" w:cs="宋体" w:eastAsia="宋体" w:hint="default"/>
                <w:sz w:val="18"/>
                <w:szCs w:val="18"/>
              </w:rPr>
            </w:pPr>
            <w:r>
              <w:rPr>
                <w:rFonts w:ascii="宋体" w:hAnsi="宋体" w:cs="宋体" w:eastAsia="宋体" w:hint="default"/>
                <w:sz w:val="18"/>
                <w:szCs w:val="18"/>
              </w:rPr>
              <w:t>截至报告期 末累计实际 投入金额</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4"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3" w:right="0"/>
              <w:jc w:val="left"/>
              <w:rPr>
                <w:rFonts w:ascii="宋体" w:hAnsi="宋体" w:cs="宋体" w:eastAsia="宋体" w:hint="default"/>
                <w:sz w:val="18"/>
                <w:szCs w:val="18"/>
              </w:rPr>
            </w:pPr>
            <w:r>
              <w:rPr>
                <w:rFonts w:ascii="宋体" w:hAnsi="宋体" w:cs="宋体" w:eastAsia="宋体" w:hint="default"/>
                <w:sz w:val="18"/>
                <w:szCs w:val="18"/>
              </w:rPr>
              <w:t>预计收益</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 w:right="42"/>
              <w:jc w:val="center"/>
              <w:rPr>
                <w:rFonts w:ascii="宋体" w:hAnsi="宋体" w:cs="宋体" w:eastAsia="宋体" w:hint="default"/>
                <w:sz w:val="18"/>
                <w:szCs w:val="18"/>
              </w:rPr>
            </w:pPr>
            <w:r>
              <w:rPr>
                <w:rFonts w:ascii="宋体" w:hAnsi="宋体" w:cs="宋体" w:eastAsia="宋体" w:hint="default"/>
                <w:sz w:val="18"/>
                <w:szCs w:val="18"/>
              </w:rPr>
              <w:t>截止报告期 末累计实现 的收益</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 w:right="42"/>
              <w:jc w:val="both"/>
              <w:rPr>
                <w:rFonts w:ascii="宋体" w:hAnsi="宋体" w:cs="宋体" w:eastAsia="宋体" w:hint="default"/>
                <w:sz w:val="18"/>
                <w:szCs w:val="18"/>
              </w:rPr>
            </w:pPr>
            <w:r>
              <w:rPr>
                <w:rFonts w:ascii="宋体" w:hAnsi="宋体" w:cs="宋体" w:eastAsia="宋体" w:hint="default"/>
                <w:sz w:val="18"/>
                <w:szCs w:val="18"/>
              </w:rPr>
              <w:t>未达到计划 进度和预计 收益的原因</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133"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1650" w:hRule="exact"/>
        </w:trPr>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55"/>
              <w:jc w:val="both"/>
              <w:rPr>
                <w:rFonts w:ascii="宋体" w:hAnsi="宋体" w:cs="宋体" w:eastAsia="宋体" w:hint="default"/>
                <w:sz w:val="18"/>
                <w:szCs w:val="18"/>
              </w:rPr>
            </w:pPr>
            <w:r>
              <w:rPr>
                <w:rFonts w:ascii="宋体" w:hAnsi="宋体" w:cs="宋体" w:eastAsia="宋体" w:hint="default"/>
                <w:sz w:val="18"/>
                <w:szCs w:val="18"/>
              </w:rPr>
              <w:t>久其政务研 发中心建设 项目</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61"/>
              <w:jc w:val="left"/>
              <w:rPr>
                <w:rFonts w:ascii="宋体" w:hAnsi="宋体" w:cs="宋体" w:eastAsia="宋体" w:hint="default"/>
                <w:sz w:val="18"/>
                <w:szCs w:val="18"/>
              </w:rPr>
            </w:pPr>
            <w:r>
              <w:rPr>
                <w:rFonts w:ascii="宋体" w:hAnsi="宋体" w:cs="宋体" w:eastAsia="宋体" w:hint="default"/>
                <w:sz w:val="18"/>
                <w:szCs w:val="18"/>
              </w:rPr>
              <w:t>软件信息及 服务业</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30,710,480.19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99,121,848.08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63"/>
              <w:jc w:val="left"/>
              <w:rPr>
                <w:rFonts w:ascii="宋体" w:hAnsi="宋体" w:cs="宋体" w:eastAsia="宋体" w:hint="default"/>
                <w:sz w:val="18"/>
                <w:szCs w:val="18"/>
              </w:rPr>
            </w:pPr>
            <w:r>
              <w:rPr>
                <w:rFonts w:ascii="宋体" w:hAnsi="宋体" w:cs="宋体" w:eastAsia="宋体" w:hint="default"/>
                <w:sz w:val="18"/>
                <w:szCs w:val="18"/>
              </w:rPr>
              <w:t>自有资金和 募集资金</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10" w:right="0"/>
              <w:jc w:val="left"/>
              <w:rPr>
                <w:rFonts w:ascii="Times New Roman" w:hAnsi="Times New Roman" w:cs="Times New Roman" w:eastAsia="Times New Roman" w:hint="default"/>
                <w:sz w:val="18"/>
                <w:szCs w:val="18"/>
              </w:rPr>
            </w:pPr>
            <w:r>
              <w:rPr>
                <w:rFonts w:ascii="Times New Roman"/>
                <w:sz w:val="18"/>
              </w:rPr>
              <w:t>31.65%</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422"/>
              <w:jc w:val="right"/>
              <w:rPr>
                <w:rFonts w:ascii="宋体" w:hAnsi="宋体" w:cs="宋体" w:eastAsia="宋体" w:hint="default"/>
                <w:sz w:val="18"/>
                <w:szCs w:val="18"/>
              </w:rPr>
            </w:pPr>
            <w:r>
              <w:rPr>
                <w:rFonts w:ascii="宋体" w:hAnsi="宋体" w:cs="宋体" w:eastAsia="宋体" w:hint="default"/>
                <w:sz w:val="18"/>
                <w:szCs w:val="18"/>
              </w:rPr>
              <w:t>不适用</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4"/>
              <w:jc w:val="both"/>
              <w:rPr>
                <w:rFonts w:ascii="宋体" w:hAnsi="宋体" w:cs="宋体" w:eastAsia="宋体" w:hint="default"/>
                <w:sz w:val="18"/>
                <w:szCs w:val="18"/>
              </w:rPr>
            </w:pPr>
            <w:r>
              <w:rPr>
                <w:rFonts w:ascii="宋体" w:hAnsi="宋体" w:cs="宋体" w:eastAsia="宋体" w:hint="default"/>
                <w:sz w:val="18"/>
                <w:szCs w:val="18"/>
              </w:rPr>
              <w:t>《公开发可转换公司债 券募集资金运用可行性 分析报告》披露于巨潮 资讯网</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30,710,480.19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99,121,848.08</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97"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0.00</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32"/>
              <w:jc w:val="right"/>
              <w:rPr>
                <w:rFonts w:ascii="Times New Roman" w:hAnsi="Times New Roman" w:cs="Times New Roman" w:eastAsia="Times New Roman" w:hint="default"/>
                <w:sz w:val="18"/>
                <w:szCs w:val="18"/>
              </w:rPr>
            </w:pPr>
            <w:r>
              <w:rPr>
                <w:rFonts w:ascii="Times New Roman"/>
                <w:sz w:val="18"/>
              </w:rPr>
              <w:t>--</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76"/>
        <w:ind w:left="0" w:right="136"/>
        <w:jc w:val="right"/>
        <w:rPr>
          <w:rFonts w:ascii="Times New Roman" w:hAnsi="Times New Roman" w:cs="Times New Roman" w:eastAsia="Times New Roman" w:hint="default"/>
        </w:rPr>
      </w:pPr>
      <w:r>
        <w:rPr>
          <w:rFonts w:ascii="Times New Roman"/>
        </w:rPr>
        <w:t>26</w:t>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3" name="image1.jpeg" descr=""/>
            <wp:cNvGraphicFramePr>
              <a:graphicFrameLocks noChangeAspect="1"/>
            </wp:cNvGraphicFramePr>
            <a:graphic>
              <a:graphicData uri="http://schemas.openxmlformats.org/drawingml/2006/picture">
                <pic:pic>
                  <pic:nvPicPr>
                    <pic:cNvPr id="4" name="image1.jpeg"/>
                    <pic:cNvPicPr/>
                  </pic:nvPicPr>
                  <pic:blipFill>
                    <a:blip r:embed="rId16"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700" w:left="1300" w:right="130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bookmarkStart w:name="4、以公允价值计量的金融资产" w:id="50"/>
      <w:bookmarkEnd w:id="50"/>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募集资金使用情况" w:id="51"/>
      <w:bookmarkEnd w:id="51"/>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募集资金总体使用情况" w:id="52"/>
      <w:bookmarkEnd w:id="52"/>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before="44"/>
        <w:ind w:left="0" w:right="1144"/>
        <w:jc w:val="right"/>
      </w:pPr>
      <w:r>
        <w:rPr/>
        <w:pict>
          <v:shape style="position:absolute;margin-left:56.459999pt;margin-top:-174.868271pt;width:479pt;height:257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338"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85"/>
                          <w:jc w:val="center"/>
                          <w:rPr>
                            <w:rFonts w:ascii="宋体" w:hAnsi="宋体" w:cs="宋体" w:eastAsia="宋体" w:hint="default"/>
                            <w:sz w:val="18"/>
                            <w:szCs w:val="18"/>
                          </w:rPr>
                        </w:pPr>
                        <w:r>
                          <w:rPr>
                            <w:rFonts w:ascii="宋体" w:hAnsi="宋体" w:cs="宋体" w:eastAsia="宋体" w:hint="default"/>
                            <w:sz w:val="18"/>
                            <w:szCs w:val="18"/>
                          </w:rPr>
                          <w:t>公开发行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9,515.24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29,810.44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50,647.54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暂时补充 流动资金 以及进行 现金管理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9,515.24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29,810.44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50,647.54</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650"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[2017]392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号《关于核准北京久其软件股份有限公司公开发行可转换公司债券的批复 </w:t>
                        </w:r>
                        <w:r>
                          <w:rPr>
                            <w:rFonts w:ascii="宋体" w:hAnsi="宋体" w:cs="宋体" w:eastAsia="宋体" w:hint="default"/>
                            <w:spacing w:val="-13"/>
                            <w:sz w:val="18"/>
                            <w:szCs w:val="18"/>
                          </w:rPr>
                          <w:t>的核准，公司于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日向社会公开发行可转换公司债券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780</w:t>
                        </w:r>
                        <w:r>
                          <w:rPr>
                            <w:rFonts w:ascii="Times New Roman" w:hAnsi="Times New Roman" w:cs="Times New Roman" w:eastAsia="Times New Roman" w:hint="default"/>
                            <w:spacing w:val="-3"/>
                            <w:sz w:val="18"/>
                            <w:szCs w:val="18"/>
                          </w:rPr>
                          <w:t> </w:t>
                        </w:r>
                        <w:r>
                          <w:rPr>
                            <w:rFonts w:ascii="宋体" w:hAnsi="宋体" w:cs="宋体" w:eastAsia="宋体" w:hint="default"/>
                            <w:spacing w:val="-9"/>
                            <w:sz w:val="18"/>
                            <w:szCs w:val="18"/>
                          </w:rPr>
                          <w:t>万张，发行价格为每张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元，募集资金总额为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78,000</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万元，扣除发行费用总额人民币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1,507.80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万元，募集资金净额为人民币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76,492.20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万元。该资金已于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日存</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入兴业银行北京东城支行开立的募集资金专户。截至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日，尚未使用募集资金总额为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50,647.54</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万元，其中</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用于暂时补充流动资金的金额为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19,054.78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万元，进行现金管理未到期金额为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万元，剩余募集资金存放在专户中。</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3"/>
        <w:spacing w:line="240" w:lineRule="auto" w:before="35"/>
        <w:ind w:right="0"/>
        <w:jc w:val="left"/>
        <w:rPr>
          <w:b w:val="0"/>
          <w:bCs w:val="0"/>
        </w:rPr>
      </w:pPr>
      <w:bookmarkStart w:name="（2）募集资金承诺项目情况" w:id="53"/>
      <w:bookmarkEnd w:id="53"/>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853"/>
        <w:gridCol w:w="715"/>
        <w:gridCol w:w="857"/>
        <w:gridCol w:w="857"/>
        <w:gridCol w:w="856"/>
        <w:gridCol w:w="857"/>
        <w:gridCol w:w="774"/>
        <w:gridCol w:w="832"/>
        <w:gridCol w:w="931"/>
        <w:gridCol w:w="498"/>
        <w:gridCol w:w="665"/>
      </w:tblGrid>
      <w:tr>
        <w:trPr>
          <w:trHeight w:val="1650"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562" w:right="111"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51" w:right="53"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3" w:right="61"/>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48" w:right="47" w:firstLine="15"/>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62" w:right="61"/>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3" w:right="61"/>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6" w:right="96"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56"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0" w:right="51"/>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9" w:right="101"/>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3" w:right="62"/>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6" w:right="56"/>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69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久其政务研发中心建 设项目</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27,580.23</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27,580.23</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3,524.31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9,148.08</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33.17%</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80"/>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1"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3"/>
              <w:jc w:val="left"/>
              <w:rPr>
                <w:rFonts w:ascii="宋体" w:hAnsi="宋体" w:cs="宋体" w:eastAsia="宋体" w:hint="default"/>
                <w:sz w:val="18"/>
                <w:szCs w:val="18"/>
              </w:rPr>
            </w:pPr>
            <w:r>
              <w:rPr>
                <w:rFonts w:ascii="宋体" w:hAnsi="宋体" w:cs="宋体" w:eastAsia="宋体" w:hint="default"/>
                <w:sz w:val="18"/>
                <w:szCs w:val="18"/>
              </w:rPr>
              <w:t>不适 用</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购买北京瑞意恒动科</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20,500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16,400</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2,717.18</w:t>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footerReference w:type="default" r:id="rId17"/>
          <w:pgSz w:w="11910" w:h="16840"/>
          <w:pgMar w:footer="979" w:header="0" w:top="1060" w:bottom="1160" w:left="980" w:right="0"/>
          <w:pgNumType w:start="27"/>
        </w:sectPr>
      </w:pPr>
    </w:p>
    <w:p>
      <w:pPr>
        <w:spacing w:line="240" w:lineRule="auto" w:before="0"/>
        <w:rPr>
          <w:rFonts w:ascii="宋体" w:hAnsi="宋体" w:cs="宋体" w:eastAsia="宋体" w:hint="default"/>
          <w:sz w:val="20"/>
          <w:szCs w:val="20"/>
        </w:rPr>
      </w:pPr>
      <w:r>
        <w:rPr/>
        <w:pict>
          <v:shape style="position:absolute;margin-left:55.080002pt;margin-top:71.999985pt;width:485.5pt;height:682.6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53"/>
                    <w:gridCol w:w="709"/>
                    <w:gridCol w:w="863"/>
                    <w:gridCol w:w="857"/>
                    <w:gridCol w:w="856"/>
                    <w:gridCol w:w="857"/>
                    <w:gridCol w:w="774"/>
                    <w:gridCol w:w="832"/>
                    <w:gridCol w:w="931"/>
                    <w:gridCol w:w="498"/>
                    <w:gridCol w:w="665"/>
                  </w:tblGrid>
                  <w:tr>
                    <w:trPr>
                      <w:trHeight w:val="362"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709"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下一代集团管控平台</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4,176.95</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4,176.95</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357.03</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738.01</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17.67%</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8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1"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3"/>
                          <w:jc w:val="left"/>
                          <w:rPr>
                            <w:rFonts w:ascii="宋体" w:hAnsi="宋体" w:cs="宋体" w:eastAsia="宋体" w:hint="default"/>
                            <w:sz w:val="18"/>
                            <w:szCs w:val="18"/>
                          </w:rPr>
                        </w:pPr>
                        <w:r>
                          <w:rPr>
                            <w:rFonts w:ascii="宋体" w:hAnsi="宋体" w:cs="宋体" w:eastAsia="宋体" w:hint="default"/>
                            <w:sz w:val="18"/>
                            <w:szCs w:val="18"/>
                          </w:rPr>
                          <w:t>建设 中</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数字营销运营平台</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14,749.5</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14,749.5</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165.21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190.55</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8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1"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3"/>
                          <w:jc w:val="left"/>
                          <w:rPr>
                            <w:rFonts w:ascii="宋体" w:hAnsi="宋体" w:cs="宋体" w:eastAsia="宋体" w:hint="default"/>
                            <w:sz w:val="18"/>
                            <w:szCs w:val="18"/>
                          </w:rPr>
                        </w:pPr>
                        <w:r>
                          <w:rPr>
                            <w:rFonts w:ascii="宋体" w:hAnsi="宋体" w:cs="宋体" w:eastAsia="宋体" w:hint="default"/>
                            <w:sz w:val="18"/>
                            <w:szCs w:val="18"/>
                          </w:rPr>
                          <w:t>建设 中</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政企大数据平台</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10,993.32</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10,993.32</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1,368.69</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1,826</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16.61%</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8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1"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3"/>
                          <w:jc w:val="left"/>
                          <w:rPr>
                            <w:rFonts w:ascii="宋体" w:hAnsi="宋体" w:cs="宋体" w:eastAsia="宋体" w:hint="default"/>
                            <w:sz w:val="18"/>
                            <w:szCs w:val="18"/>
                          </w:rPr>
                        </w:pPr>
                        <w:r>
                          <w:rPr>
                            <w:rFonts w:ascii="宋体" w:hAnsi="宋体" w:cs="宋体" w:eastAsia="宋体" w:hint="default"/>
                            <w:sz w:val="18"/>
                            <w:szCs w:val="18"/>
                          </w:rPr>
                          <w:t>建设 中</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公开发行可转债的发 行费用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3"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1,507.8</w:t>
                        </w:r>
                      </w:p>
                    </w:tc>
                    <w:tc>
                      <w:tcPr>
                        <w:tcW w:w="774"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3"/>
                          <w:jc w:val="left"/>
                          <w:rPr>
                            <w:rFonts w:ascii="宋体" w:hAnsi="宋体" w:cs="宋体" w:eastAsia="宋体" w:hint="default"/>
                            <w:sz w:val="18"/>
                            <w:szCs w:val="18"/>
                          </w:rPr>
                        </w:pPr>
                        <w:r>
                          <w:rPr>
                            <w:rFonts w:ascii="宋体" w:hAnsi="宋体" w:cs="宋体" w:eastAsia="宋体" w:hint="default"/>
                            <w:sz w:val="18"/>
                            <w:szCs w:val="18"/>
                          </w:rPr>
                          <w:t>不适 用</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7"/>
                          <w:jc w:val="right"/>
                          <w:rPr>
                            <w:rFonts w:ascii="Times New Roman" w:hAnsi="Times New Roman" w:cs="Times New Roman" w:eastAsia="Times New Roman" w:hint="default"/>
                            <w:sz w:val="18"/>
                            <w:szCs w:val="18"/>
                          </w:rPr>
                        </w:pPr>
                        <w:r>
                          <w:rPr>
                            <w:rFonts w:ascii="Times New Roman"/>
                            <w:sz w:val="18"/>
                          </w:rPr>
                          <w:t>--</w:t>
                        </w:r>
                      </w:p>
                    </w:tc>
                    <w:tc>
                      <w:tcPr>
                        <w:tcW w:w="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78,000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9,515.24</w:t>
                        </w:r>
                      </w:p>
                    </w:tc>
                    <w:tc>
                      <w:tcPr>
                        <w:tcW w:w="85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29,810.44</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2,717.18</w:t>
                        </w:r>
                      </w:p>
                    </w:tc>
                    <w:tc>
                      <w:tcPr>
                        <w:tcW w:w="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66"/>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69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969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7"/>
                          <w:jc w:val="right"/>
                          <w:rPr>
                            <w:rFonts w:ascii="Times New Roman" w:hAnsi="Times New Roman" w:cs="Times New Roman" w:eastAsia="Times New Roman" w:hint="default"/>
                            <w:sz w:val="18"/>
                            <w:szCs w:val="18"/>
                          </w:rPr>
                        </w:pPr>
                        <w:r>
                          <w:rPr>
                            <w:rFonts w:ascii="Times New Roman"/>
                            <w:sz w:val="18"/>
                          </w:rPr>
                          <w:t>--</w:t>
                        </w:r>
                      </w:p>
                    </w:tc>
                    <w:tc>
                      <w:tcPr>
                        <w:tcW w:w="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78,000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9,515.24</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29,810.44</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2,717.18</w:t>
                        </w:r>
                      </w:p>
                    </w:tc>
                    <w:tc>
                      <w:tcPr>
                        <w:tcW w:w="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66"/>
                          <w:jc w:val="right"/>
                          <w:rPr>
                            <w:rFonts w:ascii="Times New Roman" w:hAnsi="Times New Roman" w:cs="Times New Roman" w:eastAsia="Times New Roman" w:hint="default"/>
                            <w:sz w:val="18"/>
                            <w:szCs w:val="18"/>
                          </w:rPr>
                        </w:pPr>
                        <w:r>
                          <w:rPr>
                            <w:rFonts w:ascii="Times New Roman"/>
                            <w:sz w:val="18"/>
                          </w:rPr>
                          <w:t>--</w:t>
                        </w:r>
                      </w:p>
                    </w:tc>
                  </w:tr>
                  <w:tr>
                    <w:trPr>
                      <w:trHeight w:val="3341" w:hRule="exact"/>
                    </w:trPr>
                    <w:tc>
                      <w:tcPr>
                        <w:tcW w:w="18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842" w:type="dxa"/>
                        <w:gridSpan w:val="10"/>
                        <w:vMerge w:val="restart"/>
                        <w:tcBorders>
                          <w:top w:val="single" w:sz="4" w:space="0" w:color="000000"/>
                          <w:left w:val="single" w:sz="9" w:space="0" w:color="D2D2D2"/>
                          <w:right w:val="single" w:sz="4" w:space="0" w:color="000000"/>
                        </w:tcBorders>
                      </w:tcPr>
                      <w:p>
                        <w:pPr>
                          <w:pStyle w:val="TableParagraph"/>
                          <w:spacing w:line="307" w:lineRule="auto" w:before="51"/>
                          <w:ind w:left="16"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、久其政务研发中心建设项目鉴于该项目建设过程中受天气及空气重污染预案等方面限制的影响， 实际进度与计划进度相比有所落后，公司已于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日召开的第六届董事会第二十二次会 </w:t>
                        </w:r>
                        <w:r>
                          <w:rPr>
                            <w:rFonts w:ascii="宋体" w:hAnsi="宋体" w:cs="宋体" w:eastAsia="宋体" w:hint="default"/>
                            <w:spacing w:val="-4"/>
                            <w:sz w:val="18"/>
                            <w:szCs w:val="18"/>
                          </w:rPr>
                          <w:t>议审议通过了《关于部分募集资金投资项目延期的议案》，同意对该项目的计划完工时间予以延期至</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9" w:lineRule="auto" w:before="46"/>
                          <w:ind w:left="16"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、下一代集团管控平台该项目是基于新的技术平台，结合</w:t>
                        </w:r>
                        <w:r>
                          <w:rPr>
                            <w:rFonts w:ascii="宋体" w:hAnsi="宋体" w:cs="宋体" w:eastAsia="宋体" w:hint="default"/>
                            <w:spacing w:val="-67"/>
                            <w:sz w:val="18"/>
                            <w:szCs w:val="18"/>
                          </w:rPr>
                          <w:t> </w:t>
                        </w:r>
                        <w:r>
                          <w:rPr>
                            <w:rFonts w:ascii="Times New Roman" w:hAnsi="Times New Roman" w:cs="Times New Roman" w:eastAsia="Times New Roman" w:hint="default"/>
                            <w:spacing w:val="-3"/>
                            <w:sz w:val="18"/>
                            <w:szCs w:val="18"/>
                          </w:rPr>
                          <w:t>SaaS</w:t>
                        </w:r>
                        <w:r>
                          <w:rPr>
                            <w:rFonts w:ascii="宋体" w:hAnsi="宋体" w:cs="宋体" w:eastAsia="宋体" w:hint="default"/>
                            <w:spacing w:val="-3"/>
                            <w:sz w:val="18"/>
                            <w:szCs w:val="18"/>
                          </w:rPr>
                          <w:t>、移动化、大数据存储与管理、大数</w:t>
                        </w:r>
                        <w:r>
                          <w:rPr>
                            <w:rFonts w:ascii="宋体" w:hAnsi="宋体" w:cs="宋体" w:eastAsia="宋体" w:hint="default"/>
                            <w:sz w:val="18"/>
                            <w:szCs w:val="18"/>
                          </w:rPr>
                          <w:t> 据分析与挖掘等技术，对公司集团管控产品进行技术升级和系统功能结构优化。随着云计算、移动 </w:t>
                        </w:r>
                        <w:r>
                          <w:rPr>
                            <w:rFonts w:ascii="宋体" w:hAnsi="宋体" w:cs="宋体" w:eastAsia="宋体" w:hint="default"/>
                            <w:spacing w:val="-3"/>
                            <w:sz w:val="18"/>
                            <w:szCs w:val="18"/>
                          </w:rPr>
                          <w:t>互联、大数据以及</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AI</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等技术的快速、深入发展，该项目仍需在运用新技术为企业集团客户创新管理 模式和提升管理价值方面，进行更多复杂工作和具体应用实践，继续深化运营管控、战略管控和风 险管控子系统的设计和研发工作。出于审慎考虑，公司已于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日召开的第六届董事会 </w:t>
                        </w:r>
                        <w:r>
                          <w:rPr>
                            <w:rFonts w:ascii="宋体" w:hAnsi="宋体" w:cs="宋体" w:eastAsia="宋体" w:hint="default"/>
                            <w:spacing w:val="-4"/>
                            <w:sz w:val="18"/>
                            <w:szCs w:val="18"/>
                          </w:rPr>
                          <w:t>第二十二次会议审议通过了《关于部分募集资金投资项目延期的议案》，同意调整该项目的计划完工</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时间予以延期至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304" w:lineRule="auto" w:before="43"/>
                          <w:ind w:left="16"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、数字营销运营平台公司数字传播业务板块主要通过近年来并购的子公司进行运营，因并购子公司</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在业务融合、管理优化等方面的工作需要逐步协调，</w:t>
                        </w:r>
                        <w:r>
                          <w:rPr>
                            <w:rFonts w:ascii="Times New Roman" w:hAnsi="Times New Roman" w:cs="Times New Roman" w:eastAsia="Times New Roman" w:hint="default"/>
                            <w:sz w:val="18"/>
                            <w:szCs w:val="18"/>
                          </w:rPr>
                          <w:t>“</w:t>
                        </w:r>
                        <w:r>
                          <w:rPr>
                            <w:rFonts w:ascii="宋体" w:hAnsi="宋体" w:cs="宋体" w:eastAsia="宋体" w:hint="default"/>
                            <w:sz w:val="18"/>
                            <w:szCs w:val="18"/>
                          </w:rPr>
                          <w:t>数字营销运营平台</w:t>
                        </w:r>
                        <w:r>
                          <w:rPr>
                            <w:rFonts w:ascii="Times New Roman" w:hAnsi="Times New Roman" w:cs="Times New Roman" w:eastAsia="Times New Roman" w:hint="default"/>
                            <w:sz w:val="18"/>
                            <w:szCs w:val="18"/>
                          </w:rPr>
                          <w:t>”</w:t>
                        </w:r>
                        <w:r>
                          <w:rPr>
                            <w:rFonts w:ascii="宋体" w:hAnsi="宋体" w:cs="宋体" w:eastAsia="宋体" w:hint="default"/>
                            <w:sz w:val="18"/>
                            <w:szCs w:val="18"/>
                          </w:rPr>
                          <w:t>项目研发工作进展较为缓 慢。同时为集中优势资源，提升内部运营管理效率。公司于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日召开第六届董事会第二 十八次（临时）会议审议通过了《关于变更部分募集资金投资项目实施主体并以募集资金向全资子 </w:t>
                        </w:r>
                        <w:r>
                          <w:rPr>
                            <w:rFonts w:ascii="宋体" w:hAnsi="宋体" w:cs="宋体" w:eastAsia="宋体" w:hint="default"/>
                            <w:spacing w:val="-3"/>
                            <w:w w:val="100"/>
                            <w:sz w:val="18"/>
                            <w:szCs w:val="18"/>
                          </w:rPr>
                          <w:t>公司增资的议案》，同意公司将</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数字营销运营平台</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项目的实施主体由公司变更为久其数字，并以</w:t>
                        </w:r>
                        <w:r>
                          <w:rPr>
                            <w:rFonts w:ascii="宋体" w:hAnsi="宋体" w:cs="宋体" w:eastAsia="宋体" w:hint="default"/>
                            <w:spacing w:val="-49"/>
                            <w:w w:val="100"/>
                            <w:sz w:val="18"/>
                            <w:szCs w:val="18"/>
                          </w:rPr>
                          <w:t> </w:t>
                        </w:r>
                        <w:r>
                          <w:rPr>
                            <w:rFonts w:ascii="Times New Roman" w:hAnsi="Times New Roman" w:cs="Times New Roman" w:eastAsia="Times New Roman" w:hint="default"/>
                            <w:sz w:val="18"/>
                            <w:szCs w:val="18"/>
                          </w:rPr>
                          <w:t>14,589.35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万元募集资金对久其数字进行增资。</w:t>
                        </w:r>
                      </w:p>
                      <w:p>
                        <w:pPr>
                          <w:pStyle w:val="TableParagraph"/>
                          <w:spacing w:line="309" w:lineRule="auto" w:before="47"/>
                          <w:ind w:left="16" w:right="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、政企大数据平台该项目系公司大数据研发平台，由于目前公司政企大客户大多采用私有云部署模</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式，对公有云部署模式仍需要一个接受的过程，因此出于审慎考虑，公司减慢了该项目中涉及公有 云基础设施建设、外部数据资源库等有关的软硬件投入。同时为提升公司司法领域电子政务服务能 力，提高该项目建设及使用效率，公司于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日召开第六届董事会第二十八次（临时）会 </w:t>
                        </w:r>
                        <w:r>
                          <w:rPr>
                            <w:rFonts w:ascii="宋体" w:hAnsi="宋体" w:cs="宋体" w:eastAsia="宋体" w:hint="default"/>
                            <w:spacing w:val="-6"/>
                            <w:sz w:val="18"/>
                            <w:szCs w:val="18"/>
                          </w:rPr>
                          <w:t>议，审议通过了《关于增加部分募集资金投资项目实施主体并以募集资金向全资子公司增资的议案》</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同意公司将</w:t>
                        </w:r>
                        <w:r>
                          <w:rPr>
                            <w:rFonts w:ascii="Times New Roman" w:hAnsi="Times New Roman" w:cs="Times New Roman" w:eastAsia="Times New Roman" w:hint="default"/>
                            <w:sz w:val="18"/>
                            <w:szCs w:val="18"/>
                          </w:rPr>
                          <w:t>“</w:t>
                        </w:r>
                        <w:r>
                          <w:rPr>
                            <w:rFonts w:ascii="宋体" w:hAnsi="宋体" w:cs="宋体" w:eastAsia="宋体" w:hint="default"/>
                            <w:sz w:val="18"/>
                            <w:szCs w:val="18"/>
                          </w:rPr>
                          <w:t>政企大数据平台</w:t>
                        </w:r>
                        <w:r>
                          <w:rPr>
                            <w:rFonts w:ascii="Times New Roman" w:hAnsi="Times New Roman" w:cs="Times New Roman" w:eastAsia="Times New Roman" w:hint="default"/>
                            <w:sz w:val="18"/>
                            <w:szCs w:val="18"/>
                          </w:rPr>
                          <w:t>”</w:t>
                        </w:r>
                        <w:r>
                          <w:rPr>
                            <w:rFonts w:ascii="宋体" w:hAnsi="宋体" w:cs="宋体" w:eastAsia="宋体" w:hint="default"/>
                            <w:sz w:val="18"/>
                            <w:szCs w:val="18"/>
                          </w:rPr>
                          <w:t>项目的实施主体由公司增加为公司及华夏电通，并以</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万元募集资 金对华夏电通进行增资。</w:t>
                        </w:r>
                      </w:p>
                    </w:tc>
                  </w:tr>
                  <w:tr>
                    <w:trPr>
                      <w:trHeight w:val="1016" w:hRule="exact"/>
                    </w:trPr>
                    <w:tc>
                      <w:tcPr>
                        <w:tcW w:w="18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42" w:type="dxa"/>
                        <w:gridSpan w:val="10"/>
                        <w:vMerge/>
                        <w:tcBorders>
                          <w:left w:val="single" w:sz="9" w:space="0" w:color="D2D2D2"/>
                          <w:right w:val="single" w:sz="4" w:space="0" w:color="000000"/>
                        </w:tcBorders>
                      </w:tcPr>
                      <w:p>
                        <w:pPr/>
                      </w:p>
                    </w:tc>
                  </w:tr>
                  <w:tr>
                    <w:trPr>
                      <w:trHeight w:val="3341" w:hRule="exact"/>
                    </w:trPr>
                    <w:tc>
                      <w:tcPr>
                        <w:tcW w:w="1853" w:type="dxa"/>
                        <w:tcBorders>
                          <w:top w:val="nil" w:sz="6" w:space="0" w:color="auto"/>
                          <w:left w:val="single" w:sz="4" w:space="0" w:color="000000"/>
                          <w:bottom w:val="single" w:sz="4" w:space="0" w:color="000000"/>
                          <w:right w:val="single" w:sz="4" w:space="0" w:color="000000"/>
                        </w:tcBorders>
                        <w:shd w:val="clear" w:color="auto" w:fill="D2D2D2"/>
                      </w:tcPr>
                      <w:p>
                        <w:pPr/>
                      </w:p>
                    </w:tc>
                    <w:tc>
                      <w:tcPr>
                        <w:tcW w:w="7842" w:type="dxa"/>
                        <w:gridSpan w:val="10"/>
                        <w:vMerge/>
                        <w:tcBorders>
                          <w:left w:val="single" w:sz="9" w:space="0" w:color="D2D2D2"/>
                          <w:bottom w:val="single" w:sz="4" w:space="0" w:color="000000"/>
                          <w:right w:val="single" w:sz="4" w:space="0" w:color="000000"/>
                        </w:tcBorders>
                      </w:tcPr>
                      <w:p>
                        <w:pPr/>
                      </w:p>
                    </w:tc>
                  </w:tr>
                  <w:tr>
                    <w:trPr>
                      <w:trHeight w:val="714"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42"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超募资金的金额、用途</w:t>
                        </w:r>
                      </w:p>
                    </w:tc>
                    <w:tc>
                      <w:tcPr>
                        <w:tcW w:w="7842"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240" w:lineRule="auto" w:before="44"/>
        <w:ind w:left="0" w:right="1041"/>
        <w:jc w:val="right"/>
      </w:pPr>
      <w:r>
        <w:rPr/>
        <w:t>，</w:t>
      </w:r>
    </w:p>
    <w:p>
      <w:pPr>
        <w:spacing w:after="0" w:line="240" w:lineRule="auto"/>
        <w:jc w:val="right"/>
        <w:sectPr>
          <w:pgSz w:w="11910" w:h="16840"/>
          <w:pgMar w:header="0"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5.080002pt;margin-top:71.999985pt;width:485.5pt;height:687.2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53"/>
                    <w:gridCol w:w="7842"/>
                  </w:tblGrid>
                  <w:tr>
                    <w:trPr>
                      <w:trHeight w:val="362"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及使用进展情况</w:t>
                        </w:r>
                      </w:p>
                    </w:tc>
                    <w:tc>
                      <w:tcPr>
                        <w:tcW w:w="784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8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319" w:lineRule="auto"/>
                          <w:ind w:left="22" w:right="198"/>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0" w:hRule="exact"/>
                    </w:trPr>
                    <w:tc>
                      <w:tcPr>
                        <w:tcW w:w="1853" w:type="dxa"/>
                        <w:vMerge/>
                        <w:tcBorders>
                          <w:left w:val="single" w:sz="4" w:space="0" w:color="000000"/>
                          <w:bottom w:val="single" w:sz="4" w:space="0" w:color="000000"/>
                          <w:right w:val="single" w:sz="4" w:space="0" w:color="000000"/>
                        </w:tcBorders>
                        <w:shd w:val="clear" w:color="auto" w:fill="D2D2D2"/>
                      </w:tcPr>
                      <w:p>
                        <w:pPr/>
                      </w:p>
                    </w:tc>
                    <w:tc>
                      <w:tcPr>
                        <w:tcW w:w="784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本报告期公司不存在募集资金投资项目先期投入及置换情况。</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pacing w:val="-5"/>
                            <w:sz w:val="18"/>
                            <w:szCs w:val="18"/>
                          </w:rPr>
                          <w:t>日，公司第六届董事会</w:t>
                        </w:r>
                        <w:r>
                          <w:rPr>
                            <w:rFonts w:ascii="宋体" w:hAnsi="宋体" w:cs="宋体" w:eastAsia="宋体" w:hint="default"/>
                            <w:sz w:val="18"/>
                            <w:szCs w:val="18"/>
                          </w:rPr>
                          <w:t> </w:t>
                        </w:r>
                        <w:r>
                          <w:rPr>
                            <w:rFonts w:ascii="宋体" w:hAnsi="宋体" w:cs="宋体" w:eastAsia="宋体" w:hint="default"/>
                            <w:spacing w:val="-4"/>
                            <w:sz w:val="18"/>
                            <w:szCs w:val="18"/>
                          </w:rPr>
                          <w:t>第八次会议审议通过了《关于使用募集资金置换预先投入募投项目的自筹资金的议案》，同意公司使</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用募集资金</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16,162.11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万元置换预先已投入公开发行可转换债券募集资金投资项目的自筹资金。立信 会计师事务所（特殊普通合伙）对该事项进行了专项审核，并出具了《北京久其软件股份有限公司 </w:t>
                        </w:r>
                        <w:r>
                          <w:rPr>
                            <w:rFonts w:ascii="宋体" w:hAnsi="宋体" w:cs="宋体" w:eastAsia="宋体" w:hint="default"/>
                            <w:spacing w:val="-4"/>
                            <w:sz w:val="18"/>
                            <w:szCs w:val="18"/>
                          </w:rPr>
                          <w:t>募集资金置换专项审核报告》（信会师报字</w:t>
                        </w: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第</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ZG12073</w:t>
                        </w:r>
                        <w:r>
                          <w:rPr>
                            <w:rFonts w:ascii="Times New Roman" w:hAnsi="Times New Roman" w:cs="Times New Roman" w:eastAsia="Times New Roman" w:hint="default"/>
                            <w:spacing w:val="5"/>
                            <w:sz w:val="18"/>
                            <w:szCs w:val="18"/>
                          </w:rPr>
                          <w:t> </w:t>
                        </w:r>
                        <w:r>
                          <w:rPr>
                            <w:rFonts w:ascii="宋体" w:hAnsi="宋体" w:cs="宋体" w:eastAsia="宋体" w:hint="default"/>
                            <w:spacing w:val="-30"/>
                            <w:sz w:val="18"/>
                            <w:szCs w:val="18"/>
                          </w:rPr>
                          <w:t>号）。</w:t>
                        </w:r>
                      </w:p>
                    </w:tc>
                  </w:tr>
                  <w:tr>
                    <w:trPr>
                      <w:trHeight w:val="402" w:hRule="exact"/>
                    </w:trPr>
                    <w:tc>
                      <w:tcPr>
                        <w:tcW w:w="18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198"/>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898" w:hRule="exact"/>
                    </w:trPr>
                    <w:tc>
                      <w:tcPr>
                        <w:tcW w:w="1853" w:type="dxa"/>
                        <w:vMerge/>
                        <w:tcBorders>
                          <w:left w:val="single" w:sz="4" w:space="0" w:color="000000"/>
                          <w:bottom w:val="single" w:sz="4" w:space="0" w:color="000000"/>
                          <w:right w:val="single" w:sz="4" w:space="0" w:color="000000"/>
                        </w:tcBorders>
                        <w:shd w:val="clear" w:color="auto" w:fill="D2D2D2"/>
                      </w:tcPr>
                      <w:p>
                        <w:pPr/>
                      </w:p>
                    </w:tc>
                    <w:tc>
                      <w:tcPr>
                        <w:tcW w:w="784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both"/>
                          <w:rPr>
                            <w:rFonts w:ascii="宋体" w:hAnsi="宋体" w:cs="宋体" w:eastAsia="宋体" w:hint="default"/>
                            <w:sz w:val="18"/>
                            <w:szCs w:val="18"/>
                          </w:rPr>
                        </w:pPr>
                        <w:r>
                          <w:rPr>
                            <w:rFonts w:ascii="宋体" w:hAnsi="宋体" w:cs="宋体" w:eastAsia="宋体" w:hint="default"/>
                            <w:spacing w:val="-3"/>
                            <w:sz w:val="18"/>
                            <w:szCs w:val="18"/>
                          </w:rPr>
                          <w:t>在确保不影响募集资金投资项目正常开展的前提下，为提高募集资金使用效率、降低财务成本，</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日，公司第六届董事会第二十三次会议和第六届监事会第十三次会议分别审议通过了《关</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于使用部分闲置募集资金暂时补充流动资金的议案</w:t>
                        </w: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pacing w:val="-2"/>
                            <w:sz w:val="18"/>
                            <w:szCs w:val="18"/>
                          </w:rPr>
                          <w:t>同</w:t>
                        </w:r>
                        <w:r>
                          <w:rPr>
                            <w:rFonts w:ascii="宋体" w:hAnsi="宋体" w:cs="宋体" w:eastAsia="宋体" w:hint="default"/>
                            <w:sz w:val="18"/>
                            <w:szCs w:val="18"/>
                          </w:rPr>
                          <w:t>意公司及久其政务拟使用不超过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r>
                          <w:rPr>
                            <w:rFonts w:ascii="宋体" w:hAnsi="宋体" w:cs="宋体" w:eastAsia="宋体" w:hint="default"/>
                            <w:spacing w:val="1"/>
                            <w:sz w:val="18"/>
                            <w:szCs w:val="18"/>
                          </w:rPr>
                          <w:t>人</w:t>
                        </w:r>
                        <w:r>
                          <w:rPr>
                            <w:rFonts w:ascii="宋体" w:hAnsi="宋体" w:cs="宋体" w:eastAsia="宋体" w:hint="default"/>
                            <w:sz w:val="18"/>
                            <w:szCs w:val="18"/>
                          </w:rPr>
                          <w:t>民</w:t>
                        </w:r>
                      </w:p>
                      <w:p>
                        <w:pPr>
                          <w:pStyle w:val="TableParagraph"/>
                          <w:spacing w:line="312" w:lineRule="auto" w:before="63"/>
                          <w:ind w:left="22" w:right="-21"/>
                          <w:jc w:val="both"/>
                          <w:rPr>
                            <w:rFonts w:ascii="宋体" w:hAnsi="宋体" w:cs="宋体" w:eastAsia="宋体" w:hint="default"/>
                            <w:sz w:val="18"/>
                            <w:szCs w:val="18"/>
                          </w:rPr>
                        </w:pPr>
                        <w:r>
                          <w:rPr>
                            <w:rFonts w:ascii="宋体" w:hAnsi="宋体" w:cs="宋体" w:eastAsia="宋体" w:hint="default"/>
                            <w:sz w:val="18"/>
                            <w:szCs w:val="18"/>
                          </w:rPr>
                          <w:t>币的闲置募集资金暂时补充流动资金，期限不超过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个月。公司于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日召开第六届董 事会第二十九次（临时）会议和第六届监事会第十七次（临时）会议，分别审议通过了《关于增加 </w:t>
                        </w:r>
                        <w:r>
                          <w:rPr>
                            <w:rFonts w:ascii="宋体" w:hAnsi="宋体" w:cs="宋体" w:eastAsia="宋体" w:hint="default"/>
                            <w:spacing w:val="-4"/>
                            <w:sz w:val="18"/>
                            <w:szCs w:val="18"/>
                          </w:rPr>
                          <w:t>全资子公司为使用部分闲置募集资金暂时补充流动资金实施主体的议案》，同意增加全资子公司华夏</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电通和久其数字为使用部分闲置募集资金暂时补充流动资金的实施主体。截至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公司、久其政务、华夏电通和久其数字实际使用闲置募集资金暂时补充流动资金的金额为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19,054.78</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万元。</w:t>
                        </w:r>
                      </w:p>
                    </w:tc>
                  </w:tr>
                  <w:tr>
                    <w:trPr>
                      <w:trHeight w:val="714"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514"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22" w:right="198"/>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4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2"/>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日，尚未使用的募集资金余额或暂时补充流动资金，或根据需要进行现金管理</w:t>
                        </w:r>
                        <w:r>
                          <w:rPr>
                            <w:rFonts w:ascii="宋体" w:hAnsi="宋体" w:cs="宋体" w:eastAsia="宋体" w:hint="default"/>
                            <w:sz w:val="18"/>
                            <w:szCs w:val="18"/>
                          </w:rPr>
                          <w:t> 或存放于募集资金专户中。</w:t>
                        </w:r>
                      </w:p>
                      <w:p>
                        <w:pPr>
                          <w:pStyle w:val="TableParagraph"/>
                          <w:spacing w:line="240" w:lineRule="auto" w:before="72"/>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、暂时补充流动资金情况详见本表“用闲置募集资金暂时补充流动资金情况”部分。</w:t>
                        </w:r>
                      </w:p>
                      <w:p>
                        <w:pPr>
                          <w:pStyle w:val="TableParagraph"/>
                          <w:spacing w:line="240" w:lineRule="auto" w:before="102"/>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、现金管理情况如下：</w:t>
                        </w:r>
                      </w:p>
                      <w:p>
                        <w:pPr>
                          <w:pStyle w:val="TableParagraph"/>
                          <w:spacing w:line="240" w:lineRule="auto" w:before="101"/>
                          <w:ind w:left="22" w:right="0"/>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日召开第六届董事会第二十六次（临时）会议和第六届监事会第十四次（临</w:t>
                        </w:r>
                      </w:p>
                      <w:p>
                        <w:pPr>
                          <w:pStyle w:val="TableParagraph"/>
                          <w:spacing w:line="309" w:lineRule="auto" w:before="63"/>
                          <w:ind w:left="22" w:right="22"/>
                          <w:jc w:val="both"/>
                          <w:rPr>
                            <w:rFonts w:ascii="Times New Roman" w:hAnsi="Times New Roman" w:cs="Times New Roman" w:eastAsia="Times New Roman" w:hint="default"/>
                            <w:sz w:val="18"/>
                            <w:szCs w:val="18"/>
                          </w:rPr>
                        </w:pPr>
                        <w:r>
                          <w:rPr>
                            <w:rFonts w:ascii="宋体" w:hAnsi="宋体" w:cs="宋体" w:eastAsia="宋体" w:hint="default"/>
                            <w:spacing w:val="-4"/>
                            <w:sz w:val="18"/>
                            <w:szCs w:val="18"/>
                          </w:rPr>
                          <w:t>时）会议，并于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年第四次临时股东大会，分别审议通过了《关于继续使 </w:t>
                        </w:r>
                        <w:r>
                          <w:rPr>
                            <w:rFonts w:ascii="宋体" w:hAnsi="宋体" w:cs="宋体" w:eastAsia="宋体" w:hint="default"/>
                            <w:spacing w:val="-4"/>
                            <w:sz w:val="18"/>
                            <w:szCs w:val="18"/>
                          </w:rPr>
                          <w:t>用部分暂时闲置募集资金进行现金管理的议案》，同意公司及久其政务在不影响募投项目建设和募集</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资金正常使用的前提下，继续使用不超过人民币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万元暂时闲置的募集资金进行现金管理，购 买安全性高、流动性好、风险较低、能够提供保本承诺的具有合法经营资格的金融机构销售的理财 类产品或存款类产品，投资期限不超过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个月。在上述额度和期限内，资金可以滚动使用。</w:t>
                        </w:r>
                        <w:r>
                          <w:rPr>
                            <w:rFonts w:ascii="Times New Roman" w:hAnsi="Times New Roman" w:cs="Times New Roman" w:eastAsia="Times New Roman" w:hint="default"/>
                            <w:sz w:val="18"/>
                            <w:szCs w:val="18"/>
                          </w:rPr>
                          <w:t>2018</w:t>
                        </w:r>
                      </w:p>
                      <w:p>
                        <w:pPr>
                          <w:pStyle w:val="TableParagraph"/>
                          <w:spacing w:line="314" w:lineRule="auto" w:before="5"/>
                          <w:ind w:left="22" w:right="22"/>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日，公司召开第六届董事会第二十九次（临时）会议和第六届监事会第十七次（临时）会 议，分别审议通过了《关于增加全资子公司为使用部分暂时闲置募集资金进行现金管理实施主体的 </w:t>
                        </w:r>
                        <w:r>
                          <w:rPr>
                            <w:rFonts w:ascii="宋体" w:hAnsi="宋体" w:cs="宋体" w:eastAsia="宋体" w:hint="default"/>
                            <w:spacing w:val="-4"/>
                            <w:sz w:val="18"/>
                            <w:szCs w:val="18"/>
                          </w:rPr>
                          <w:t>议案》，同意增加华夏电通和久其数字为使用部分暂时闲置募集资金进行现金管理的实施主体。报告</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期内，公司使用部分暂时闲置募集资金进行现金管理实施的进展情况已在指定信息披露媒体《中国 </w:t>
                        </w:r>
                        <w:r>
                          <w:rPr>
                            <w:rFonts w:ascii="宋体" w:hAnsi="宋体" w:cs="宋体" w:eastAsia="宋体" w:hint="default"/>
                            <w:spacing w:val="-3"/>
                            <w:w w:val="99"/>
                            <w:sz w:val="18"/>
                            <w:szCs w:val="18"/>
                          </w:rPr>
                          <w:t>证券报》《证券时报》和巨潮资讯网（</w:t>
                        </w:r>
                        <w:hyperlink r:id="rId13">
                          <w:r>
                            <w:rPr>
                              <w:rFonts w:ascii="Times New Roman" w:hAnsi="Times New Roman" w:cs="Times New Roman" w:eastAsia="Times New Roman" w:hint="default"/>
                              <w:spacing w:val="-3"/>
                              <w:w w:val="99"/>
                              <w:sz w:val="18"/>
                              <w:szCs w:val="18"/>
                            </w:rPr>
                            <w:t>www.cninfo.com.cn</w:t>
                          </w:r>
                        </w:hyperlink>
                        <w:r>
                          <w:rPr>
                            <w:rFonts w:ascii="宋体" w:hAnsi="宋体" w:cs="宋体" w:eastAsia="宋体" w:hint="default"/>
                            <w:spacing w:val="-3"/>
                            <w:w w:val="99"/>
                            <w:sz w:val="18"/>
                            <w:szCs w:val="18"/>
                          </w:rPr>
                          <w:t>）上公开披露。截至</w:t>
                        </w:r>
                        <w:r>
                          <w:rPr>
                            <w:rFonts w:ascii="宋体" w:hAnsi="宋体" w:cs="宋体" w:eastAsia="宋体" w:hint="default"/>
                            <w:spacing w:val="-43"/>
                            <w:w w:val="9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before="1"/>
                          <w:ind w:left="22" w:right="0"/>
                          <w:jc w:val="both"/>
                          <w:rPr>
                            <w:rFonts w:ascii="宋体" w:hAnsi="宋体" w:cs="宋体" w:eastAsia="宋体" w:hint="default"/>
                            <w:sz w:val="18"/>
                            <w:szCs w:val="18"/>
                          </w:rPr>
                        </w:pPr>
                        <w:r>
                          <w:rPr>
                            <w:rFonts w:ascii="宋体" w:hAnsi="宋体" w:cs="宋体" w:eastAsia="宋体" w:hint="default"/>
                            <w:sz w:val="18"/>
                            <w:szCs w:val="18"/>
                          </w:rPr>
                          <w:t>公司、久其政务、久其数字和华夏电通进行现金管理的本金余额为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万元；报告期内，已收到</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理财收益为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1,923.48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62"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募集资金使用及披露</w:t>
                        </w:r>
                      </w:p>
                    </w:tc>
                    <w:tc>
                      <w:tcPr>
                        <w:tcW w:w="7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日召开第六届董事会第三十二次（临时）会议和第六届监事会第二十次（临</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pStyle w:val="BodyText"/>
        <w:spacing w:line="240" w:lineRule="auto"/>
        <w:ind w:left="0" w:right="1042"/>
        <w:jc w:val="right"/>
      </w:pPr>
      <w:r>
        <w:rPr/>
        <w:t>，</w:t>
      </w:r>
    </w:p>
    <w:p>
      <w:pPr>
        <w:spacing w:after="0" w:line="240" w:lineRule="auto"/>
        <w:jc w:val="right"/>
        <w:sectPr>
          <w:pgSz w:w="11910" w:h="16840"/>
          <w:pgMar w:header="0"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1853"/>
        <w:gridCol w:w="7842"/>
      </w:tblGrid>
      <w:tr>
        <w:trPr>
          <w:trHeight w:val="1923"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98"/>
              <w:jc w:val="left"/>
              <w:rPr>
                <w:rFonts w:ascii="宋体" w:hAnsi="宋体" w:cs="宋体" w:eastAsia="宋体" w:hint="default"/>
                <w:sz w:val="18"/>
                <w:szCs w:val="18"/>
              </w:rPr>
            </w:pPr>
            <w:r>
              <w:rPr>
                <w:rFonts w:ascii="宋体" w:hAnsi="宋体" w:cs="宋体" w:eastAsia="宋体" w:hint="default"/>
                <w:sz w:val="18"/>
                <w:szCs w:val="18"/>
              </w:rPr>
              <w:t>中存在的问题或其他 情况</w:t>
            </w:r>
          </w:p>
        </w:tc>
        <w:tc>
          <w:tcPr>
            <w:tcW w:w="784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1"/>
              <w:jc w:val="left"/>
              <w:rPr>
                <w:rFonts w:ascii="宋体" w:hAnsi="宋体" w:cs="宋体" w:eastAsia="宋体" w:hint="default"/>
                <w:sz w:val="18"/>
                <w:szCs w:val="18"/>
              </w:rPr>
            </w:pPr>
            <w:r>
              <w:rPr>
                <w:rFonts w:ascii="宋体" w:hAnsi="宋体" w:cs="宋体" w:eastAsia="宋体" w:hint="default"/>
                <w:spacing w:val="-4"/>
                <w:sz w:val="18"/>
                <w:szCs w:val="18"/>
              </w:rPr>
              <w:t>时）会议，分别审议通过了《关于调整募投项目部分软硬件设备选型及数量的议案》，同意公司根据</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当前项目建设实际需要及市场环境变化情况，对</w:t>
            </w:r>
            <w:r>
              <w:rPr>
                <w:rFonts w:ascii="Times New Roman" w:hAnsi="Times New Roman" w:cs="Times New Roman" w:eastAsia="Times New Roman" w:hint="default"/>
                <w:sz w:val="18"/>
                <w:szCs w:val="18"/>
              </w:rPr>
              <w:t>“</w:t>
            </w:r>
            <w:r>
              <w:rPr>
                <w:rFonts w:ascii="宋体" w:hAnsi="宋体" w:cs="宋体" w:eastAsia="宋体" w:hint="default"/>
                <w:sz w:val="18"/>
                <w:szCs w:val="18"/>
              </w:rPr>
              <w:t>下一代集团管控平台</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政企大数据平台</w:t>
            </w:r>
            <w:r>
              <w:rPr>
                <w:rFonts w:ascii="Times New Roman" w:hAnsi="Times New Roman" w:cs="Times New Roman" w:eastAsia="Times New Roman" w:hint="default"/>
                <w:sz w:val="18"/>
                <w:szCs w:val="18"/>
              </w:rPr>
              <w:t>”</w:t>
            </w:r>
            <w:r>
              <w:rPr>
                <w:rFonts w:ascii="宋体" w:hAnsi="宋体" w:cs="宋体" w:eastAsia="宋体" w:hint="default"/>
                <w:sz w:val="18"/>
                <w:szCs w:val="18"/>
              </w:rPr>
              <w:t>两个募 投项目中部分拟购置软硬件设备的数量及型号进行调整，以保证项目的顺利实施。本次调整不涉及 以上两个项目募集资金投资总额的变更，同时以上两个项目中关于硬件设备、软件工具和数据资源 分别的投入额度均不发生变化。本次调整事项不存在改变募投项目的建设内容及募集资金用途的情 形。</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募集资金变更项目情况" w:id="54"/>
      <w:bookmarkEnd w:id="54"/>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3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5"/>
      <w:bookmarkEnd w:id="55"/>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6"/>
      <w:bookmarkEnd w:id="56"/>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出售重大股权情况" w:id="57"/>
      <w:bookmarkEnd w:id="57"/>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8"/>
      <w:bookmarkEnd w:id="58"/>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0" w:footer="979" w:top="1060" w:bottom="1160" w:left="980" w:right="0"/>
        </w:sectPr>
      </w:pP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700" w:left="980" w:right="0"/>
          <w:cols w:num="2" w:equalWidth="0">
            <w:col w:w="4849" w:space="4070"/>
            <w:col w:w="2011"/>
          </w:cols>
        </w:sectPr>
      </w:pP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968"/>
        <w:gridCol w:w="540"/>
        <w:gridCol w:w="828"/>
        <w:gridCol w:w="1182"/>
        <w:gridCol w:w="1185"/>
        <w:gridCol w:w="1254"/>
        <w:gridCol w:w="1283"/>
        <w:gridCol w:w="1181"/>
        <w:gridCol w:w="1274"/>
      </w:tblGrid>
      <w:tr>
        <w:trPr>
          <w:trHeight w:val="714" w:hRule="exact"/>
        </w:trPr>
        <w:tc>
          <w:tcPr>
            <w:tcW w:w="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5" w:right="83"/>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33"/>
              <w:jc w:val="both"/>
              <w:rPr>
                <w:rFonts w:ascii="宋体" w:hAnsi="宋体" w:cs="宋体" w:eastAsia="宋体" w:hint="default"/>
                <w:sz w:val="18"/>
                <w:szCs w:val="18"/>
              </w:rPr>
            </w:pPr>
            <w:r>
              <w:rPr>
                <w:rFonts w:ascii="宋体" w:hAnsi="宋体" w:cs="宋体" w:eastAsia="宋体" w:hint="default"/>
                <w:sz w:val="18"/>
                <w:szCs w:val="18"/>
              </w:rPr>
              <w:t>北京华夏电 通科技有限 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 w:right="144"/>
              <w:jc w:val="left"/>
              <w:rPr>
                <w:rFonts w:ascii="宋体" w:hAnsi="宋体" w:cs="宋体" w:eastAsia="宋体" w:hint="default"/>
                <w:sz w:val="18"/>
                <w:szCs w:val="18"/>
              </w:rPr>
            </w:pPr>
            <w:r>
              <w:rPr>
                <w:rFonts w:ascii="宋体" w:hAnsi="宋体" w:cs="宋体" w:eastAsia="宋体" w:hint="default"/>
                <w:sz w:val="18"/>
                <w:szCs w:val="18"/>
              </w:rPr>
              <w:t>子公 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提供专业 的视讯应 用产品及 解决方案</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89"/>
              <w:jc w:val="center"/>
              <w:rPr>
                <w:rFonts w:ascii="Times New Roman" w:hAnsi="Times New Roman" w:cs="Times New Roman" w:eastAsia="Times New Roman" w:hint="default"/>
                <w:sz w:val="18"/>
                <w:szCs w:val="18"/>
              </w:rPr>
            </w:pPr>
            <w:r>
              <w:rPr>
                <w:rFonts w:ascii="Times New Roman"/>
                <w:sz w:val="18"/>
              </w:rPr>
              <w:t>91,300,000.00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357,677,702.64</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263,317,132.23</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294,465,022.13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101,781,745.86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92,693,895.95</w:t>
            </w:r>
          </w:p>
        </w:tc>
      </w:tr>
      <w:tr>
        <w:trPr>
          <w:trHeight w:val="1338"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33"/>
              <w:jc w:val="left"/>
              <w:rPr>
                <w:rFonts w:ascii="宋体" w:hAnsi="宋体" w:cs="宋体" w:eastAsia="宋体" w:hint="default"/>
                <w:sz w:val="18"/>
                <w:szCs w:val="18"/>
              </w:rPr>
            </w:pPr>
            <w:r>
              <w:rPr>
                <w:rFonts w:ascii="宋体" w:hAnsi="宋体" w:cs="宋体" w:eastAsia="宋体" w:hint="default"/>
                <w:sz w:val="18"/>
                <w:szCs w:val="18"/>
              </w:rPr>
              <w:t>上海移通网 络有限公司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 w:right="144"/>
              <w:jc w:val="left"/>
              <w:rPr>
                <w:rFonts w:ascii="宋体" w:hAnsi="宋体" w:cs="宋体" w:eastAsia="宋体" w:hint="default"/>
                <w:sz w:val="18"/>
                <w:szCs w:val="18"/>
              </w:rPr>
            </w:pPr>
            <w:r>
              <w:rPr>
                <w:rFonts w:ascii="宋体" w:hAnsi="宋体" w:cs="宋体" w:eastAsia="宋体" w:hint="default"/>
                <w:sz w:val="18"/>
                <w:szCs w:val="18"/>
              </w:rPr>
              <w:t>子公 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提供专业 移动信息 应用解决 方案</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89"/>
              <w:jc w:val="center"/>
              <w:rPr>
                <w:rFonts w:ascii="Times New Roman" w:hAnsi="Times New Roman" w:cs="Times New Roman" w:eastAsia="Times New Roman" w:hint="default"/>
                <w:sz w:val="18"/>
                <w:szCs w:val="18"/>
              </w:rPr>
            </w:pPr>
            <w:r>
              <w:rPr>
                <w:rFonts w:ascii="Times New Roman"/>
                <w:sz w:val="18"/>
              </w:rPr>
              <w:t>25,127,379.01</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469,489,673.98</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298,913,311.41</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640,381,716.60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68,660,968.39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57,082,990.53</w:t>
            </w:r>
          </w:p>
        </w:tc>
      </w:tr>
      <w:tr>
        <w:trPr>
          <w:trHeight w:val="1026"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3"/>
              <w:jc w:val="both"/>
              <w:rPr>
                <w:rFonts w:ascii="宋体" w:hAnsi="宋体" w:cs="宋体" w:eastAsia="宋体" w:hint="default"/>
                <w:sz w:val="18"/>
                <w:szCs w:val="18"/>
              </w:rPr>
            </w:pPr>
            <w:r>
              <w:rPr>
                <w:rFonts w:ascii="宋体" w:hAnsi="宋体" w:cs="宋体" w:eastAsia="宋体" w:hint="default"/>
                <w:sz w:val="18"/>
                <w:szCs w:val="18"/>
              </w:rPr>
              <w:t>北京亿起联 科技有限公 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144"/>
              <w:jc w:val="left"/>
              <w:rPr>
                <w:rFonts w:ascii="宋体" w:hAnsi="宋体" w:cs="宋体" w:eastAsia="宋体" w:hint="default"/>
                <w:sz w:val="18"/>
                <w:szCs w:val="18"/>
              </w:rPr>
            </w:pPr>
            <w:r>
              <w:rPr>
                <w:rFonts w:ascii="宋体" w:hAnsi="宋体" w:cs="宋体" w:eastAsia="宋体" w:hint="default"/>
                <w:sz w:val="18"/>
                <w:szCs w:val="18"/>
              </w:rPr>
              <w:t>子公 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国内外移 动互联网 广告业务</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89"/>
              <w:jc w:val="center"/>
              <w:rPr>
                <w:rFonts w:ascii="Times New Roman" w:hAnsi="Times New Roman" w:cs="Times New Roman" w:eastAsia="Times New Roman" w:hint="default"/>
                <w:sz w:val="18"/>
                <w:szCs w:val="18"/>
              </w:rPr>
            </w:pPr>
            <w:r>
              <w:rPr>
                <w:rFonts w:ascii="Times New Roman"/>
                <w:sz w:val="18"/>
              </w:rPr>
              <w:t>31,000,000.00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310,327,454.41</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210,956,784.61</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800,019,309.00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19,641,101.99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19,245,579.39</w:t>
            </w:r>
          </w:p>
        </w:tc>
      </w:tr>
      <w:tr>
        <w:trPr>
          <w:trHeight w:val="402"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
              <w:jc w:val="center"/>
              <w:rPr>
                <w:rFonts w:ascii="宋体" w:hAnsi="宋体" w:cs="宋体" w:eastAsia="宋体" w:hint="default"/>
                <w:sz w:val="18"/>
                <w:szCs w:val="18"/>
              </w:rPr>
            </w:pPr>
            <w:r>
              <w:rPr>
                <w:rFonts w:ascii="宋体" w:hAnsi="宋体" w:cs="宋体" w:eastAsia="宋体" w:hint="default"/>
                <w:sz w:val="18"/>
                <w:szCs w:val="18"/>
              </w:rPr>
              <w:t>北京瑞意恒</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子公</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社会化营</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
              <w:jc w:val="center"/>
              <w:rPr>
                <w:rFonts w:ascii="Times New Roman" w:hAnsi="Times New Roman" w:cs="Times New Roman" w:eastAsia="Times New Roman" w:hint="default"/>
                <w:sz w:val="18"/>
                <w:szCs w:val="18"/>
              </w:rPr>
            </w:pPr>
            <w:r>
              <w:rPr>
                <w:rFonts w:ascii="Times New Roman"/>
                <w:sz w:val="18"/>
              </w:rPr>
              <w:t>21,049,979.00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180,478,568.51</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102,236,085.60</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203,738,774.61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31,978,021.31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27,171,793.18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70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968"/>
        <w:gridCol w:w="540"/>
        <w:gridCol w:w="828"/>
        <w:gridCol w:w="1182"/>
        <w:gridCol w:w="1185"/>
        <w:gridCol w:w="1254"/>
        <w:gridCol w:w="1283"/>
        <w:gridCol w:w="1181"/>
        <w:gridCol w:w="1274"/>
      </w:tblGrid>
      <w:tr>
        <w:trPr>
          <w:trHeight w:val="714" w:hRule="exact"/>
        </w:trPr>
        <w:tc>
          <w:tcPr>
            <w:tcW w:w="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5" w:right="83"/>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675"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33"/>
              <w:jc w:val="left"/>
              <w:rPr>
                <w:rFonts w:ascii="宋体" w:hAnsi="宋体" w:cs="宋体" w:eastAsia="宋体" w:hint="default"/>
                <w:sz w:val="18"/>
                <w:szCs w:val="18"/>
              </w:rPr>
            </w:pPr>
            <w:r>
              <w:rPr>
                <w:rFonts w:ascii="宋体" w:hAnsi="宋体" w:cs="宋体" w:eastAsia="宋体" w:hint="default"/>
                <w:sz w:val="18"/>
                <w:szCs w:val="18"/>
              </w:rPr>
              <w:t>动科技有限 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销</w:t>
            </w:r>
          </w:p>
        </w:tc>
        <w:tc>
          <w:tcPr>
            <w:tcW w:w="1182"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54"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3"/>
              <w:jc w:val="both"/>
              <w:rPr>
                <w:rFonts w:ascii="宋体" w:hAnsi="宋体" w:cs="宋体" w:eastAsia="宋体" w:hint="default"/>
                <w:sz w:val="18"/>
                <w:szCs w:val="18"/>
              </w:rPr>
            </w:pPr>
            <w:r>
              <w:rPr>
                <w:rFonts w:ascii="宋体" w:hAnsi="宋体" w:cs="宋体" w:eastAsia="宋体" w:hint="default"/>
                <w:sz w:val="18"/>
                <w:szCs w:val="18"/>
              </w:rPr>
              <w:t>深圳市久金 保商业保理 有限公司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44"/>
              <w:jc w:val="left"/>
              <w:rPr>
                <w:rFonts w:ascii="宋体" w:hAnsi="宋体" w:cs="宋体" w:eastAsia="宋体" w:hint="default"/>
                <w:sz w:val="18"/>
                <w:szCs w:val="18"/>
              </w:rPr>
            </w:pPr>
            <w:r>
              <w:rPr>
                <w:rFonts w:ascii="宋体" w:hAnsi="宋体" w:cs="宋体" w:eastAsia="宋体" w:hint="default"/>
                <w:sz w:val="18"/>
                <w:szCs w:val="18"/>
              </w:rPr>
              <w:t>子公 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商业保理</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200,000,000.00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150,436,058.68</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128,377,640.18</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z w:val="18"/>
              </w:rPr>
              <w:t>28,127,862.51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-18,606,757.38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5" w:right="0"/>
              <w:jc w:val="center"/>
              <w:rPr>
                <w:rFonts w:ascii="Times New Roman" w:hAnsi="Times New Roman" w:cs="Times New Roman" w:eastAsia="Times New Roman" w:hint="default"/>
                <w:sz w:val="18"/>
                <w:szCs w:val="18"/>
              </w:rPr>
            </w:pPr>
            <w:r>
              <w:rPr>
                <w:rFonts w:ascii="Times New Roman"/>
                <w:sz w:val="18"/>
              </w:rPr>
              <w:t>-13,967,975.32</w:t>
            </w:r>
          </w:p>
        </w:tc>
      </w:tr>
      <w:tr>
        <w:trPr>
          <w:trHeight w:val="714"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久其数字传 播有限公司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子公 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大数据精 准营销</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195,893,539.00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193,738,899.98</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119,407,407.67</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z w:val="18"/>
              </w:rPr>
              <w:t>85,984,551.86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-39,182,865.23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5" w:right="0"/>
              <w:jc w:val="center"/>
              <w:rPr>
                <w:rFonts w:ascii="Times New Roman" w:hAnsi="Times New Roman" w:cs="Times New Roman" w:eastAsia="Times New Roman" w:hint="default"/>
                <w:sz w:val="18"/>
                <w:szCs w:val="18"/>
              </w:rPr>
            </w:pPr>
            <w:r>
              <w:rPr>
                <w:rFonts w:ascii="Times New Roman"/>
                <w:sz w:val="18"/>
              </w:rPr>
              <w:t>-39,182,864.17</w:t>
            </w:r>
          </w:p>
        </w:tc>
      </w:tr>
    </w:tbl>
    <w:p>
      <w:pPr>
        <w:pStyle w:val="BodyText"/>
        <w:spacing w:line="240" w:lineRule="auto" w:before="51"/>
        <w:ind w:right="0"/>
        <w:jc w:val="left"/>
      </w:pPr>
      <w:r>
        <w:rPr/>
        <w:t>报告期内取得和处置子公司的情况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1305"/>
        <w:gridCol w:w="1417"/>
        <w:gridCol w:w="6973"/>
      </w:tblGrid>
      <w:tr>
        <w:trPr>
          <w:trHeight w:val="714"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2"/>
              <w:jc w:val="left"/>
              <w:rPr>
                <w:rFonts w:ascii="宋体" w:hAnsi="宋体" w:cs="宋体" w:eastAsia="宋体" w:hint="default"/>
                <w:sz w:val="18"/>
                <w:szCs w:val="18"/>
              </w:rPr>
            </w:pPr>
            <w:r>
              <w:rPr>
                <w:rFonts w:ascii="宋体" w:hAnsi="宋体" w:cs="宋体" w:eastAsia="宋体" w:hint="default"/>
                <w:sz w:val="18"/>
                <w:szCs w:val="18"/>
              </w:rPr>
              <w:t>报告期内取得和 处置子公司方式</w:t>
            </w:r>
          </w:p>
        </w:tc>
        <w:tc>
          <w:tcPr>
            <w:tcW w:w="6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4"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0"/>
              <w:jc w:val="left"/>
              <w:rPr>
                <w:rFonts w:ascii="宋体" w:hAnsi="宋体" w:cs="宋体" w:eastAsia="宋体" w:hint="default"/>
                <w:sz w:val="18"/>
                <w:szCs w:val="18"/>
              </w:rPr>
            </w:pPr>
            <w:r>
              <w:rPr>
                <w:rFonts w:ascii="宋体" w:hAnsi="宋体" w:cs="宋体" w:eastAsia="宋体" w:hint="default"/>
                <w:sz w:val="18"/>
                <w:szCs w:val="18"/>
              </w:rPr>
              <w:t>雄安久其数字 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69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8"/>
              <w:jc w:val="left"/>
              <w:rPr>
                <w:rFonts w:ascii="宋体" w:hAnsi="宋体" w:cs="宋体" w:eastAsia="宋体" w:hint="default"/>
                <w:sz w:val="18"/>
                <w:szCs w:val="18"/>
              </w:rPr>
            </w:pPr>
            <w:r>
              <w:rPr>
                <w:rFonts w:ascii="宋体" w:hAnsi="宋体" w:cs="宋体" w:eastAsia="宋体" w:hint="default"/>
                <w:sz w:val="18"/>
                <w:szCs w:val="18"/>
              </w:rPr>
              <w:t>有利于充分发挥公司在电子政务及大数据等方面的优势，更好地服务于雄安新区建设， 报告期内处于筹建阶段。</w:t>
            </w:r>
          </w:p>
        </w:tc>
      </w:tr>
      <w:tr>
        <w:trPr>
          <w:trHeight w:val="102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0"/>
              <w:jc w:val="both"/>
              <w:rPr>
                <w:rFonts w:ascii="宋体" w:hAnsi="宋体" w:cs="宋体" w:eastAsia="宋体" w:hint="default"/>
                <w:sz w:val="18"/>
                <w:szCs w:val="18"/>
              </w:rPr>
            </w:pPr>
            <w:r>
              <w:rPr>
                <w:rFonts w:ascii="宋体" w:hAnsi="宋体" w:cs="宋体" w:eastAsia="宋体" w:hint="default"/>
                <w:sz w:val="18"/>
                <w:szCs w:val="18"/>
              </w:rPr>
              <w:t>北京久其龙信 数据科技有限 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清算注销</w:t>
            </w:r>
          </w:p>
        </w:tc>
        <w:tc>
          <w:tcPr>
            <w:tcW w:w="69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9"/>
              <w:jc w:val="both"/>
              <w:rPr>
                <w:rFonts w:ascii="宋体" w:hAnsi="宋体" w:cs="宋体" w:eastAsia="宋体" w:hint="default"/>
                <w:sz w:val="18"/>
                <w:szCs w:val="18"/>
              </w:rPr>
            </w:pPr>
            <w:r>
              <w:rPr>
                <w:rFonts w:ascii="宋体" w:hAnsi="宋体" w:cs="宋体" w:eastAsia="宋体" w:hint="default"/>
                <w:sz w:val="18"/>
                <w:szCs w:val="18"/>
              </w:rPr>
              <w:t>截至报告期末已完成清算注销，久其龙信已不再纳入公司的合并报表范围。本次清算注 销控股子公司事项系公司整合业务模块、优化管理层级所需，对公司当期损益的影响较 小，且不会对公司整体生产经营产生重大影响。</w:t>
            </w:r>
          </w:p>
        </w:tc>
      </w:tr>
    </w:tbl>
    <w:p>
      <w:pPr>
        <w:pStyle w:val="BodyText"/>
        <w:spacing w:line="240" w:lineRule="auto" w:before="51"/>
        <w:ind w:right="0"/>
        <w:jc w:val="left"/>
      </w:pPr>
      <w:r>
        <w:rPr/>
        <w:t>主要控股参股公司情况说明</w:t>
      </w:r>
    </w:p>
    <w:p>
      <w:pPr>
        <w:pStyle w:val="BodyText"/>
        <w:spacing w:line="300" w:lineRule="auto" w:before="116"/>
        <w:ind w:right="1118"/>
        <w:jc w:val="left"/>
      </w:pPr>
      <w:r>
        <w:rPr>
          <w:rFonts w:ascii="Times New Roman" w:hAnsi="Times New Roman" w:cs="Times New Roman" w:eastAsia="Times New Roman" w:hint="default"/>
        </w:rPr>
        <w:t>1</w:t>
      </w:r>
      <w:r>
        <w:rPr/>
        <w:t>、华夏电通 </w:t>
      </w:r>
      <w:r>
        <w:rPr>
          <w:spacing w:val="-1"/>
        </w:rPr>
        <w:t>报告期，华夏电通继续加大智慧法院业务推进力度，共实现营业收入</w:t>
      </w:r>
      <w:r>
        <w:rPr>
          <w:rFonts w:ascii="Times New Roman" w:hAnsi="Times New Roman" w:cs="Times New Roman" w:eastAsia="Times New Roman" w:hint="default"/>
          <w:spacing w:val="-1"/>
        </w:rPr>
        <w:t>29,446.50</w:t>
      </w:r>
      <w:r>
        <w:rPr>
          <w:spacing w:val="-1"/>
        </w:rPr>
        <w:t>万元，同比增幅</w:t>
      </w:r>
      <w:r>
        <w:rPr>
          <w:rFonts w:ascii="Times New Roman" w:hAnsi="Times New Roman" w:cs="Times New Roman" w:eastAsia="Times New Roman" w:hint="default"/>
          <w:spacing w:val="-1"/>
        </w:rPr>
        <w:t>29.41%</w:t>
      </w:r>
      <w:r>
        <w:rPr>
          <w:spacing w:val="-1"/>
        </w:rPr>
        <w:t>；实现净利润</w:t>
      </w:r>
      <w:r>
        <w:rPr>
          <w:rFonts w:ascii="Times New Roman" w:hAnsi="Times New Roman" w:cs="Times New Roman" w:eastAsia="Times New Roman" w:hint="default"/>
          <w:spacing w:val="-1"/>
        </w:rPr>
        <w:t>9,269.39</w:t>
      </w:r>
      <w:r>
        <w:rPr>
          <w:rFonts w:ascii="Times New Roman" w:hAnsi="Times New Roman" w:cs="Times New Roman" w:eastAsia="Times New Roman" w:hint="default"/>
          <w:spacing w:val="8"/>
        </w:rPr>
        <w:t> </w:t>
      </w:r>
      <w:r>
        <w:rPr/>
        <w:t>万元，同比增幅</w:t>
      </w:r>
      <w:r>
        <w:rPr>
          <w:rFonts w:ascii="Times New Roman" w:hAnsi="Times New Roman" w:cs="Times New Roman" w:eastAsia="Times New Roman" w:hint="default"/>
        </w:rPr>
        <w:t>11.66%</w:t>
      </w:r>
      <w:r>
        <w:rPr/>
        <w:t>。</w:t>
      </w:r>
    </w:p>
    <w:p>
      <w:pPr>
        <w:spacing w:line="240" w:lineRule="auto" w:before="11"/>
        <w:rPr>
          <w:rFonts w:ascii="宋体" w:hAnsi="宋体" w:cs="宋体" w:eastAsia="宋体" w:hint="default"/>
          <w:sz w:val="24"/>
          <w:szCs w:val="24"/>
        </w:rPr>
      </w:pPr>
    </w:p>
    <w:p>
      <w:pPr>
        <w:pStyle w:val="BodyText"/>
        <w:spacing w:line="300" w:lineRule="auto"/>
        <w:ind w:right="1032"/>
        <w:jc w:val="left"/>
      </w:pPr>
      <w:r>
        <w:rPr>
          <w:rFonts w:ascii="Times New Roman" w:hAnsi="Times New Roman" w:cs="Times New Roman" w:eastAsia="Times New Roman" w:hint="default"/>
        </w:rPr>
        <w:t>2</w:t>
      </w:r>
      <w:r>
        <w:rPr/>
        <w:t>、上海移通 上海移通报告期共实现营业收入</w:t>
      </w:r>
      <w:r>
        <w:rPr>
          <w:rFonts w:ascii="Times New Roman" w:hAnsi="Times New Roman" w:cs="Times New Roman" w:eastAsia="Times New Roman" w:hint="default"/>
        </w:rPr>
        <w:t>64,038.17</w:t>
      </w:r>
      <w:r>
        <w:rPr/>
        <w:t>万元，同比增幅</w:t>
      </w:r>
      <w:r>
        <w:rPr>
          <w:rFonts w:ascii="Times New Roman" w:hAnsi="Times New Roman" w:cs="Times New Roman" w:eastAsia="Times New Roman" w:hint="default"/>
        </w:rPr>
        <w:t>20.23%</w:t>
      </w:r>
      <w:r>
        <w:rPr/>
        <w:t>，由于计提大额资产减值损失，实现净利润</w:t>
      </w:r>
      <w:r>
        <w:rPr>
          <w:rFonts w:ascii="Times New Roman" w:hAnsi="Times New Roman" w:cs="Times New Roman" w:eastAsia="Times New Roman" w:hint="default"/>
        </w:rPr>
        <w:t>5,708.30</w:t>
      </w:r>
      <w:r>
        <w:rPr/>
        <w:t>万元，</w:t>
      </w:r>
      <w:r>
        <w:rPr>
          <w:spacing w:val="-18"/>
        </w:rPr>
        <w:t> </w:t>
      </w:r>
      <w:r>
        <w:rPr>
          <w:spacing w:val="-18"/>
        </w:rPr>
      </w:r>
      <w:r>
        <w:rPr/>
        <w:t>同比下降</w:t>
      </w:r>
      <w:r>
        <w:rPr>
          <w:rFonts w:ascii="Times New Roman" w:hAnsi="Times New Roman" w:cs="Times New Roman" w:eastAsia="Times New Roman" w:hint="default"/>
        </w:rPr>
        <w:t>45.61%</w:t>
      </w:r>
      <w:r>
        <w:rPr/>
        <w:t>。基于上海移通存在的经营风险事项，报告期公司对收购其形成的商誉计提减值准备</w:t>
      </w:r>
      <w:r>
        <w:rPr>
          <w:rFonts w:ascii="Times New Roman" w:hAnsi="Times New Roman" w:cs="Times New Roman" w:eastAsia="Times New Roman" w:hint="default"/>
        </w:rPr>
        <w:t>64,766.04</w:t>
      </w:r>
      <w:r>
        <w:rPr/>
        <w:t>万元。</w:t>
      </w:r>
    </w:p>
    <w:p>
      <w:pPr>
        <w:spacing w:line="240" w:lineRule="auto" w:before="11"/>
        <w:rPr>
          <w:rFonts w:ascii="宋体" w:hAnsi="宋体" w:cs="宋体" w:eastAsia="宋体" w:hint="default"/>
          <w:sz w:val="24"/>
          <w:szCs w:val="24"/>
        </w:rPr>
      </w:pPr>
    </w:p>
    <w:p>
      <w:pPr>
        <w:pStyle w:val="BodyText"/>
        <w:spacing w:line="300" w:lineRule="auto"/>
        <w:ind w:right="1118"/>
        <w:jc w:val="left"/>
      </w:pPr>
      <w:r>
        <w:rPr>
          <w:rFonts w:ascii="Times New Roman" w:hAnsi="Times New Roman" w:cs="Times New Roman" w:eastAsia="Times New Roman" w:hint="default"/>
        </w:rPr>
        <w:t>3</w:t>
      </w:r>
      <w:r>
        <w:rPr/>
        <w:t>、亿起联科技 报告期，亿起联科技共实现营业收入</w:t>
      </w:r>
      <w:r>
        <w:rPr>
          <w:rFonts w:ascii="Times New Roman" w:hAnsi="Times New Roman" w:cs="Times New Roman" w:eastAsia="Times New Roman" w:hint="default"/>
        </w:rPr>
        <w:t>80,001.93</w:t>
      </w:r>
      <w:r>
        <w:rPr/>
        <w:t>万元，同比增幅</w:t>
      </w:r>
      <w:r>
        <w:rPr>
          <w:rFonts w:ascii="Times New Roman" w:hAnsi="Times New Roman" w:cs="Times New Roman" w:eastAsia="Times New Roman" w:hint="default"/>
        </w:rPr>
        <w:t>29.09%</w:t>
      </w:r>
      <w:r>
        <w:rPr/>
        <w:t>，但由于点入移动国内广告平台因受到苹果公司</w:t>
      </w:r>
      <w:r>
        <w:rPr>
          <w:rFonts w:ascii="Times New Roman" w:hAnsi="Times New Roman" w:cs="Times New Roman" w:eastAsia="Times New Roman" w:hint="default"/>
        </w:rPr>
        <w:t>App</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rFonts w:ascii="Times New Roman" w:hAnsi="Times New Roman" w:cs="Times New Roman" w:eastAsia="Times New Roman" w:hint="default"/>
          <w:spacing w:val="-1"/>
        </w:rPr>
        <w:t>Store</w:t>
      </w:r>
      <w:r>
        <w:rPr>
          <w:spacing w:val="-1"/>
        </w:rPr>
        <w:t>审核政策以及市场竞争日益加剧的影响，国内业务净利润下滑较大，导致公司整体实现净利润</w:t>
      </w:r>
      <w:r>
        <w:rPr>
          <w:rFonts w:ascii="Times New Roman" w:hAnsi="Times New Roman" w:cs="Times New Roman" w:eastAsia="Times New Roman" w:hint="default"/>
          <w:spacing w:val="-1"/>
        </w:rPr>
        <w:t>1,924.56</w:t>
      </w:r>
      <w:r>
        <w:rPr>
          <w:spacing w:val="-1"/>
        </w:rPr>
        <w:t>万元，同比下降</w:t>
      </w:r>
      <w:r>
        <w:rPr>
          <w:spacing w:val="-45"/>
        </w:rPr>
        <w:t> </w:t>
      </w:r>
      <w:r>
        <w:rPr>
          <w:spacing w:val="-45"/>
        </w:rPr>
      </w:r>
      <w:r>
        <w:rPr>
          <w:rFonts w:ascii="Times New Roman" w:hAnsi="Times New Roman" w:cs="Times New Roman" w:eastAsia="Times New Roman" w:hint="default"/>
        </w:rPr>
        <w:t>78.31%</w:t>
      </w:r>
      <w:r>
        <w:rPr/>
        <w:t>。鉴于此，报告期公司对收购其形成的商誉计提减值准备</w:t>
      </w:r>
      <w:r>
        <w:rPr>
          <w:rFonts w:ascii="Times New Roman" w:hAnsi="Times New Roman" w:cs="Times New Roman" w:eastAsia="Times New Roman" w:hint="default"/>
        </w:rPr>
        <w:t>40,936.87</w:t>
      </w:r>
      <w:r>
        <w:rPr/>
        <w:t>万元。</w:t>
      </w:r>
    </w:p>
    <w:p>
      <w:pPr>
        <w:spacing w:line="240" w:lineRule="auto" w:before="11"/>
        <w:rPr>
          <w:rFonts w:ascii="宋体" w:hAnsi="宋体" w:cs="宋体" w:eastAsia="宋体" w:hint="default"/>
          <w:sz w:val="24"/>
          <w:szCs w:val="24"/>
        </w:rPr>
      </w:pPr>
    </w:p>
    <w:p>
      <w:pPr>
        <w:pStyle w:val="BodyText"/>
        <w:spacing w:line="300" w:lineRule="auto"/>
        <w:ind w:right="1127"/>
        <w:jc w:val="left"/>
      </w:pPr>
      <w:r>
        <w:rPr>
          <w:rFonts w:ascii="Times New Roman" w:hAnsi="Times New Roman" w:cs="Times New Roman" w:eastAsia="Times New Roman" w:hint="default"/>
        </w:rPr>
        <w:t>4</w:t>
      </w:r>
      <w:r>
        <w:rPr/>
        <w:t>、瑞意恒动 </w:t>
      </w:r>
      <w:r>
        <w:rPr>
          <w:spacing w:val="-1"/>
        </w:rPr>
        <w:t>报告期，瑞意恒动媒介投放和品牌营销策划业务继续保持增长，依托</w:t>
      </w:r>
      <w:r>
        <w:rPr>
          <w:rFonts w:ascii="Times New Roman" w:hAnsi="Times New Roman" w:cs="Times New Roman" w:eastAsia="Times New Roman" w:hint="default"/>
          <w:spacing w:val="-1"/>
        </w:rPr>
        <w:t>SCRM</w:t>
      </w:r>
      <w:r>
        <w:rPr>
          <w:spacing w:val="-1"/>
        </w:rPr>
        <w:t>定制化服务增进客户粘性，并深化与抖音、小红</w:t>
      </w:r>
      <w:r>
        <w:rPr>
          <w:spacing w:val="-81"/>
        </w:rPr>
        <w:t> </w:t>
      </w:r>
      <w:r>
        <w:rPr>
          <w:spacing w:val="-81"/>
        </w:rPr>
      </w:r>
      <w:r>
        <w:rPr>
          <w:spacing w:val="-1"/>
        </w:rPr>
        <w:t>书等新平台的合作。瑞意恒动在报告期共实现营业收入</w:t>
      </w:r>
      <w:r>
        <w:rPr>
          <w:rFonts w:ascii="Times New Roman" w:hAnsi="Times New Roman" w:cs="Times New Roman" w:eastAsia="Times New Roman" w:hint="default"/>
          <w:spacing w:val="-1"/>
        </w:rPr>
        <w:t>20,373.88</w:t>
      </w:r>
      <w:r>
        <w:rPr>
          <w:spacing w:val="-1"/>
        </w:rPr>
        <w:t>万元，同比增幅</w:t>
      </w:r>
      <w:r>
        <w:rPr>
          <w:rFonts w:ascii="Times New Roman" w:hAnsi="Times New Roman" w:cs="Times New Roman" w:eastAsia="Times New Roman" w:hint="default"/>
          <w:spacing w:val="-1"/>
        </w:rPr>
        <w:t>63.50%</w:t>
      </w:r>
      <w:r>
        <w:rPr>
          <w:spacing w:val="-1"/>
        </w:rPr>
        <w:t>，实现净利润</w:t>
      </w:r>
      <w:r>
        <w:rPr>
          <w:rFonts w:ascii="Times New Roman" w:hAnsi="Times New Roman" w:cs="Times New Roman" w:eastAsia="Times New Roman" w:hint="default"/>
          <w:spacing w:val="-1"/>
        </w:rPr>
        <w:t>2,717.18</w:t>
      </w:r>
      <w:r>
        <w:rPr>
          <w:spacing w:val="-1"/>
        </w:rPr>
        <w:t>万元，同比增</w:t>
      </w:r>
      <w:r>
        <w:rPr>
          <w:spacing w:val="-39"/>
        </w:rPr>
        <w:t> </w:t>
      </w:r>
      <w:r>
        <w:rPr>
          <w:spacing w:val="-39"/>
        </w:rPr>
      </w:r>
      <w:r>
        <w:rPr>
          <w:spacing w:val="-2"/>
        </w:rPr>
        <w:t>幅</w:t>
      </w:r>
      <w:r>
        <w:rPr>
          <w:rFonts w:ascii="Times New Roman" w:hAnsi="Times New Roman" w:cs="Times New Roman" w:eastAsia="Times New Roman" w:hint="default"/>
          <w:spacing w:val="-2"/>
        </w:rPr>
        <w:t>24.33%</w:t>
      </w:r>
      <w:r>
        <w:rPr>
          <w:spacing w:val="-2"/>
        </w:rPr>
        <w:t>。但由于业务毛利因市场竞争加剧逐渐下降、人工费用逐年上涨等因素，预计瑞意恒动后续业务增速将逐渐放缓，</w:t>
      </w:r>
      <w:r>
        <w:rPr>
          <w:spacing w:val="-78"/>
        </w:rPr>
        <w:t> </w:t>
      </w:r>
      <w:r>
        <w:rPr>
          <w:spacing w:val="-78"/>
        </w:rPr>
      </w:r>
      <w:r>
        <w:rPr/>
        <w:t>报告期公司对收购其形成的商誉计提减值准备</w:t>
      </w:r>
      <w:r>
        <w:rPr>
          <w:rFonts w:ascii="Times New Roman" w:hAnsi="Times New Roman" w:cs="Times New Roman" w:eastAsia="Times New Roman" w:hint="default"/>
        </w:rPr>
        <w:t>2,036.58</w:t>
      </w:r>
      <w:r>
        <w:rPr/>
        <w:t>万元。</w:t>
      </w:r>
    </w:p>
    <w:p>
      <w:pPr>
        <w:spacing w:line="240" w:lineRule="auto" w:before="11"/>
        <w:rPr>
          <w:rFonts w:ascii="宋体" w:hAnsi="宋体" w:cs="宋体" w:eastAsia="宋体" w:hint="default"/>
          <w:sz w:val="24"/>
          <w:szCs w:val="24"/>
        </w:rPr>
      </w:pPr>
    </w:p>
    <w:p>
      <w:pPr>
        <w:pStyle w:val="BodyText"/>
        <w:spacing w:line="300" w:lineRule="auto"/>
        <w:ind w:right="1118"/>
        <w:jc w:val="left"/>
      </w:pPr>
      <w:r>
        <w:rPr>
          <w:rFonts w:ascii="Times New Roman" w:hAnsi="Times New Roman" w:cs="Times New Roman" w:eastAsia="Times New Roman" w:hint="default"/>
        </w:rPr>
        <w:t>5</w:t>
      </w:r>
      <w:r>
        <w:rPr/>
        <w:t>、久金保 </w:t>
      </w:r>
      <w:r>
        <w:rPr>
          <w:spacing w:val="-1"/>
        </w:rPr>
        <w:t>久金保在报告期共实现营业收入</w:t>
      </w:r>
      <w:r>
        <w:rPr>
          <w:rFonts w:ascii="Times New Roman" w:hAnsi="Times New Roman" w:cs="Times New Roman" w:eastAsia="Times New Roman" w:hint="default"/>
          <w:spacing w:val="-1"/>
        </w:rPr>
        <w:t>2,812.79</w:t>
      </w:r>
      <w:r>
        <w:rPr>
          <w:spacing w:val="-1"/>
        </w:rPr>
        <w:t>万元，同比增幅</w:t>
      </w:r>
      <w:r>
        <w:rPr>
          <w:rFonts w:ascii="Times New Roman" w:hAnsi="Times New Roman" w:cs="Times New Roman" w:eastAsia="Times New Roman" w:hint="default"/>
          <w:spacing w:val="-1"/>
        </w:rPr>
        <w:t>66.10%</w:t>
      </w:r>
      <w:r>
        <w:rPr>
          <w:spacing w:val="-1"/>
        </w:rPr>
        <w:t>，由于部分被抵押的应收账款债务人和债权人在报告期末未</w:t>
      </w:r>
      <w:r>
        <w:rPr>
          <w:spacing w:val="-39"/>
        </w:rPr>
        <w:t> </w:t>
      </w:r>
      <w:r>
        <w:rPr>
          <w:spacing w:val="-39"/>
        </w:rPr>
      </w:r>
      <w:r>
        <w:rPr>
          <w:spacing w:val="-2"/>
        </w:rPr>
        <w:t>能及时履约还款</w:t>
      </w:r>
      <w:r>
        <w:rPr>
          <w:rFonts w:ascii="Times New Roman" w:hAnsi="Times New Roman" w:cs="Times New Roman" w:eastAsia="Times New Roman" w:hint="default"/>
          <w:spacing w:val="-2"/>
        </w:rPr>
        <w:t>,</w:t>
      </w:r>
      <w:r>
        <w:rPr>
          <w:spacing w:val="-2"/>
        </w:rPr>
        <w:t>计提资产减值损失</w:t>
      </w:r>
      <w:r>
        <w:rPr>
          <w:rFonts w:ascii="Times New Roman" w:hAnsi="Times New Roman" w:cs="Times New Roman" w:eastAsia="Times New Roman" w:hint="default"/>
          <w:spacing w:val="-2"/>
        </w:rPr>
        <w:t>2,500</w:t>
      </w:r>
      <w:r>
        <w:rPr>
          <w:spacing w:val="-2"/>
        </w:rPr>
        <w:t>万元，导致亏损</w:t>
      </w:r>
      <w:r>
        <w:rPr>
          <w:rFonts w:ascii="Times New Roman" w:hAnsi="Times New Roman" w:cs="Times New Roman" w:eastAsia="Times New Roman" w:hint="default"/>
          <w:spacing w:val="-2"/>
        </w:rPr>
        <w:t>1,396.80</w:t>
      </w:r>
      <w:r>
        <w:rPr>
          <w:spacing w:val="-2"/>
        </w:rPr>
        <w:t>万元。公司针对久金保出现的逾期应收保理款情况，已着手</w:t>
      </w:r>
      <w:r>
        <w:rPr>
          <w:spacing w:val="-54"/>
        </w:rPr>
        <w:t> </w:t>
      </w:r>
      <w:r>
        <w:rPr>
          <w:spacing w:val="-54"/>
        </w:rPr>
      </w:r>
      <w:r>
        <w:rPr/>
        <w:t>采取法律手段进行追偿。</w:t>
      </w:r>
    </w:p>
    <w:p>
      <w:pPr>
        <w:spacing w:after="0" w:line="300"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309" w:lineRule="auto" w:before="44"/>
        <w:ind w:right="1118"/>
        <w:jc w:val="left"/>
      </w:pPr>
      <w:r>
        <w:rPr>
          <w:rFonts w:ascii="Times New Roman" w:hAnsi="Times New Roman" w:cs="Times New Roman" w:eastAsia="Times New Roman" w:hint="default"/>
        </w:rPr>
        <w:t>6</w:t>
      </w:r>
      <w:r>
        <w:rPr/>
        <w:t>、久其数字 </w:t>
      </w:r>
      <w:r>
        <w:rPr>
          <w:spacing w:val="-2"/>
        </w:rPr>
        <w:t>报告期，久其数字组建媒介中心和品牌中心，加强对数传业务的整合工作，同时继续加大对大数据精准营销的投入力度。报</w:t>
      </w:r>
      <w:r>
        <w:rPr>
          <w:spacing w:val="-65"/>
        </w:rPr>
        <w:t> </w:t>
      </w:r>
      <w:r>
        <w:rPr>
          <w:spacing w:val="-65"/>
        </w:rPr>
      </w:r>
      <w:r>
        <w:rPr/>
        <w:t>告期久其数字亏损</w:t>
      </w:r>
      <w:r>
        <w:rPr>
          <w:rFonts w:ascii="Times New Roman" w:hAnsi="Times New Roman" w:cs="Times New Roman" w:eastAsia="Times New Roman" w:hint="default"/>
        </w:rPr>
        <w:t>3,918.29</w:t>
      </w:r>
      <w:r>
        <w:rPr/>
        <w:t>万元。</w:t>
      </w:r>
    </w:p>
    <w:p>
      <w:pPr>
        <w:spacing w:line="240" w:lineRule="auto" w:before="10"/>
        <w:rPr>
          <w:rFonts w:ascii="宋体" w:hAnsi="宋体" w:cs="宋体" w:eastAsia="宋体" w:hint="default"/>
          <w:sz w:val="19"/>
          <w:szCs w:val="19"/>
        </w:rPr>
      </w:pPr>
    </w:p>
    <w:p>
      <w:pPr>
        <w:pStyle w:val="Heading2"/>
        <w:spacing w:line="240" w:lineRule="auto"/>
        <w:ind w:right="0"/>
        <w:jc w:val="left"/>
        <w:rPr>
          <w:b w:val="0"/>
          <w:bCs w:val="0"/>
        </w:rPr>
      </w:pPr>
      <w:bookmarkStart w:name="八、公司控制的结构化主体情况" w:id="59"/>
      <w:bookmarkEnd w:id="59"/>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60"/>
      <w:bookmarkEnd w:id="60"/>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（一）行业前景</w:t>
      </w:r>
    </w:p>
    <w:p>
      <w:pPr>
        <w:spacing w:line="240" w:lineRule="auto" w:before="0"/>
        <w:rPr>
          <w:rFonts w:ascii="宋体" w:hAnsi="宋体" w:cs="宋体" w:eastAsia="宋体" w:hint="default"/>
          <w:sz w:val="18"/>
          <w:szCs w:val="18"/>
        </w:rPr>
      </w:pPr>
    </w:p>
    <w:p>
      <w:pPr>
        <w:pStyle w:val="BodyText"/>
        <w:spacing w:line="309" w:lineRule="auto" w:before="153"/>
        <w:ind w:right="1130"/>
        <w:jc w:val="both"/>
      </w:pPr>
      <w:r>
        <w:rPr>
          <w:spacing w:val="-2"/>
        </w:rPr>
        <w:t>党的十九大报告中提到要建设</w:t>
      </w:r>
      <w:r>
        <w:rPr>
          <w:rFonts w:ascii="Times New Roman" w:hAnsi="Times New Roman" w:cs="Times New Roman" w:eastAsia="Times New Roman" w:hint="default"/>
          <w:spacing w:val="-2"/>
        </w:rPr>
        <w:t>“</w:t>
      </w:r>
      <w:r>
        <w:rPr>
          <w:spacing w:val="-2"/>
        </w:rPr>
        <w:t>数字中国</w:t>
      </w:r>
      <w:r>
        <w:rPr>
          <w:rFonts w:ascii="Times New Roman" w:hAnsi="Times New Roman" w:cs="Times New Roman" w:eastAsia="Times New Roman" w:hint="default"/>
          <w:spacing w:val="-2"/>
        </w:rPr>
        <w:t>”</w:t>
      </w:r>
      <w:r>
        <w:rPr>
          <w:spacing w:val="-2"/>
        </w:rPr>
        <w:t>，推动互联网、大数据、人工智能和实体经济深度融合，实施大数据战略，加快建</w:t>
      </w:r>
      <w:r>
        <w:rPr>
          <w:spacing w:val="-46"/>
        </w:rPr>
        <w:t> </w:t>
      </w:r>
      <w:r>
        <w:rPr>
          <w:spacing w:val="-46"/>
        </w:rPr>
      </w:r>
      <w:r>
        <w:rPr>
          <w:spacing w:val="-2"/>
        </w:rPr>
        <w:t>设数字中国，促进产业发展创新升级，数字化、智能化成为软件产业发展的重要方向。到</w:t>
      </w:r>
      <w:r>
        <w:rPr>
          <w:rFonts w:ascii="Times New Roman" w:hAnsi="Times New Roman" w:cs="Times New Roman" w:eastAsia="Times New Roman" w:hint="default"/>
          <w:spacing w:val="-2"/>
        </w:rPr>
        <w:t>2020</w:t>
      </w:r>
      <w:r>
        <w:rPr>
          <w:spacing w:val="-2"/>
        </w:rPr>
        <w:t>年，中国数据总量将占全球的</w:t>
      </w:r>
      <w:r>
        <w:rPr>
          <w:spacing w:val="-62"/>
        </w:rPr>
        <w:t> </w:t>
      </w:r>
      <w:r>
        <w:rPr>
          <w:spacing w:val="-62"/>
        </w:rPr>
      </w:r>
      <w:r>
        <w:rPr>
          <w:spacing w:val="-1"/>
        </w:rPr>
        <w:t>近</w:t>
      </w:r>
      <w:r>
        <w:rPr>
          <w:rFonts w:ascii="Times New Roman" w:hAnsi="Times New Roman" w:cs="Times New Roman" w:eastAsia="Times New Roman" w:hint="default"/>
          <w:spacing w:val="-1"/>
        </w:rPr>
        <w:t>20%</w:t>
      </w:r>
      <w:r>
        <w:rPr>
          <w:spacing w:val="-1"/>
        </w:rPr>
        <w:t>，但中国目前的数据利用量较低，大量数据沉睡在各个角落，未能发挥出更大的价值。对于政府，需要对数据进行充</w:t>
      </w:r>
      <w:r>
        <w:rPr/>
        <w:t> </w:t>
      </w:r>
      <w:r>
        <w:rPr>
          <w:spacing w:val="-2"/>
        </w:rPr>
        <w:t>分地挖掘与利用，实现数据交互和数据资源管理，不断提升公共管理和服务水平；对于企业，打通信息系统，实现数据统一</w:t>
      </w:r>
      <w:r>
        <w:rPr>
          <w:spacing w:val="-66"/>
        </w:rPr>
        <w:t> </w:t>
      </w:r>
      <w:r>
        <w:rPr>
          <w:spacing w:val="-66"/>
        </w:rPr>
      </w:r>
      <w:r>
        <w:rPr>
          <w:spacing w:val="-2"/>
        </w:rPr>
        <w:t>集中，通过数据洞察与分析，支持企业的经营决策。面对广阔的行业前景，公司服务政府，将数据价值转化为决策价值，协</w:t>
      </w:r>
      <w:r>
        <w:rPr>
          <w:spacing w:val="-67"/>
        </w:rPr>
        <w:t> </w:t>
      </w:r>
      <w:r>
        <w:rPr>
          <w:spacing w:val="-67"/>
        </w:rPr>
      </w:r>
      <w:r>
        <w:rPr>
          <w:spacing w:val="-2"/>
        </w:rPr>
        <w:t>助政府精准治理，提升公共服务水平；同时服务企业，用数据激发企业思想，推动变革，将数据价值转化为业务价值，建立</w:t>
      </w:r>
      <w:r>
        <w:rPr>
          <w:spacing w:val="-68"/>
        </w:rPr>
        <w:t> </w:t>
      </w:r>
      <w:r>
        <w:rPr>
          <w:spacing w:val="-68"/>
        </w:rPr>
      </w:r>
      <w:r>
        <w:rPr/>
        <w:t>强有力的企业品牌。</w:t>
      </w:r>
    </w:p>
    <w:p>
      <w:pPr>
        <w:spacing w:line="240" w:lineRule="auto" w:before="9"/>
        <w:rPr>
          <w:rFonts w:ascii="宋体" w:hAnsi="宋体" w:cs="宋体" w:eastAsia="宋体" w:hint="default"/>
          <w:sz w:val="25"/>
          <w:szCs w:val="25"/>
        </w:rPr>
      </w:pPr>
    </w:p>
    <w:p>
      <w:pPr>
        <w:pStyle w:val="BodyText"/>
        <w:spacing w:line="240" w:lineRule="auto"/>
        <w:ind w:right="0"/>
        <w:jc w:val="left"/>
      </w:pPr>
      <w:r>
        <w:rPr/>
        <w:t>（二）发展战略</w:t>
      </w:r>
    </w:p>
    <w:p>
      <w:pPr>
        <w:spacing w:line="240" w:lineRule="auto" w:before="0"/>
        <w:rPr>
          <w:rFonts w:ascii="宋体" w:hAnsi="宋体" w:cs="宋体" w:eastAsia="宋体" w:hint="default"/>
          <w:sz w:val="18"/>
          <w:szCs w:val="18"/>
        </w:rPr>
      </w:pPr>
    </w:p>
    <w:p>
      <w:pPr>
        <w:pStyle w:val="BodyText"/>
        <w:spacing w:line="314" w:lineRule="auto" w:before="153"/>
        <w:ind w:right="1130"/>
        <w:jc w:val="both"/>
      </w:pPr>
      <w:r>
        <w:rPr>
          <w:spacing w:val="-2"/>
        </w:rPr>
        <w:t>公司将深入践行大数据发展理念，不断深化各行业领域大数据融合应用，致力于成为国内专业的</w:t>
      </w:r>
      <w:r>
        <w:rPr>
          <w:rFonts w:ascii="Times New Roman" w:hAnsi="Times New Roman" w:cs="Times New Roman" w:eastAsia="Times New Roman" w:hint="default"/>
          <w:spacing w:val="-2"/>
        </w:rPr>
        <w:t>B2B2C</w:t>
      </w:r>
      <w:r>
        <w:rPr>
          <w:spacing w:val="-2"/>
        </w:rPr>
        <w:t>的大数据综合服务提</w:t>
      </w:r>
      <w:r>
        <w:rPr>
          <w:spacing w:val="-63"/>
        </w:rPr>
        <w:t> </w:t>
      </w:r>
      <w:r>
        <w:rPr>
          <w:spacing w:val="-2"/>
        </w:rPr>
        <w:t>供商，持续推进政府大数据、企业大数据的发展。公司将以数据驱动业务发展，在咨询、规划、研发、实施、运维、服务等</w:t>
      </w:r>
      <w:r>
        <w:rPr>
          <w:spacing w:val="-69"/>
        </w:rPr>
        <w:t> </w:t>
      </w:r>
      <w:r>
        <w:rPr>
          <w:spacing w:val="-69"/>
        </w:rPr>
      </w:r>
      <w:r>
        <w:rPr>
          <w:spacing w:val="-2"/>
        </w:rPr>
        <w:t>价值链的各个环节，充分发挥技术、平台和人才优势，做精底层基础平台，做大中层产品及解决方案，做强上层各重点行业</w:t>
      </w:r>
      <w:r>
        <w:rPr>
          <w:spacing w:val="-66"/>
        </w:rPr>
        <w:t> </w:t>
      </w:r>
      <w:r>
        <w:rPr>
          <w:spacing w:val="-66"/>
        </w:rPr>
      </w:r>
      <w:r>
        <w:rPr>
          <w:spacing w:val="-2"/>
        </w:rPr>
        <w:t>及领域，不断提供完整的、有竞争优势的信息化产品解决方案。在稳步发展的同时，持续创新，聚焦前沿技术，继续发挥云</w:t>
      </w:r>
      <w:r>
        <w:rPr>
          <w:spacing w:val="-67"/>
        </w:rPr>
        <w:t> </w:t>
      </w:r>
      <w:r>
        <w:rPr>
          <w:spacing w:val="-67"/>
        </w:rPr>
      </w:r>
      <w:r>
        <w:rPr/>
        <w:t>计算、大数据、物联网及移动互联等技术优势，整合产业资源、建立产业生态，给政府及企业客户带来更大的价值。</w:t>
      </w:r>
    </w:p>
    <w:p>
      <w:pPr>
        <w:spacing w:line="240" w:lineRule="auto" w:before="6"/>
        <w:rPr>
          <w:rFonts w:ascii="宋体" w:hAnsi="宋体" w:cs="宋体" w:eastAsia="宋体" w:hint="default"/>
          <w:sz w:val="25"/>
          <w:szCs w:val="25"/>
        </w:rPr>
      </w:pPr>
    </w:p>
    <w:p>
      <w:pPr>
        <w:pStyle w:val="BodyText"/>
        <w:spacing w:line="240" w:lineRule="auto"/>
        <w:ind w:right="0"/>
        <w:jc w:val="left"/>
      </w:pPr>
      <w:r>
        <w:rPr/>
        <w:t>（三）经营计划</w:t>
      </w:r>
    </w:p>
    <w:p>
      <w:pPr>
        <w:spacing w:line="240" w:lineRule="auto" w:before="0"/>
        <w:rPr>
          <w:rFonts w:ascii="宋体" w:hAnsi="宋体" w:cs="宋体" w:eastAsia="宋体" w:hint="default"/>
          <w:sz w:val="18"/>
          <w:szCs w:val="18"/>
        </w:rPr>
      </w:pPr>
    </w:p>
    <w:p>
      <w:pPr>
        <w:pStyle w:val="BodyText"/>
        <w:spacing w:line="307" w:lineRule="auto" w:before="153"/>
        <w:ind w:right="0"/>
        <w:jc w:val="left"/>
      </w:pPr>
      <w:r>
        <w:rPr>
          <w:rFonts w:ascii="Times New Roman" w:hAnsi="Times New Roman" w:cs="Times New Roman" w:eastAsia="Times New Roman" w:hint="default"/>
        </w:rPr>
        <w:t>1</w:t>
      </w:r>
      <w:r>
        <w:rPr/>
        <w:t>、专注优势领域，促进区域协同发展 </w:t>
      </w:r>
      <w:r>
        <w:rPr>
          <w:spacing w:val="-2"/>
        </w:rPr>
        <w:t>公司将以助力</w:t>
      </w:r>
      <w:r>
        <w:rPr>
          <w:rFonts w:ascii="Times New Roman" w:hAnsi="Times New Roman" w:cs="Times New Roman" w:eastAsia="Times New Roman" w:hint="default"/>
          <w:spacing w:val="-2"/>
        </w:rPr>
        <w:t>“</w:t>
      </w:r>
      <w:r>
        <w:rPr>
          <w:spacing w:val="-2"/>
        </w:rPr>
        <w:t>数字中国</w:t>
      </w:r>
      <w:r>
        <w:rPr>
          <w:rFonts w:ascii="Times New Roman" w:hAnsi="Times New Roman" w:cs="Times New Roman" w:eastAsia="Times New Roman" w:hint="default"/>
          <w:spacing w:val="-2"/>
        </w:rPr>
        <w:t>”</w:t>
      </w:r>
      <w:r>
        <w:rPr>
          <w:spacing w:val="-2"/>
        </w:rPr>
        <w:t>建设为契机，深度聚焦财政、交通、司法、民生、建筑、军工、通信等优势领域，根据行业与客户</w:t>
      </w:r>
      <w:r>
        <w:rPr>
          <w:spacing w:val="-50"/>
        </w:rPr>
        <w:t> </w:t>
      </w:r>
      <w:r>
        <w:rPr>
          <w:spacing w:val="-50"/>
        </w:rPr>
      </w:r>
      <w:r>
        <w:rPr>
          <w:spacing w:val="-2"/>
        </w:rPr>
        <w:t>大数据应用需求为出发点，构建各类创新型大数据解决方案。此外，在保障区域业务延续性的同时，大力开拓地方市场，以</w:t>
      </w:r>
      <w:r>
        <w:rPr>
          <w:spacing w:val="-66"/>
        </w:rPr>
        <w:t> </w:t>
      </w:r>
      <w:r>
        <w:rPr>
          <w:spacing w:val="-66"/>
        </w:rPr>
      </w:r>
      <w:r>
        <w:rPr/>
        <w:t>点带面，形成协同发展的格局，扩大规模效益。</w:t>
      </w:r>
    </w:p>
    <w:p>
      <w:pPr>
        <w:spacing w:line="240" w:lineRule="auto" w:before="11"/>
        <w:rPr>
          <w:rFonts w:ascii="宋体" w:hAnsi="宋体" w:cs="宋体" w:eastAsia="宋体" w:hint="default"/>
          <w:sz w:val="25"/>
          <w:szCs w:val="25"/>
        </w:rPr>
      </w:pPr>
    </w:p>
    <w:p>
      <w:pPr>
        <w:pStyle w:val="BodyText"/>
        <w:spacing w:line="300" w:lineRule="auto"/>
        <w:ind w:right="1123"/>
        <w:jc w:val="left"/>
      </w:pPr>
      <w:r>
        <w:rPr>
          <w:rFonts w:ascii="Times New Roman" w:hAnsi="Times New Roman" w:cs="Times New Roman" w:eastAsia="Times New Roman" w:hint="default"/>
        </w:rPr>
        <w:t>2</w:t>
      </w:r>
      <w:r>
        <w:rPr/>
        <w:t>、创新业务模式，技术赋能数字传播 公司将加快整合数字营销业务板块，推进营销和技术的深度融合，深化与全球顶级媒体平台的合作。同时，以数字营销</w:t>
      </w:r>
      <w:r>
        <w:rPr>
          <w:rFonts w:ascii="Times New Roman" w:hAnsi="Times New Roman" w:cs="Times New Roman" w:eastAsia="Times New Roman" w:hint="default"/>
        </w:rPr>
        <w:t>4.0 </w:t>
      </w:r>
      <w:r>
        <w:rPr>
          <w:spacing w:val="-3"/>
        </w:rPr>
        <w:t>技术平台为核心，集合更多大数据、机器学习和</w:t>
      </w:r>
      <w:r>
        <w:rPr>
          <w:rFonts w:ascii="Times New Roman" w:hAnsi="Times New Roman" w:cs="Times New Roman" w:eastAsia="Times New Roman" w:hint="default"/>
          <w:spacing w:val="-3"/>
        </w:rPr>
        <w:t>AI</w:t>
      </w:r>
      <w:r>
        <w:rPr>
          <w:spacing w:val="-3"/>
        </w:rPr>
        <w:t>等技术，通过</w:t>
      </w:r>
      <w:r>
        <w:rPr>
          <w:rFonts w:ascii="Times New Roman" w:hAnsi="Times New Roman" w:cs="Times New Roman" w:eastAsia="Times New Roman" w:hint="default"/>
          <w:spacing w:val="-3"/>
        </w:rPr>
        <w:t>Join </w:t>
      </w:r>
      <w:r>
        <w:rPr>
          <w:rFonts w:ascii="Times New Roman" w:hAnsi="Times New Roman" w:cs="Times New Roman" w:eastAsia="Times New Roman" w:hint="default"/>
          <w:spacing w:val="-4"/>
        </w:rPr>
        <w:t>SCRM</w:t>
      </w:r>
      <w:r>
        <w:rPr>
          <w:spacing w:val="-4"/>
        </w:rPr>
        <w:t>、自媒通、</w:t>
      </w:r>
      <w:r>
        <w:rPr>
          <w:rFonts w:ascii="Times New Roman" w:hAnsi="Times New Roman" w:cs="Times New Roman" w:eastAsia="Times New Roman" w:hint="default"/>
          <w:spacing w:val="-4"/>
        </w:rPr>
        <w:t>Panda </w:t>
      </w:r>
      <w:r>
        <w:rPr>
          <w:rFonts w:ascii="Times New Roman" w:hAnsi="Times New Roman" w:cs="Times New Roman" w:eastAsia="Times New Roman" w:hint="default"/>
        </w:rPr>
        <w:t>Compass</w:t>
      </w:r>
      <w:r>
        <w:rPr/>
        <w:t>、</w:t>
      </w:r>
      <w:r>
        <w:rPr>
          <w:rFonts w:ascii="Times New Roman" w:hAnsi="Times New Roman" w:cs="Times New Roman" w:eastAsia="Times New Roman" w:hint="default"/>
        </w:rPr>
        <w:t>Panda</w:t>
      </w:r>
      <w:r>
        <w:rPr>
          <w:rFonts w:ascii="Times New Roman" w:hAnsi="Times New Roman" w:cs="Times New Roman" w:eastAsia="Times New Roman" w:hint="default"/>
          <w:spacing w:val="16"/>
        </w:rPr>
        <w:t> </w:t>
      </w:r>
      <w:r>
        <w:rPr>
          <w:rFonts w:ascii="Times New Roman" w:hAnsi="Times New Roman" w:cs="Times New Roman" w:eastAsia="Times New Roman" w:hint="default"/>
        </w:rPr>
        <w:t>Engine</w:t>
      </w:r>
      <w:r>
        <w:rPr/>
        <w:t>以及</w:t>
      </w:r>
      <w:r>
        <w:rPr>
          <w:rFonts w:ascii="Times New Roman" w:hAnsi="Times New Roman" w:cs="Times New Roman" w:eastAsia="Times New Roman" w:hint="default"/>
        </w:rPr>
        <w:t>Join Chat</w:t>
      </w:r>
      <w:r>
        <w:rPr/>
        <w:t>等应用产品及解决方案，为客户提供更加专业化、场景化的技术营销服务。</w:t>
      </w:r>
    </w:p>
    <w:p>
      <w:pPr>
        <w:spacing w:line="240" w:lineRule="auto" w:before="11"/>
        <w:rPr>
          <w:rFonts w:ascii="宋体" w:hAnsi="宋体" w:cs="宋体" w:eastAsia="宋体" w:hint="default"/>
          <w:sz w:val="24"/>
          <w:szCs w:val="24"/>
        </w:rPr>
      </w:pPr>
    </w:p>
    <w:p>
      <w:pPr>
        <w:pStyle w:val="BodyText"/>
        <w:spacing w:line="307" w:lineRule="auto"/>
        <w:ind w:right="0"/>
        <w:jc w:val="left"/>
      </w:pPr>
      <w:r>
        <w:rPr>
          <w:rFonts w:ascii="Times New Roman" w:hAnsi="Times New Roman" w:cs="Times New Roman" w:eastAsia="Times New Roman" w:hint="default"/>
        </w:rPr>
        <w:t>3</w:t>
      </w:r>
      <w:r>
        <w:rPr/>
        <w:t>、加强融合创新，推动市场销售成效 </w:t>
      </w:r>
      <w:r>
        <w:rPr>
          <w:spacing w:val="-2"/>
        </w:rPr>
        <w:t>以集团化整体视角，在</w:t>
      </w:r>
      <w:r>
        <w:rPr>
          <w:rFonts w:ascii="Times New Roman" w:hAnsi="Times New Roman" w:cs="Times New Roman" w:eastAsia="Times New Roman" w:hint="default"/>
          <w:spacing w:val="-2"/>
        </w:rPr>
        <w:t>“</w:t>
      </w:r>
      <w:r>
        <w:rPr>
          <w:spacing w:val="-2"/>
        </w:rPr>
        <w:t>管理软件与数字传播协同发展</w:t>
      </w:r>
      <w:r>
        <w:rPr>
          <w:rFonts w:ascii="Times New Roman" w:hAnsi="Times New Roman" w:cs="Times New Roman" w:eastAsia="Times New Roman" w:hint="default"/>
          <w:spacing w:val="-2"/>
        </w:rPr>
        <w:t>”</w:t>
      </w:r>
      <w:r>
        <w:rPr>
          <w:spacing w:val="-2"/>
        </w:rPr>
        <w:t>的战略目标下，以客户和市场需求为导向，推动围绕政府大数据、企</w:t>
      </w:r>
      <w:r>
        <w:rPr>
          <w:spacing w:val="-44"/>
        </w:rPr>
        <w:t> </w:t>
      </w:r>
      <w:r>
        <w:rPr>
          <w:spacing w:val="-44"/>
        </w:rPr>
      </w:r>
      <w:r>
        <w:rPr>
          <w:spacing w:val="-2"/>
        </w:rPr>
        <w:t>业大数据、司法大数据、营销大数据的整体性产品与解决方案体系的不断完善，挖掘市场空间，为客户提供多元化的整体解</w:t>
      </w:r>
      <w:r>
        <w:rPr>
          <w:spacing w:val="-66"/>
        </w:rPr>
        <w:t> </w:t>
      </w:r>
      <w:r>
        <w:rPr>
          <w:spacing w:val="-66"/>
        </w:rPr>
      </w:r>
      <w:r>
        <w:rPr/>
        <w:t>决方案，增进客户服务粘性，提升市场销售能力，从而巩固核心竞争力及盈利能力。</w:t>
      </w:r>
    </w:p>
    <w:p>
      <w:pPr>
        <w:spacing w:after="0" w:line="307"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312" w:lineRule="auto" w:before="44"/>
        <w:ind w:right="0"/>
        <w:jc w:val="left"/>
      </w:pPr>
      <w:r>
        <w:rPr>
          <w:rFonts w:ascii="Times New Roman" w:hAnsi="Times New Roman" w:cs="Times New Roman" w:eastAsia="Times New Roman" w:hint="default"/>
        </w:rPr>
        <w:t>4</w:t>
      </w:r>
      <w:r>
        <w:rPr/>
        <w:t>、深化生态合作，提高综合服务能力 </w:t>
      </w:r>
      <w:r>
        <w:rPr>
          <w:spacing w:val="-2"/>
        </w:rPr>
        <w:t>公司事业部利润考核机制不仅要求利润中心要能够做大做强市场，还需要不断深化经营意识和经营能力，需要各利润中心在</w:t>
      </w:r>
      <w:r>
        <w:rPr>
          <w:spacing w:val="-64"/>
        </w:rPr>
        <w:t> </w:t>
      </w:r>
      <w:r>
        <w:rPr>
          <w:spacing w:val="-64"/>
        </w:rPr>
      </w:r>
      <w:r>
        <w:rPr>
          <w:spacing w:val="-2"/>
        </w:rPr>
        <w:t>巩固自身市场地位的同时，积极拓展合作伙伴，扩大生态合作圈，通过大项目管理集成能力的基础，借助合作伙伴在行业中</w:t>
      </w:r>
      <w:r>
        <w:rPr>
          <w:spacing w:val="-66"/>
        </w:rPr>
        <w:t> </w:t>
      </w:r>
      <w:r>
        <w:rPr>
          <w:spacing w:val="-66"/>
        </w:rPr>
      </w:r>
      <w:r>
        <w:rPr/>
        <w:t>的营销能力、业务优势和研发能力，互利共赢，共同实现市场与业务的突破，形成具有强大竞争力的</w:t>
      </w:r>
      <w:r>
        <w:rPr>
          <w:rFonts w:ascii="Times New Roman" w:hAnsi="Times New Roman" w:cs="Times New Roman" w:eastAsia="Times New Roman" w:hint="default"/>
        </w:rPr>
        <w:t>“</w:t>
      </w:r>
      <w:r>
        <w:rPr/>
        <w:t>共同体</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4"/>
          <w:szCs w:val="24"/>
        </w:rPr>
      </w:pPr>
    </w:p>
    <w:p>
      <w:pPr>
        <w:pStyle w:val="BodyText"/>
        <w:spacing w:line="314" w:lineRule="auto"/>
        <w:ind w:right="1032"/>
        <w:jc w:val="left"/>
      </w:pPr>
      <w:r>
        <w:rPr>
          <w:rFonts w:ascii="Times New Roman" w:hAnsi="Times New Roman" w:cs="Times New Roman" w:eastAsia="Times New Roman" w:hint="default"/>
        </w:rPr>
        <w:t>5</w:t>
      </w:r>
      <w:r>
        <w:rPr/>
        <w:t>、深化研发管理，提升项目交付质量 </w:t>
      </w:r>
      <w:r>
        <w:rPr>
          <w:spacing w:val="-2"/>
        </w:rPr>
        <w:t>核心业务的高质量交付是公司核心竞争力的重要体现，这有赖于技术创新能力和项目管理能力两方面的建设。公司将持续完</w:t>
      </w:r>
      <w:r>
        <w:rPr>
          <w:spacing w:val="-64"/>
        </w:rPr>
        <w:t> </w:t>
      </w:r>
      <w:r>
        <w:rPr>
          <w:spacing w:val="-64"/>
        </w:rPr>
      </w:r>
      <w:r>
        <w:rPr>
          <w:spacing w:val="-2"/>
        </w:rPr>
        <w:t>善开放、协同、高效的技术研发平台，不断降低交付成本，保障项目的质量、效率和稳定性。此外，从人才培养与团队管理</w:t>
      </w:r>
      <w:r>
        <w:rPr>
          <w:spacing w:val="-72"/>
        </w:rPr>
        <w:t> </w:t>
      </w:r>
      <w:r>
        <w:rPr>
          <w:spacing w:val="-72"/>
        </w:rPr>
      </w:r>
      <w:r>
        <w:rPr/>
        <w:t>入手，强化项目经理的培训、监督与考核，提升实施团队的项目管理能力，强化项目监管，严把交付质量，提高交付效率，</w:t>
      </w:r>
      <w:r>
        <w:rPr>
          <w:spacing w:val="-85"/>
        </w:rPr>
        <w:t> </w:t>
      </w:r>
      <w:r>
        <w:rPr>
          <w:spacing w:val="-85"/>
        </w:rPr>
      </w:r>
      <w:r>
        <w:rPr/>
        <w:t>不断提升客户满意度。</w:t>
      </w:r>
    </w:p>
    <w:p>
      <w:pPr>
        <w:spacing w:line="240" w:lineRule="auto" w:before="6"/>
        <w:rPr>
          <w:rFonts w:ascii="宋体" w:hAnsi="宋体" w:cs="宋体" w:eastAsia="宋体" w:hint="default"/>
          <w:sz w:val="25"/>
          <w:szCs w:val="25"/>
        </w:rPr>
      </w:pPr>
    </w:p>
    <w:p>
      <w:pPr>
        <w:pStyle w:val="BodyText"/>
        <w:spacing w:line="314" w:lineRule="auto"/>
        <w:ind w:right="0"/>
        <w:jc w:val="left"/>
      </w:pPr>
      <w:r>
        <w:rPr>
          <w:rFonts w:ascii="Times New Roman" w:hAnsi="Times New Roman" w:cs="Times New Roman" w:eastAsia="Times New Roman" w:hint="default"/>
        </w:rPr>
        <w:t>6</w:t>
      </w:r>
      <w:r>
        <w:rPr/>
        <w:t>、优化经营体制，强化内部控制体系 </w:t>
      </w:r>
      <w:r>
        <w:rPr>
          <w:spacing w:val="-2"/>
        </w:rPr>
        <w:t>公司将从法人治理、经营规划、业务融合、财务管控、企业文化等方面持续优化集团管控架构与管理职能。针对报告期出现</w:t>
      </w:r>
      <w:r>
        <w:rPr>
          <w:spacing w:val="-66"/>
        </w:rPr>
        <w:t> </w:t>
      </w:r>
      <w:r>
        <w:rPr>
          <w:spacing w:val="-66"/>
        </w:rPr>
      </w:r>
      <w:r>
        <w:rPr>
          <w:spacing w:val="-2"/>
        </w:rPr>
        <w:t>的子公司经营风险问题，公司将及时对内控体系进行自查并落实监督管理职责。一方面建立健全集团各项内控制度，进一步</w:t>
      </w:r>
      <w:r>
        <w:rPr>
          <w:spacing w:val="-66"/>
        </w:rPr>
        <w:t> </w:t>
      </w:r>
      <w:r>
        <w:rPr>
          <w:spacing w:val="-66"/>
        </w:rPr>
      </w:r>
      <w:r>
        <w:rPr>
          <w:spacing w:val="-2"/>
        </w:rPr>
        <w:t>规范公司及子公司的管理决策程序；另一方面强化企业管理部、财务部、审计部与审计委员会的内控职责，加强对子公司日</w:t>
      </w:r>
      <w:r>
        <w:rPr>
          <w:spacing w:val="-66"/>
        </w:rPr>
        <w:t> </w:t>
      </w:r>
      <w:r>
        <w:rPr>
          <w:spacing w:val="-66"/>
        </w:rPr>
      </w:r>
      <w:r>
        <w:rPr/>
        <w:t>常经营的监督与管理。</w:t>
      </w:r>
    </w:p>
    <w:p>
      <w:pPr>
        <w:spacing w:line="240" w:lineRule="auto" w:before="6"/>
        <w:rPr>
          <w:rFonts w:ascii="宋体" w:hAnsi="宋体" w:cs="宋体" w:eastAsia="宋体" w:hint="default"/>
          <w:sz w:val="25"/>
          <w:szCs w:val="25"/>
        </w:rPr>
      </w:pPr>
    </w:p>
    <w:p>
      <w:pPr>
        <w:pStyle w:val="BodyText"/>
        <w:spacing w:line="314" w:lineRule="auto"/>
        <w:ind w:right="1111"/>
        <w:jc w:val="left"/>
      </w:pPr>
      <w:r>
        <w:rPr/>
        <w:t>（四）风险提示 公司经营过程中可能面临宏观经济与政策风险、行业竞争风险、业绩季节波动风险、业务发展风险、业务资金周转风险、 </w:t>
      </w:r>
      <w:r>
        <w:rPr>
          <w:spacing w:val="-2"/>
        </w:rPr>
        <w:t>应收保理款坏账风险、收购管理与商誉减值风险、子公司上海移通经营风险、业绩对赌补偿不确定性风险、募集资金运用风</w:t>
      </w:r>
      <w:r>
        <w:rPr>
          <w:spacing w:val="-66"/>
        </w:rPr>
        <w:t> </w:t>
      </w:r>
      <w:r>
        <w:rPr>
          <w:spacing w:val="-66"/>
        </w:rPr>
      </w:r>
      <w:r>
        <w:rPr/>
        <w:t>险，针对前述风险计划采取的应对措施已在本报告</w:t>
      </w:r>
      <w:r>
        <w:rPr>
          <w:rFonts w:ascii="Times New Roman" w:hAnsi="Times New Roman" w:cs="Times New Roman" w:eastAsia="Times New Roman" w:hint="default"/>
        </w:rPr>
        <w:t>“</w:t>
      </w:r>
      <w:r>
        <w:rPr/>
        <w:t>第一节</w:t>
      </w:r>
      <w:r>
        <w:rPr>
          <w:spacing w:val="-49"/>
        </w:rPr>
        <w:t> </w:t>
      </w:r>
      <w:r>
        <w:rPr/>
        <w:t>重要提示、目录和释义</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对年度报告涉及未来计划等前瞻性陈 述的风险提示</w:t>
      </w:r>
      <w:r>
        <w:rPr>
          <w:rFonts w:ascii="Times New Roman" w:hAnsi="Times New Roman" w:cs="Times New Roman" w:eastAsia="Times New Roman" w:hint="default"/>
        </w:rPr>
        <w:t>”</w:t>
      </w:r>
      <w:r>
        <w:rPr/>
        <w:t>中进行了阐述。其中，子公司上海移通经营风险及业绩对赌补偿不确定性风险系本报告期新增的风险因素。</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bookmarkStart w:name="十、接待调研、沟通、采访等活动" w:id="61"/>
      <w:bookmarkEnd w:id="61"/>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接待调研、沟通、采访等活动登记表" w:id="62"/>
      <w:bookmarkEnd w:id="62"/>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3" w:right="78"/>
              <w:jc w:val="left"/>
              <w:rPr>
                <w:rFonts w:ascii="Times New Roman" w:hAnsi="Times New Roman" w:cs="Times New Roman" w:eastAsia="Times New Roman" w:hint="default"/>
                <w:sz w:val="18"/>
                <w:szCs w:val="18"/>
              </w:rPr>
            </w:pPr>
            <w:hyperlink r:id="rId18">
              <w:r>
                <w:rPr>
                  <w:rFonts w:ascii="Times New Roman"/>
                  <w:sz w:val="18"/>
                </w:rPr>
                <w:t>http://static.cninfo.com.cn/finalpage/201</w:t>
              </w:r>
            </w:hyperlink>
            <w:r>
              <w:rPr>
                <w:rFonts w:ascii="Times New Roman"/>
                <w:sz w:val="18"/>
              </w:rPr>
              <w:t> 8-04-17/1204647256.PDF</w:t>
            </w:r>
          </w:p>
        </w:tc>
      </w:tr>
      <w:tr>
        <w:trPr>
          <w:trHeight w:val="715"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3" w:right="78"/>
              <w:jc w:val="left"/>
              <w:rPr>
                <w:rFonts w:ascii="Times New Roman" w:hAnsi="Times New Roman" w:cs="Times New Roman" w:eastAsia="Times New Roman" w:hint="default"/>
                <w:sz w:val="18"/>
                <w:szCs w:val="18"/>
              </w:rPr>
            </w:pPr>
            <w:hyperlink r:id="rId18">
              <w:r>
                <w:rPr>
                  <w:rFonts w:ascii="Times New Roman"/>
                  <w:sz w:val="18"/>
                </w:rPr>
                <w:t>http://static.cninfo.com.cn/finalpage/201</w:t>
              </w:r>
            </w:hyperlink>
            <w:r>
              <w:rPr>
                <w:rFonts w:ascii="Times New Roman"/>
                <w:sz w:val="18"/>
              </w:rPr>
              <w:t> 8-06-19/1205065868.PDF</w:t>
            </w:r>
          </w:p>
        </w:tc>
      </w:tr>
    </w:tbl>
    <w:p>
      <w:pPr>
        <w:spacing w:after="0" w:line="362" w:lineRule="auto"/>
        <w:jc w:val="lef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4248"/>
        <w:jc w:val="center"/>
        <w:rPr>
          <w:b w:val="0"/>
          <w:bCs w:val="0"/>
        </w:rPr>
      </w:pPr>
      <w:bookmarkStart w:name="第五节 重要事项" w:id="63"/>
      <w:bookmarkEnd w:id="63"/>
      <w:r>
        <w:rPr>
          <w:b w:val="0"/>
          <w:bCs w:val="0"/>
        </w:rPr>
      </w:r>
      <w:bookmarkStart w:name="_bookmark3" w:id="64"/>
      <w:bookmarkEnd w:id="64"/>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5"/>
      <w:bookmarkEnd w:id="65"/>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19" w:lineRule="auto" w:before="117"/>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报告期内，公司的利润分配及现金分红政策未发生重大调整及变化，经</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日召开的公司</w:t>
      </w:r>
      <w:r>
        <w:rPr>
          <w:rFonts w:ascii="Times New Roman" w:hAnsi="Times New Roman" w:cs="Times New Roman" w:eastAsia="Times New Roman" w:hint="default"/>
        </w:rPr>
        <w:t>2018</w:t>
      </w:r>
      <w:r>
        <w:rPr/>
        <w:t>年第三次临时股东大 </w:t>
      </w:r>
      <w:r>
        <w:rPr>
          <w:spacing w:val="-5"/>
        </w:rPr>
        <w:t>会审议批准，公司对《公司章程》中利润分配事项充分听取中小股东意见所采取的措施进行明确。根据《公司章程》的规定，</w:t>
      </w:r>
      <w:r>
        <w:rPr>
          <w:spacing w:val="-81"/>
        </w:rPr>
        <w:t> </w:t>
      </w:r>
      <w:r>
        <w:rPr>
          <w:spacing w:val="-81"/>
        </w:rPr>
      </w:r>
      <w:r>
        <w:rPr/>
        <w:t>公司</w:t>
      </w:r>
      <w:r>
        <w:rPr>
          <w:rFonts w:ascii="Times New Roman" w:hAnsi="Times New Roman" w:cs="Times New Roman" w:eastAsia="Times New Roman" w:hint="default"/>
        </w:rPr>
        <w:t>2017</w:t>
      </w:r>
      <w:r>
        <w:rPr/>
        <w:t>年度股东大会审议通过了《</w:t>
      </w:r>
      <w:r>
        <w:rPr>
          <w:rFonts w:ascii="Times New Roman" w:hAnsi="Times New Roman" w:cs="Times New Roman" w:eastAsia="Times New Roman" w:hint="default"/>
        </w:rPr>
        <w:t>2017</w:t>
      </w:r>
      <w:r>
        <w:rPr/>
        <w:t>年度利润分配及资本公积金转增股本方案》，即以截至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日的总股本</w:t>
      </w:r>
    </w:p>
    <w:p>
      <w:pPr>
        <w:pStyle w:val="BodyText"/>
        <w:spacing w:line="309" w:lineRule="auto"/>
        <w:ind w:right="1122"/>
        <w:jc w:val="left"/>
      </w:pPr>
      <w:r>
        <w:rPr>
          <w:rFonts w:ascii="Times New Roman" w:hAnsi="Times New Roman" w:cs="Times New Roman" w:eastAsia="Times New Roman" w:hint="default"/>
        </w:rPr>
        <w:t>710,436,578</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0.30</w:t>
      </w:r>
      <w:r>
        <w:rPr/>
        <w:t>元（含税），共计派发现金股利</w:t>
      </w:r>
      <w:r>
        <w:rPr>
          <w:rFonts w:ascii="Times New Roman" w:hAnsi="Times New Roman" w:cs="Times New Roman" w:eastAsia="Times New Roman" w:hint="default"/>
        </w:rPr>
        <w:t>21,313,097.34</w:t>
      </w:r>
      <w:r>
        <w:rPr/>
        <w:t>元。此外，公司不 送红股，不以资本公积金转增股本。 </w:t>
      </w:r>
      <w:r>
        <w:rPr>
          <w:spacing w:val="-2"/>
        </w:rPr>
        <w:t>公司独立董事对公司</w:t>
      </w:r>
      <w:r>
        <w:rPr>
          <w:rFonts w:ascii="Times New Roman" w:hAnsi="Times New Roman" w:cs="Times New Roman" w:eastAsia="Times New Roman" w:hint="default"/>
          <w:spacing w:val="-2"/>
        </w:rPr>
        <w:t>2017</w:t>
      </w:r>
      <w:r>
        <w:rPr>
          <w:spacing w:val="-2"/>
        </w:rPr>
        <w:t>年度利润分配及资本公积金转增股本方案发表了独立意见，认为公司</w:t>
      </w:r>
      <w:r>
        <w:rPr>
          <w:rFonts w:ascii="Times New Roman" w:hAnsi="Times New Roman" w:cs="Times New Roman" w:eastAsia="Times New Roman" w:hint="default"/>
          <w:spacing w:val="-2"/>
        </w:rPr>
        <w:t>2017</w:t>
      </w:r>
      <w:r>
        <w:rPr>
          <w:spacing w:val="-2"/>
        </w:rPr>
        <w:t>年度利润分配及资本公积</w:t>
      </w:r>
      <w:r>
        <w:rPr>
          <w:spacing w:val="-56"/>
        </w:rPr>
        <w:t> </w:t>
      </w:r>
      <w:r>
        <w:rPr>
          <w:spacing w:val="-2"/>
        </w:rPr>
        <w:t>金转增股本方案符合有关法律、行政法规和部门规章的要求，符合公司客观实际，并不影响公司正常生产经营。公司监事会</w:t>
      </w:r>
      <w:r>
        <w:rPr>
          <w:spacing w:val="-66"/>
        </w:rPr>
        <w:t> </w:t>
      </w:r>
      <w:r>
        <w:rPr>
          <w:spacing w:val="-66"/>
        </w:rPr>
      </w:r>
      <w:r>
        <w:rPr/>
        <w:t>就该方案发表了明确同意的意见。前述方案已于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4</w:t>
      </w:r>
      <w:r>
        <w:rPr/>
        <w:t>日实施完毕。</w:t>
      </w:r>
    </w:p>
    <w:tbl>
      <w:tblPr>
        <w:tblW w:w="0" w:type="auto"/>
        <w:jc w:val="left"/>
        <w:tblInd w:w="160" w:type="dxa"/>
        <w:tblLayout w:type="fixed"/>
        <w:tblCellMar>
          <w:top w:w="0" w:type="dxa"/>
          <w:left w:w="0" w:type="dxa"/>
          <w:bottom w:w="0" w:type="dxa"/>
          <w:right w:w="0" w:type="dxa"/>
        </w:tblCellMar>
        <w:tblLook w:val="01E0"/>
      </w:tblPr>
      <w:tblGrid>
        <w:gridCol w:w="6641"/>
        <w:gridCol w:w="2916"/>
      </w:tblGrid>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2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2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2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2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2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2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6"/>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240" w:lineRule="auto" w:before="102"/>
        <w:ind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年度利润分配及资本公积金转增股本方案：以截至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日公司总股本</w:t>
      </w:r>
      <w:r>
        <w:rPr>
          <w:rFonts w:ascii="Times New Roman" w:hAnsi="Times New Roman" w:cs="Times New Roman" w:eastAsia="Times New Roman" w:hint="default"/>
        </w:rPr>
        <w:t>541,272,432</w:t>
      </w:r>
      <w:r>
        <w:rPr/>
        <w:t>股为基数，向全体股东每</w:t>
      </w:r>
    </w:p>
    <w:p>
      <w:pPr>
        <w:pStyle w:val="BodyText"/>
        <w:spacing w:line="240" w:lineRule="auto" w:before="63"/>
        <w:ind w:right="0"/>
        <w:jc w:val="left"/>
      </w:pP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0.30</w:t>
      </w:r>
      <w:r>
        <w:rPr/>
        <w:t>元（含税），以资本公积金向全体股东每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股，共计派发现金股利</w:t>
      </w:r>
      <w:r>
        <w:rPr>
          <w:rFonts w:ascii="Times New Roman" w:hAnsi="Times New Roman" w:cs="Times New Roman" w:eastAsia="Times New Roman" w:hint="default"/>
        </w:rPr>
        <w:t>16,238,172.96</w:t>
      </w:r>
      <w:r>
        <w:rPr/>
        <w:t>元，新增股份</w:t>
      </w:r>
    </w:p>
    <w:p>
      <w:pPr>
        <w:pStyle w:val="BodyText"/>
        <w:spacing w:line="240" w:lineRule="auto" w:before="63"/>
        <w:ind w:right="0"/>
        <w:jc w:val="left"/>
      </w:pPr>
      <w:r>
        <w:rPr>
          <w:rFonts w:ascii="Times New Roman" w:hAnsi="Times New Roman" w:cs="Times New Roman" w:eastAsia="Times New Roman" w:hint="default"/>
        </w:rPr>
        <w:t>162,381,729</w:t>
      </w:r>
      <w:r>
        <w:rPr/>
        <w:t>股。</w:t>
      </w:r>
    </w:p>
    <w:p>
      <w:pPr>
        <w:pStyle w:val="BodyText"/>
        <w:spacing w:line="300" w:lineRule="auto" w:before="63"/>
        <w:ind w:right="1122"/>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年度利润分配及资本公积金转增股本方案：以截至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日的总股本</w:t>
      </w:r>
      <w:r>
        <w:rPr>
          <w:rFonts w:ascii="Times New Roman" w:hAnsi="Times New Roman" w:cs="Times New Roman" w:eastAsia="Times New Roman" w:hint="default"/>
        </w:rPr>
        <w:t>710,436,578</w:t>
      </w:r>
      <w:r>
        <w:rPr/>
        <w:t>股为基数，向全体股东每</w:t>
      </w:r>
      <w:r>
        <w:rPr>
          <w:rFonts w:ascii="Times New Roman" w:hAnsi="Times New Roman" w:cs="Times New Roman" w:eastAsia="Times New Roman" w:hint="default"/>
        </w:rPr>
        <w:t>10 </w:t>
      </w:r>
      <w:r>
        <w:rPr/>
        <w:t>股派发现金股利</w:t>
      </w:r>
      <w:r>
        <w:rPr>
          <w:rFonts w:ascii="Times New Roman" w:hAnsi="Times New Roman" w:cs="Times New Roman" w:eastAsia="Times New Roman" w:hint="default"/>
        </w:rPr>
        <w:t>0.30</w:t>
      </w:r>
      <w:r>
        <w:rPr/>
        <w:t>元（含税），共计派发现金股利</w:t>
      </w:r>
      <w:r>
        <w:rPr>
          <w:rFonts w:ascii="Times New Roman" w:hAnsi="Times New Roman" w:cs="Times New Roman" w:eastAsia="Times New Roman" w:hint="default"/>
        </w:rPr>
        <w:t>21,313,097.34</w:t>
      </w:r>
      <w:r>
        <w:rPr/>
        <w:t>元，此外，公司不送红股，不以资本公积金转增股本。</w:t>
      </w:r>
    </w:p>
    <w:p>
      <w:pPr>
        <w:pStyle w:val="BodyText"/>
        <w:spacing w:line="340" w:lineRule="auto" w:before="13"/>
        <w:ind w:right="3462"/>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年度利润分配预案：公司计划不派发现金红利，不送红股，不以公积金转增股本。 公司近三年（包括本报告期）普通股现金分红情况表</w:t>
      </w:r>
    </w:p>
    <w:p>
      <w:pPr>
        <w:pStyle w:val="BodyText"/>
        <w:spacing w:line="240" w:lineRule="auto" w:before="41"/>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463"/>
        <w:gridCol w:w="1215"/>
        <w:gridCol w:w="1760"/>
        <w:gridCol w:w="1320"/>
        <w:gridCol w:w="894"/>
        <w:gridCol w:w="1207"/>
        <w:gridCol w:w="1321"/>
        <w:gridCol w:w="1493"/>
      </w:tblGrid>
      <w:tr>
        <w:trPr>
          <w:trHeight w:val="161" w:hRule="exact"/>
        </w:trPr>
        <w:tc>
          <w:tcPr>
            <w:tcW w:w="463" w:type="dxa"/>
            <w:vMerge w:val="restart"/>
            <w:tcBorders>
              <w:top w:val="single" w:sz="4" w:space="0" w:color="000000"/>
              <w:left w:val="single" w:sz="4" w:space="0" w:color="000000"/>
              <w:right w:val="single" w:sz="4" w:space="0" w:color="000000"/>
            </w:tcBorders>
            <w:shd w:val="clear" w:color="auto" w:fill="D2D2D2"/>
          </w:tcPr>
          <w:p>
            <w:pPr/>
          </w:p>
        </w:tc>
        <w:tc>
          <w:tcPr>
            <w:tcW w:w="1215" w:type="dxa"/>
            <w:vMerge w:val="restart"/>
            <w:tcBorders>
              <w:top w:val="single" w:sz="4" w:space="0" w:color="000000"/>
              <w:left w:val="single" w:sz="4" w:space="0" w:color="000000"/>
              <w:right w:val="single" w:sz="4" w:space="0" w:color="000000"/>
            </w:tcBorders>
            <w:shd w:val="clear" w:color="auto" w:fill="D2D2D2"/>
          </w:tcPr>
          <w:p>
            <w:pPr/>
          </w:p>
        </w:tc>
        <w:tc>
          <w:tcPr>
            <w:tcW w:w="1760" w:type="dxa"/>
            <w:vMerge w:val="restart"/>
            <w:tcBorders>
              <w:top w:val="single" w:sz="4" w:space="0" w:color="000000"/>
              <w:left w:val="single" w:sz="4" w:space="0" w:color="000000"/>
              <w:right w:val="single" w:sz="4" w:space="0" w:color="000000"/>
            </w:tcBorders>
            <w:shd w:val="clear" w:color="auto" w:fill="D2D2D2"/>
          </w:tcPr>
          <w:p>
            <w:pPr/>
          </w:p>
        </w:tc>
        <w:tc>
          <w:tcPr>
            <w:tcW w:w="1320" w:type="dxa"/>
            <w:tcBorders>
              <w:top w:val="single" w:sz="4" w:space="0" w:color="000000"/>
              <w:left w:val="single" w:sz="4" w:space="0" w:color="000000"/>
              <w:bottom w:val="nil" w:sz="6" w:space="0" w:color="auto"/>
              <w:right w:val="single" w:sz="4" w:space="0" w:color="000000"/>
            </w:tcBorders>
            <w:shd w:val="clear" w:color="auto" w:fill="D2D2D2"/>
          </w:tcPr>
          <w:p>
            <w:pPr/>
          </w:p>
        </w:tc>
        <w:tc>
          <w:tcPr>
            <w:tcW w:w="8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4"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321" w:type="dxa"/>
            <w:vMerge w:val="restart"/>
            <w:tcBorders>
              <w:top w:val="single" w:sz="4" w:space="0" w:color="000000"/>
              <w:left w:val="single" w:sz="4" w:space="0" w:color="000000"/>
              <w:right w:val="single" w:sz="4" w:space="0" w:color="000000"/>
            </w:tcBorders>
            <w:shd w:val="clear" w:color="auto" w:fill="D2D2D2"/>
          </w:tcPr>
          <w:p>
            <w:pPr/>
          </w:p>
        </w:tc>
        <w:tc>
          <w:tcPr>
            <w:tcW w:w="14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463" w:type="dxa"/>
            <w:vMerge/>
            <w:tcBorders>
              <w:left w:val="single" w:sz="4" w:space="0" w:color="000000"/>
              <w:right w:val="single" w:sz="4" w:space="0" w:color="000000"/>
            </w:tcBorders>
            <w:shd w:val="clear" w:color="auto" w:fill="D2D2D2"/>
          </w:tcPr>
          <w:p>
            <w:pPr/>
          </w:p>
        </w:tc>
        <w:tc>
          <w:tcPr>
            <w:tcW w:w="1215" w:type="dxa"/>
            <w:vMerge/>
            <w:tcBorders>
              <w:left w:val="single" w:sz="4" w:space="0" w:color="000000"/>
              <w:right w:val="single" w:sz="4" w:space="0" w:color="000000"/>
            </w:tcBorders>
            <w:shd w:val="clear" w:color="auto" w:fill="D2D2D2"/>
          </w:tcPr>
          <w:p>
            <w:pPr/>
          </w:p>
        </w:tc>
        <w:tc>
          <w:tcPr>
            <w:tcW w:w="1760" w:type="dxa"/>
            <w:vMerge/>
            <w:tcBorders>
              <w:left w:val="single" w:sz="4" w:space="0" w:color="000000"/>
              <w:bottom w:val="nil" w:sz="6" w:space="0" w:color="auto"/>
              <w:right w:val="single" w:sz="4" w:space="0" w:color="000000"/>
            </w:tcBorders>
            <w:shd w:val="clear" w:color="auto" w:fill="D2D2D2"/>
          </w:tcPr>
          <w:p>
            <w:pPr/>
          </w:p>
        </w:tc>
        <w:tc>
          <w:tcPr>
            <w:tcW w:w="132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4" w:right="24"/>
              <w:jc w:val="center"/>
              <w:rPr>
                <w:rFonts w:ascii="宋体" w:hAnsi="宋体" w:cs="宋体" w:eastAsia="宋体" w:hint="default"/>
                <w:sz w:val="18"/>
                <w:szCs w:val="18"/>
              </w:rPr>
            </w:pPr>
            <w:r>
              <w:rPr>
                <w:rFonts w:ascii="宋体" w:hAnsi="宋体" w:cs="宋体" w:eastAsia="宋体" w:hint="default"/>
                <w:sz w:val="18"/>
                <w:szCs w:val="18"/>
              </w:rPr>
              <w:t>现金分红金额占 合并报表中归属 于上市公司普通 股股东的净利润 的比率</w:t>
            </w:r>
          </w:p>
        </w:tc>
        <w:tc>
          <w:tcPr>
            <w:tcW w:w="8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 w:right="21"/>
              <w:jc w:val="center"/>
              <w:rPr>
                <w:rFonts w:ascii="宋体" w:hAnsi="宋体" w:cs="宋体" w:eastAsia="宋体" w:hint="default"/>
                <w:sz w:val="18"/>
                <w:szCs w:val="18"/>
              </w:rPr>
            </w:pPr>
            <w:r>
              <w:rPr>
                <w:rFonts w:ascii="宋体" w:hAnsi="宋体" w:cs="宋体" w:eastAsia="宋体" w:hint="default"/>
                <w:sz w:val="18"/>
                <w:szCs w:val="18"/>
              </w:rPr>
              <w:t>以其他方 </w:t>
            </w:r>
            <w:r>
              <w:rPr>
                <w:rFonts w:ascii="宋体" w:hAnsi="宋体" w:cs="宋体" w:eastAsia="宋体" w:hint="default"/>
                <w:spacing w:val="-13"/>
                <w:sz w:val="18"/>
                <w:szCs w:val="18"/>
              </w:rPr>
              <w:t>式（如回购</w:t>
            </w:r>
            <w:r>
              <w:rPr>
                <w:rFonts w:ascii="宋体" w:hAnsi="宋体" w:cs="宋体" w:eastAsia="宋体" w:hint="default"/>
                <w:sz w:val="18"/>
                <w:szCs w:val="18"/>
              </w:rPr>
              <w:t> </w:t>
            </w:r>
            <w:r>
              <w:rPr>
                <w:rFonts w:ascii="宋体" w:hAnsi="宋体" w:cs="宋体" w:eastAsia="宋体" w:hint="default"/>
                <w:spacing w:val="-13"/>
                <w:sz w:val="18"/>
                <w:szCs w:val="18"/>
              </w:rPr>
              <w:t>股份）现金</w:t>
            </w:r>
            <w:r>
              <w:rPr>
                <w:rFonts w:ascii="宋体" w:hAnsi="宋体" w:cs="宋体" w:eastAsia="宋体" w:hint="default"/>
                <w:sz w:val="18"/>
                <w:szCs w:val="18"/>
              </w:rPr>
              <w:t> 分红的金 额</w:t>
            </w:r>
          </w:p>
        </w:tc>
        <w:tc>
          <w:tcPr>
            <w:tcW w:w="1207" w:type="dxa"/>
            <w:vMerge/>
            <w:tcBorders>
              <w:left w:val="single" w:sz="4" w:space="0" w:color="000000"/>
              <w:right w:val="single" w:sz="4" w:space="0" w:color="000000"/>
            </w:tcBorders>
            <w:shd w:val="clear" w:color="auto" w:fill="D2D2D2"/>
          </w:tcPr>
          <w:p>
            <w:pPr/>
          </w:p>
        </w:tc>
        <w:tc>
          <w:tcPr>
            <w:tcW w:w="1321" w:type="dxa"/>
            <w:vMerge/>
            <w:tcBorders>
              <w:left w:val="single" w:sz="4" w:space="0" w:color="000000"/>
              <w:right w:val="single" w:sz="4" w:space="0" w:color="000000"/>
            </w:tcBorders>
            <w:shd w:val="clear" w:color="auto" w:fill="D2D2D2"/>
          </w:tcPr>
          <w:p>
            <w:pPr/>
          </w:p>
        </w:tc>
        <w:tc>
          <w:tcPr>
            <w:tcW w:w="149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 w:right="20"/>
              <w:jc w:val="center"/>
              <w:rPr>
                <w:rFonts w:ascii="宋体" w:hAnsi="宋体" w:cs="宋体" w:eastAsia="宋体" w:hint="default"/>
                <w:sz w:val="18"/>
                <w:szCs w:val="18"/>
              </w:rPr>
            </w:pPr>
            <w:r>
              <w:rPr>
                <w:rFonts w:ascii="宋体" w:hAnsi="宋体" w:cs="宋体" w:eastAsia="宋体" w:hint="default"/>
                <w:sz w:val="18"/>
                <w:szCs w:val="18"/>
              </w:rPr>
              <w:t>现金分红总额（含 其他方式）占合并 报表中归属于上市 公司普通股股东的 净利润的比率</w:t>
            </w:r>
          </w:p>
        </w:tc>
      </w:tr>
      <w:tr>
        <w:trPr>
          <w:trHeight w:val="156" w:hRule="exact"/>
        </w:trPr>
        <w:tc>
          <w:tcPr>
            <w:tcW w:w="463" w:type="dxa"/>
            <w:vMerge/>
            <w:tcBorders>
              <w:left w:val="single" w:sz="4" w:space="0" w:color="000000"/>
              <w:bottom w:val="nil" w:sz="6" w:space="0" w:color="auto"/>
              <w:right w:val="single" w:sz="4" w:space="0" w:color="000000"/>
            </w:tcBorders>
            <w:shd w:val="clear" w:color="auto" w:fill="D2D2D2"/>
          </w:tcPr>
          <w:p>
            <w:pPr/>
          </w:p>
        </w:tc>
        <w:tc>
          <w:tcPr>
            <w:tcW w:w="1215" w:type="dxa"/>
            <w:vMerge/>
            <w:tcBorders>
              <w:left w:val="single" w:sz="4" w:space="0" w:color="000000"/>
              <w:bottom w:val="nil" w:sz="6" w:space="0" w:color="auto"/>
              <w:right w:val="single" w:sz="4" w:space="0" w:color="000000"/>
            </w:tcBorders>
            <w:shd w:val="clear" w:color="auto" w:fill="D2D2D2"/>
          </w:tcPr>
          <w:p>
            <w:pPr/>
          </w:p>
        </w:tc>
        <w:tc>
          <w:tcPr>
            <w:tcW w:w="17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4" w:right="63"/>
              <w:jc w:val="center"/>
              <w:rPr>
                <w:rFonts w:ascii="宋体" w:hAnsi="宋体" w:cs="宋体" w:eastAsia="宋体" w:hint="default"/>
                <w:sz w:val="18"/>
                <w:szCs w:val="18"/>
              </w:rPr>
            </w:pPr>
            <w:r>
              <w:rPr>
                <w:rFonts w:ascii="宋体" w:hAnsi="宋体" w:cs="宋体" w:eastAsia="宋体" w:hint="default"/>
                <w:sz w:val="18"/>
                <w:szCs w:val="18"/>
              </w:rPr>
              <w:t>分红年度合并报表中 归属于上市公司普通 股股东的净利润</w:t>
            </w:r>
          </w:p>
        </w:tc>
        <w:tc>
          <w:tcPr>
            <w:tcW w:w="1320" w:type="dxa"/>
            <w:vMerge/>
            <w:tcBorders>
              <w:left w:val="single" w:sz="4" w:space="0" w:color="000000"/>
              <w:right w:val="single" w:sz="4" w:space="0" w:color="000000"/>
            </w:tcBorders>
            <w:shd w:val="clear" w:color="auto" w:fill="D2D2D2"/>
          </w:tcPr>
          <w:p>
            <w:pPr/>
          </w:p>
        </w:tc>
        <w:tc>
          <w:tcPr>
            <w:tcW w:w="894"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321" w:type="dxa"/>
            <w:vMerge/>
            <w:tcBorders>
              <w:left w:val="single" w:sz="4" w:space="0" w:color="000000"/>
              <w:bottom w:val="nil" w:sz="6" w:space="0" w:color="auto"/>
              <w:right w:val="single" w:sz="4" w:space="0" w:color="000000"/>
            </w:tcBorders>
            <w:shd w:val="clear" w:color="auto" w:fill="D2D2D2"/>
          </w:tcPr>
          <w:p>
            <w:pPr/>
          </w:p>
        </w:tc>
        <w:tc>
          <w:tcPr>
            <w:tcW w:w="1493" w:type="dxa"/>
            <w:vMerge/>
            <w:tcBorders>
              <w:left w:val="single" w:sz="4" w:space="0" w:color="000000"/>
              <w:right w:val="single" w:sz="4" w:space="0" w:color="000000"/>
            </w:tcBorders>
            <w:shd w:val="clear" w:color="auto" w:fill="D2D2D2"/>
          </w:tcPr>
          <w:p>
            <w:pPr/>
          </w:p>
        </w:tc>
      </w:tr>
      <w:tr>
        <w:trPr>
          <w:trHeight w:val="704" w:hRule="exact"/>
        </w:trPr>
        <w:tc>
          <w:tcPr>
            <w:tcW w:w="4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40" w:right="50"/>
              <w:jc w:val="left"/>
              <w:rPr>
                <w:rFonts w:ascii="宋体" w:hAnsi="宋体" w:cs="宋体" w:eastAsia="宋体" w:hint="default"/>
                <w:sz w:val="18"/>
                <w:szCs w:val="18"/>
              </w:rPr>
            </w:pPr>
            <w:r>
              <w:rPr>
                <w:rFonts w:ascii="宋体" w:hAnsi="宋体" w:cs="宋体" w:eastAsia="宋体" w:hint="default"/>
                <w:sz w:val="18"/>
                <w:szCs w:val="18"/>
              </w:rPr>
              <w:t>分红 年度</w:t>
            </w:r>
          </w:p>
        </w:tc>
        <w:tc>
          <w:tcPr>
            <w:tcW w:w="12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760" w:type="dxa"/>
            <w:vMerge/>
            <w:tcBorders>
              <w:left w:val="single" w:sz="4" w:space="0" w:color="000000"/>
              <w:right w:val="single" w:sz="4" w:space="0" w:color="000000"/>
            </w:tcBorders>
            <w:shd w:val="clear" w:color="auto" w:fill="D2D2D2"/>
          </w:tcPr>
          <w:p>
            <w:pPr/>
          </w:p>
        </w:tc>
        <w:tc>
          <w:tcPr>
            <w:tcW w:w="1320" w:type="dxa"/>
            <w:vMerge/>
            <w:tcBorders>
              <w:left w:val="single" w:sz="4" w:space="0" w:color="000000"/>
              <w:right w:val="single" w:sz="4" w:space="0" w:color="000000"/>
            </w:tcBorders>
            <w:shd w:val="clear" w:color="auto" w:fill="D2D2D2"/>
          </w:tcPr>
          <w:p>
            <w:pPr/>
          </w:p>
        </w:tc>
        <w:tc>
          <w:tcPr>
            <w:tcW w:w="894"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3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240" w:lineRule="auto" w:before="77"/>
              <w:ind w:left="34" w:right="0"/>
              <w:jc w:val="left"/>
              <w:rPr>
                <w:rFonts w:ascii="宋体" w:hAnsi="宋体" w:cs="宋体" w:eastAsia="宋体" w:hint="default"/>
                <w:sz w:val="18"/>
                <w:szCs w:val="18"/>
              </w:rPr>
            </w:pPr>
            <w:r>
              <w:rPr>
                <w:rFonts w:ascii="宋体" w:hAnsi="宋体" w:cs="宋体" w:eastAsia="宋体" w:hint="default"/>
                <w:sz w:val="18"/>
                <w:szCs w:val="18"/>
              </w:rPr>
              <w:t>（含其他方式）</w:t>
            </w:r>
          </w:p>
        </w:tc>
        <w:tc>
          <w:tcPr>
            <w:tcW w:w="1493" w:type="dxa"/>
            <w:vMerge/>
            <w:tcBorders>
              <w:left w:val="single" w:sz="4" w:space="0" w:color="000000"/>
              <w:right w:val="single" w:sz="4" w:space="0" w:color="000000"/>
            </w:tcBorders>
            <w:shd w:val="clear" w:color="auto" w:fill="D2D2D2"/>
          </w:tcPr>
          <w:p>
            <w:pPr/>
          </w:p>
        </w:tc>
      </w:tr>
      <w:tr>
        <w:trPr>
          <w:trHeight w:val="156" w:hRule="exact"/>
        </w:trPr>
        <w:tc>
          <w:tcPr>
            <w:tcW w:w="463" w:type="dxa"/>
            <w:vMerge w:val="restart"/>
            <w:tcBorders>
              <w:top w:val="nil" w:sz="6" w:space="0" w:color="auto"/>
              <w:left w:val="single" w:sz="4" w:space="0" w:color="000000"/>
              <w:right w:val="single" w:sz="4" w:space="0" w:color="000000"/>
            </w:tcBorders>
            <w:shd w:val="clear" w:color="auto" w:fill="D2D2D2"/>
          </w:tcPr>
          <w:p>
            <w:pPr/>
          </w:p>
        </w:tc>
        <w:tc>
          <w:tcPr>
            <w:tcW w:w="1215" w:type="dxa"/>
            <w:vMerge w:val="restart"/>
            <w:tcBorders>
              <w:top w:val="nil" w:sz="6" w:space="0" w:color="auto"/>
              <w:left w:val="single" w:sz="4" w:space="0" w:color="000000"/>
              <w:right w:val="single" w:sz="4" w:space="0" w:color="000000"/>
            </w:tcBorders>
            <w:shd w:val="clear" w:color="auto" w:fill="D2D2D2"/>
          </w:tcPr>
          <w:p>
            <w:pPr/>
          </w:p>
        </w:tc>
        <w:tc>
          <w:tcPr>
            <w:tcW w:w="1760" w:type="dxa"/>
            <w:vMerge/>
            <w:tcBorders>
              <w:left w:val="single" w:sz="4" w:space="0" w:color="000000"/>
              <w:bottom w:val="nil" w:sz="6" w:space="0" w:color="auto"/>
              <w:right w:val="single" w:sz="4" w:space="0" w:color="000000"/>
            </w:tcBorders>
            <w:shd w:val="clear" w:color="auto" w:fill="D2D2D2"/>
          </w:tcPr>
          <w:p>
            <w:pPr/>
          </w:p>
        </w:tc>
        <w:tc>
          <w:tcPr>
            <w:tcW w:w="1320" w:type="dxa"/>
            <w:vMerge/>
            <w:tcBorders>
              <w:left w:val="single" w:sz="4" w:space="0" w:color="000000"/>
              <w:right w:val="single" w:sz="4" w:space="0" w:color="000000"/>
            </w:tcBorders>
            <w:shd w:val="clear" w:color="auto" w:fill="D2D2D2"/>
          </w:tcPr>
          <w:p>
            <w:pPr/>
          </w:p>
        </w:tc>
        <w:tc>
          <w:tcPr>
            <w:tcW w:w="894"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321" w:type="dxa"/>
            <w:vMerge w:val="restart"/>
            <w:tcBorders>
              <w:top w:val="nil" w:sz="6" w:space="0" w:color="auto"/>
              <w:left w:val="single" w:sz="4" w:space="0" w:color="000000"/>
              <w:right w:val="single" w:sz="4" w:space="0" w:color="000000"/>
            </w:tcBorders>
            <w:shd w:val="clear" w:color="auto" w:fill="D2D2D2"/>
          </w:tcPr>
          <w:p>
            <w:pPr/>
          </w:p>
        </w:tc>
        <w:tc>
          <w:tcPr>
            <w:tcW w:w="1493" w:type="dxa"/>
            <w:vMerge/>
            <w:tcBorders>
              <w:left w:val="single" w:sz="4" w:space="0" w:color="000000"/>
              <w:right w:val="single" w:sz="4" w:space="0" w:color="000000"/>
            </w:tcBorders>
            <w:shd w:val="clear" w:color="auto" w:fill="D2D2D2"/>
          </w:tcPr>
          <w:p>
            <w:pPr/>
          </w:p>
        </w:tc>
      </w:tr>
      <w:tr>
        <w:trPr>
          <w:trHeight w:val="312" w:hRule="exact"/>
        </w:trPr>
        <w:tc>
          <w:tcPr>
            <w:tcW w:w="463" w:type="dxa"/>
            <w:vMerge/>
            <w:tcBorders>
              <w:left w:val="single" w:sz="4" w:space="0" w:color="000000"/>
              <w:right w:val="single" w:sz="4" w:space="0" w:color="000000"/>
            </w:tcBorders>
            <w:shd w:val="clear" w:color="auto" w:fill="D2D2D2"/>
          </w:tcPr>
          <w:p>
            <w:pPr/>
          </w:p>
        </w:tc>
        <w:tc>
          <w:tcPr>
            <w:tcW w:w="1215" w:type="dxa"/>
            <w:vMerge/>
            <w:tcBorders>
              <w:left w:val="single" w:sz="4" w:space="0" w:color="000000"/>
              <w:right w:val="single" w:sz="4" w:space="0" w:color="000000"/>
            </w:tcBorders>
            <w:shd w:val="clear" w:color="auto" w:fill="D2D2D2"/>
          </w:tcPr>
          <w:p>
            <w:pPr/>
          </w:p>
        </w:tc>
        <w:tc>
          <w:tcPr>
            <w:tcW w:w="1760" w:type="dxa"/>
            <w:vMerge w:val="restart"/>
            <w:tcBorders>
              <w:top w:val="nil" w:sz="6" w:space="0" w:color="auto"/>
              <w:left w:val="single" w:sz="4" w:space="0" w:color="000000"/>
              <w:right w:val="single" w:sz="4" w:space="0" w:color="000000"/>
            </w:tcBorders>
            <w:shd w:val="clear" w:color="auto" w:fill="D2D2D2"/>
          </w:tcPr>
          <w:p>
            <w:pPr/>
          </w:p>
        </w:tc>
        <w:tc>
          <w:tcPr>
            <w:tcW w:w="1320" w:type="dxa"/>
            <w:vMerge/>
            <w:tcBorders>
              <w:left w:val="single" w:sz="4" w:space="0" w:color="000000"/>
              <w:bottom w:val="nil" w:sz="6" w:space="0" w:color="auto"/>
              <w:right w:val="single" w:sz="4" w:space="0" w:color="000000"/>
            </w:tcBorders>
            <w:shd w:val="clear" w:color="auto" w:fill="D2D2D2"/>
          </w:tcPr>
          <w:p>
            <w:pPr/>
          </w:p>
        </w:tc>
        <w:tc>
          <w:tcPr>
            <w:tcW w:w="894"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321" w:type="dxa"/>
            <w:vMerge/>
            <w:tcBorders>
              <w:left w:val="single" w:sz="4" w:space="0" w:color="000000"/>
              <w:right w:val="single" w:sz="4" w:space="0" w:color="000000"/>
            </w:tcBorders>
            <w:shd w:val="clear" w:color="auto" w:fill="D2D2D2"/>
          </w:tcPr>
          <w:p>
            <w:pPr/>
          </w:p>
        </w:tc>
        <w:tc>
          <w:tcPr>
            <w:tcW w:w="149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463" w:type="dxa"/>
            <w:vMerge/>
            <w:tcBorders>
              <w:left w:val="single" w:sz="4" w:space="0" w:color="000000"/>
              <w:bottom w:val="single" w:sz="4" w:space="0" w:color="000000"/>
              <w:right w:val="single" w:sz="4" w:space="0" w:color="000000"/>
            </w:tcBorders>
            <w:shd w:val="clear" w:color="auto" w:fill="D2D2D2"/>
          </w:tcPr>
          <w:p>
            <w:pPr/>
          </w:p>
        </w:tc>
        <w:tc>
          <w:tcPr>
            <w:tcW w:w="1215" w:type="dxa"/>
            <w:vMerge/>
            <w:tcBorders>
              <w:left w:val="single" w:sz="4" w:space="0" w:color="000000"/>
              <w:bottom w:val="single" w:sz="4" w:space="0" w:color="000000"/>
              <w:right w:val="single" w:sz="4" w:space="0" w:color="000000"/>
            </w:tcBorders>
            <w:shd w:val="clear" w:color="auto" w:fill="D2D2D2"/>
          </w:tcPr>
          <w:p>
            <w:pPr/>
          </w:p>
        </w:tc>
        <w:tc>
          <w:tcPr>
            <w:tcW w:w="1760" w:type="dxa"/>
            <w:vMerge/>
            <w:tcBorders>
              <w:left w:val="single" w:sz="4" w:space="0" w:color="000000"/>
              <w:bottom w:val="single" w:sz="4" w:space="0" w:color="000000"/>
              <w:right w:val="single" w:sz="4" w:space="0" w:color="000000"/>
            </w:tcBorders>
            <w:shd w:val="clear" w:color="auto" w:fill="D2D2D2"/>
          </w:tcPr>
          <w:p>
            <w:pPr/>
          </w:p>
        </w:tc>
        <w:tc>
          <w:tcPr>
            <w:tcW w:w="1320" w:type="dxa"/>
            <w:tcBorders>
              <w:top w:val="nil" w:sz="6" w:space="0" w:color="auto"/>
              <w:left w:val="single" w:sz="4" w:space="0" w:color="000000"/>
              <w:bottom w:val="single" w:sz="4" w:space="0" w:color="000000"/>
              <w:right w:val="single" w:sz="4" w:space="0" w:color="000000"/>
            </w:tcBorders>
            <w:shd w:val="clear" w:color="auto" w:fill="D2D2D2"/>
          </w:tcPr>
          <w:p>
            <w:pPr/>
          </w:p>
        </w:tc>
        <w:tc>
          <w:tcPr>
            <w:tcW w:w="8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321" w:type="dxa"/>
            <w:vMerge/>
            <w:tcBorders>
              <w:left w:val="single" w:sz="4" w:space="0" w:color="000000"/>
              <w:bottom w:val="single" w:sz="4" w:space="0" w:color="000000"/>
              <w:right w:val="single" w:sz="4" w:space="0" w:color="000000"/>
            </w:tcBorders>
            <w:shd w:val="clear" w:color="auto" w:fill="D2D2D2"/>
          </w:tcPr>
          <w:p>
            <w:pPr/>
          </w:p>
        </w:tc>
        <w:tc>
          <w:tcPr>
            <w:tcW w:w="149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11"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2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-841,464,317.58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2" w:right="0"/>
              <w:jc w:val="left"/>
              <w:rPr>
                <w:rFonts w:ascii="Times New Roman" w:hAnsi="Times New Roman" w:cs="Times New Roman" w:eastAsia="Times New Roman" w:hint="default"/>
                <w:sz w:val="18"/>
                <w:szCs w:val="18"/>
              </w:rPr>
            </w:pPr>
            <w:r>
              <w:rPr>
                <w:rFonts w:ascii="Times New Roman"/>
                <w:sz w:val="18"/>
              </w:rPr>
              <w:t>0.00%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6" w:right="0"/>
              <w:jc w:val="lef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t>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3" w:type="dxa"/>
        <w:tblLayout w:type="fixed"/>
        <w:tblCellMar>
          <w:top w:w="0" w:type="dxa"/>
          <w:left w:w="0" w:type="dxa"/>
          <w:bottom w:w="0" w:type="dxa"/>
          <w:right w:w="0" w:type="dxa"/>
        </w:tblCellMar>
        <w:tblLook w:val="01E0"/>
      </w:tblPr>
      <w:tblGrid>
        <w:gridCol w:w="463"/>
        <w:gridCol w:w="1215"/>
        <w:gridCol w:w="1760"/>
        <w:gridCol w:w="1320"/>
        <w:gridCol w:w="894"/>
        <w:gridCol w:w="1218"/>
        <w:gridCol w:w="1298"/>
        <w:gridCol w:w="1516"/>
      </w:tblGrid>
      <w:tr>
        <w:trPr>
          <w:trHeight w:val="161" w:hRule="exact"/>
        </w:trPr>
        <w:tc>
          <w:tcPr>
            <w:tcW w:w="463" w:type="dxa"/>
            <w:vMerge w:val="restart"/>
            <w:tcBorders>
              <w:top w:val="single" w:sz="4" w:space="0" w:color="000000"/>
              <w:left w:val="single" w:sz="4" w:space="0" w:color="000000"/>
              <w:right w:val="single" w:sz="4" w:space="0" w:color="000000"/>
            </w:tcBorders>
            <w:shd w:val="clear" w:color="auto" w:fill="D2D2D2"/>
          </w:tcPr>
          <w:p>
            <w:pPr/>
          </w:p>
        </w:tc>
        <w:tc>
          <w:tcPr>
            <w:tcW w:w="1215" w:type="dxa"/>
            <w:vMerge w:val="restart"/>
            <w:tcBorders>
              <w:top w:val="single" w:sz="4" w:space="0" w:color="000000"/>
              <w:left w:val="single" w:sz="4" w:space="0" w:color="000000"/>
              <w:right w:val="single" w:sz="4" w:space="0" w:color="000000"/>
            </w:tcBorders>
            <w:shd w:val="clear" w:color="auto" w:fill="D2D2D2"/>
          </w:tcPr>
          <w:p>
            <w:pPr/>
          </w:p>
        </w:tc>
        <w:tc>
          <w:tcPr>
            <w:tcW w:w="1760" w:type="dxa"/>
            <w:vMerge w:val="restart"/>
            <w:tcBorders>
              <w:top w:val="single" w:sz="4" w:space="0" w:color="000000"/>
              <w:left w:val="single" w:sz="4" w:space="0" w:color="000000"/>
              <w:right w:val="single" w:sz="4" w:space="0" w:color="000000"/>
            </w:tcBorders>
            <w:shd w:val="clear" w:color="auto" w:fill="D2D2D2"/>
          </w:tcPr>
          <w:p>
            <w:pPr/>
          </w:p>
        </w:tc>
        <w:tc>
          <w:tcPr>
            <w:tcW w:w="1320" w:type="dxa"/>
            <w:tcBorders>
              <w:top w:val="single" w:sz="4" w:space="0" w:color="000000"/>
              <w:left w:val="single" w:sz="4" w:space="0" w:color="000000"/>
              <w:bottom w:val="nil" w:sz="6" w:space="0" w:color="auto"/>
              <w:right w:val="single" w:sz="4" w:space="0" w:color="000000"/>
            </w:tcBorders>
            <w:shd w:val="clear" w:color="auto" w:fill="D2D2D2"/>
          </w:tcPr>
          <w:p>
            <w:pPr/>
          </w:p>
        </w:tc>
        <w:tc>
          <w:tcPr>
            <w:tcW w:w="8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3" w:right="62"/>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98" w:type="dxa"/>
            <w:vMerge w:val="restart"/>
            <w:tcBorders>
              <w:top w:val="single" w:sz="4" w:space="0" w:color="000000"/>
              <w:left w:val="single" w:sz="4" w:space="0" w:color="000000"/>
              <w:right w:val="single" w:sz="4" w:space="0" w:color="000000"/>
            </w:tcBorders>
            <w:shd w:val="clear" w:color="auto" w:fill="D2D2D2"/>
          </w:tcPr>
          <w:p>
            <w:pPr/>
          </w:p>
        </w:tc>
        <w:tc>
          <w:tcPr>
            <w:tcW w:w="15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463" w:type="dxa"/>
            <w:vMerge/>
            <w:tcBorders>
              <w:left w:val="single" w:sz="4" w:space="0" w:color="000000"/>
              <w:right w:val="single" w:sz="4" w:space="0" w:color="000000"/>
            </w:tcBorders>
            <w:shd w:val="clear" w:color="auto" w:fill="D2D2D2"/>
          </w:tcPr>
          <w:p>
            <w:pPr/>
          </w:p>
        </w:tc>
        <w:tc>
          <w:tcPr>
            <w:tcW w:w="1215" w:type="dxa"/>
            <w:vMerge/>
            <w:tcBorders>
              <w:left w:val="single" w:sz="4" w:space="0" w:color="000000"/>
              <w:right w:val="single" w:sz="4" w:space="0" w:color="000000"/>
            </w:tcBorders>
            <w:shd w:val="clear" w:color="auto" w:fill="D2D2D2"/>
          </w:tcPr>
          <w:p>
            <w:pPr/>
          </w:p>
        </w:tc>
        <w:tc>
          <w:tcPr>
            <w:tcW w:w="1760" w:type="dxa"/>
            <w:vMerge/>
            <w:tcBorders>
              <w:left w:val="single" w:sz="4" w:space="0" w:color="000000"/>
              <w:bottom w:val="nil" w:sz="6" w:space="0" w:color="auto"/>
              <w:right w:val="single" w:sz="4" w:space="0" w:color="000000"/>
            </w:tcBorders>
            <w:shd w:val="clear" w:color="auto" w:fill="D2D2D2"/>
          </w:tcPr>
          <w:p>
            <w:pPr/>
          </w:p>
        </w:tc>
        <w:tc>
          <w:tcPr>
            <w:tcW w:w="132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4" w:right="24"/>
              <w:jc w:val="center"/>
              <w:rPr>
                <w:rFonts w:ascii="宋体" w:hAnsi="宋体" w:cs="宋体" w:eastAsia="宋体" w:hint="default"/>
                <w:sz w:val="18"/>
                <w:szCs w:val="18"/>
              </w:rPr>
            </w:pPr>
            <w:r>
              <w:rPr>
                <w:rFonts w:ascii="宋体" w:hAnsi="宋体" w:cs="宋体" w:eastAsia="宋体" w:hint="default"/>
                <w:sz w:val="18"/>
                <w:szCs w:val="18"/>
              </w:rPr>
              <w:t>现金分红金额占 合并报表中归属 于上市公司普通 股股东的净利润 的比率</w:t>
            </w:r>
          </w:p>
        </w:tc>
        <w:tc>
          <w:tcPr>
            <w:tcW w:w="8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22"/>
              <w:jc w:val="center"/>
              <w:rPr>
                <w:rFonts w:ascii="宋体" w:hAnsi="宋体" w:cs="宋体" w:eastAsia="宋体" w:hint="default"/>
                <w:sz w:val="18"/>
                <w:szCs w:val="18"/>
              </w:rPr>
            </w:pPr>
            <w:r>
              <w:rPr>
                <w:rFonts w:ascii="宋体" w:hAnsi="宋体" w:cs="宋体" w:eastAsia="宋体" w:hint="default"/>
                <w:sz w:val="18"/>
                <w:szCs w:val="18"/>
              </w:rPr>
              <w:t>以其他方 </w:t>
            </w:r>
            <w:r>
              <w:rPr>
                <w:rFonts w:ascii="宋体" w:hAnsi="宋体" w:cs="宋体" w:eastAsia="宋体" w:hint="default"/>
                <w:spacing w:val="-13"/>
                <w:sz w:val="18"/>
                <w:szCs w:val="18"/>
              </w:rPr>
              <w:t>式（如回购</w:t>
            </w:r>
            <w:r>
              <w:rPr>
                <w:rFonts w:ascii="宋体" w:hAnsi="宋体" w:cs="宋体" w:eastAsia="宋体" w:hint="default"/>
                <w:sz w:val="18"/>
                <w:szCs w:val="18"/>
              </w:rPr>
              <w:t> </w:t>
            </w:r>
            <w:r>
              <w:rPr>
                <w:rFonts w:ascii="宋体" w:hAnsi="宋体" w:cs="宋体" w:eastAsia="宋体" w:hint="default"/>
                <w:spacing w:val="-13"/>
                <w:sz w:val="18"/>
                <w:szCs w:val="18"/>
              </w:rPr>
              <w:t>股份）现金</w:t>
            </w:r>
            <w:r>
              <w:rPr>
                <w:rFonts w:ascii="宋体" w:hAnsi="宋体" w:cs="宋体" w:eastAsia="宋体" w:hint="default"/>
                <w:sz w:val="18"/>
                <w:szCs w:val="18"/>
              </w:rPr>
              <w:t> 分红的金 额</w:t>
            </w:r>
          </w:p>
        </w:tc>
        <w:tc>
          <w:tcPr>
            <w:tcW w:w="1218" w:type="dxa"/>
            <w:vMerge/>
            <w:tcBorders>
              <w:left w:val="single" w:sz="4" w:space="0" w:color="000000"/>
              <w:right w:val="single" w:sz="4" w:space="0" w:color="000000"/>
            </w:tcBorders>
            <w:shd w:val="clear" w:color="auto" w:fill="D2D2D2"/>
          </w:tcPr>
          <w:p>
            <w:pPr/>
          </w:p>
        </w:tc>
        <w:tc>
          <w:tcPr>
            <w:tcW w:w="1298" w:type="dxa"/>
            <w:vMerge/>
            <w:tcBorders>
              <w:left w:val="single" w:sz="4" w:space="0" w:color="000000"/>
              <w:right w:val="single" w:sz="4" w:space="0" w:color="000000"/>
            </w:tcBorders>
            <w:shd w:val="clear" w:color="auto" w:fill="D2D2D2"/>
          </w:tcPr>
          <w:p>
            <w:pPr/>
          </w:p>
        </w:tc>
        <w:tc>
          <w:tcPr>
            <w:tcW w:w="151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32" w:right="31"/>
              <w:jc w:val="center"/>
              <w:rPr>
                <w:rFonts w:ascii="宋体" w:hAnsi="宋体" w:cs="宋体" w:eastAsia="宋体" w:hint="default"/>
                <w:sz w:val="18"/>
                <w:szCs w:val="18"/>
              </w:rPr>
            </w:pPr>
            <w:r>
              <w:rPr>
                <w:rFonts w:ascii="宋体" w:hAnsi="宋体" w:cs="宋体" w:eastAsia="宋体" w:hint="default"/>
                <w:sz w:val="18"/>
                <w:szCs w:val="18"/>
              </w:rPr>
              <w:t>现金分红总额（含 其他方式）占合并 报表中归属于上市 公司普通股股东的 净利润的比率</w:t>
            </w:r>
          </w:p>
        </w:tc>
      </w:tr>
      <w:tr>
        <w:trPr>
          <w:trHeight w:val="156" w:hRule="exact"/>
        </w:trPr>
        <w:tc>
          <w:tcPr>
            <w:tcW w:w="463" w:type="dxa"/>
            <w:vMerge/>
            <w:tcBorders>
              <w:left w:val="single" w:sz="4" w:space="0" w:color="000000"/>
              <w:bottom w:val="nil" w:sz="6" w:space="0" w:color="auto"/>
              <w:right w:val="single" w:sz="4" w:space="0" w:color="000000"/>
            </w:tcBorders>
            <w:shd w:val="clear" w:color="auto" w:fill="D2D2D2"/>
          </w:tcPr>
          <w:p>
            <w:pPr/>
          </w:p>
        </w:tc>
        <w:tc>
          <w:tcPr>
            <w:tcW w:w="1215" w:type="dxa"/>
            <w:vMerge/>
            <w:tcBorders>
              <w:left w:val="single" w:sz="4" w:space="0" w:color="000000"/>
              <w:bottom w:val="nil" w:sz="6" w:space="0" w:color="auto"/>
              <w:right w:val="single" w:sz="4" w:space="0" w:color="000000"/>
            </w:tcBorders>
            <w:shd w:val="clear" w:color="auto" w:fill="D2D2D2"/>
          </w:tcPr>
          <w:p>
            <w:pPr/>
          </w:p>
        </w:tc>
        <w:tc>
          <w:tcPr>
            <w:tcW w:w="176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4" w:right="65"/>
              <w:jc w:val="center"/>
              <w:rPr>
                <w:rFonts w:ascii="宋体" w:hAnsi="宋体" w:cs="宋体" w:eastAsia="宋体" w:hint="default"/>
                <w:sz w:val="18"/>
                <w:szCs w:val="18"/>
              </w:rPr>
            </w:pPr>
            <w:r>
              <w:rPr>
                <w:rFonts w:ascii="宋体" w:hAnsi="宋体" w:cs="宋体" w:eastAsia="宋体" w:hint="default"/>
                <w:sz w:val="18"/>
                <w:szCs w:val="18"/>
              </w:rPr>
              <w:t>分红年度合并报表中 归属于上市公司普通 股股东的净利润</w:t>
            </w:r>
          </w:p>
        </w:tc>
        <w:tc>
          <w:tcPr>
            <w:tcW w:w="1320" w:type="dxa"/>
            <w:vMerge/>
            <w:tcBorders>
              <w:left w:val="single" w:sz="4" w:space="0" w:color="000000"/>
              <w:right w:val="single" w:sz="4" w:space="0" w:color="000000"/>
            </w:tcBorders>
            <w:shd w:val="clear" w:color="auto" w:fill="D2D2D2"/>
          </w:tcPr>
          <w:p>
            <w:pPr/>
          </w:p>
        </w:tc>
        <w:tc>
          <w:tcPr>
            <w:tcW w:w="894" w:type="dxa"/>
            <w:vMerge/>
            <w:tcBorders>
              <w:left w:val="single" w:sz="4" w:space="0" w:color="000000"/>
              <w:right w:val="single" w:sz="4" w:space="0" w:color="000000"/>
            </w:tcBorders>
            <w:shd w:val="clear" w:color="auto" w:fill="D2D2D2"/>
          </w:tcPr>
          <w:p>
            <w:pPr/>
          </w:p>
        </w:tc>
        <w:tc>
          <w:tcPr>
            <w:tcW w:w="1218" w:type="dxa"/>
            <w:vMerge/>
            <w:tcBorders>
              <w:left w:val="single" w:sz="4" w:space="0" w:color="000000"/>
              <w:right w:val="single" w:sz="4" w:space="0" w:color="000000"/>
            </w:tcBorders>
            <w:shd w:val="clear" w:color="auto" w:fill="D2D2D2"/>
          </w:tcPr>
          <w:p>
            <w:pPr/>
          </w:p>
        </w:tc>
        <w:tc>
          <w:tcPr>
            <w:tcW w:w="1298" w:type="dxa"/>
            <w:vMerge/>
            <w:tcBorders>
              <w:left w:val="single" w:sz="4" w:space="0" w:color="000000"/>
              <w:bottom w:val="nil" w:sz="6" w:space="0" w:color="auto"/>
              <w:right w:val="single" w:sz="4" w:space="0" w:color="000000"/>
            </w:tcBorders>
            <w:shd w:val="clear" w:color="auto" w:fill="D2D2D2"/>
          </w:tcPr>
          <w:p>
            <w:pPr/>
          </w:p>
        </w:tc>
        <w:tc>
          <w:tcPr>
            <w:tcW w:w="1516" w:type="dxa"/>
            <w:vMerge/>
            <w:tcBorders>
              <w:left w:val="single" w:sz="4" w:space="0" w:color="000000"/>
              <w:right w:val="single" w:sz="4" w:space="0" w:color="000000"/>
            </w:tcBorders>
            <w:shd w:val="clear" w:color="auto" w:fill="D2D2D2"/>
          </w:tcPr>
          <w:p>
            <w:pPr/>
          </w:p>
        </w:tc>
      </w:tr>
      <w:tr>
        <w:trPr>
          <w:trHeight w:val="704" w:hRule="exact"/>
        </w:trPr>
        <w:tc>
          <w:tcPr>
            <w:tcW w:w="4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40" w:right="50"/>
              <w:jc w:val="left"/>
              <w:rPr>
                <w:rFonts w:ascii="宋体" w:hAnsi="宋体" w:cs="宋体" w:eastAsia="宋体" w:hint="default"/>
                <w:sz w:val="18"/>
                <w:szCs w:val="18"/>
              </w:rPr>
            </w:pPr>
            <w:r>
              <w:rPr>
                <w:rFonts w:ascii="宋体" w:hAnsi="宋体" w:cs="宋体" w:eastAsia="宋体" w:hint="default"/>
                <w:sz w:val="18"/>
                <w:szCs w:val="18"/>
              </w:rPr>
              <w:t>分红 年度</w:t>
            </w:r>
          </w:p>
        </w:tc>
        <w:tc>
          <w:tcPr>
            <w:tcW w:w="12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760" w:type="dxa"/>
            <w:vMerge/>
            <w:tcBorders>
              <w:left w:val="single" w:sz="4" w:space="0" w:color="000000"/>
              <w:right w:val="single" w:sz="4" w:space="0" w:color="000000"/>
            </w:tcBorders>
            <w:shd w:val="clear" w:color="auto" w:fill="D2D2D2"/>
          </w:tcPr>
          <w:p>
            <w:pPr/>
          </w:p>
        </w:tc>
        <w:tc>
          <w:tcPr>
            <w:tcW w:w="1320" w:type="dxa"/>
            <w:vMerge/>
            <w:tcBorders>
              <w:left w:val="single" w:sz="4" w:space="0" w:color="000000"/>
              <w:right w:val="single" w:sz="4" w:space="0" w:color="000000"/>
            </w:tcBorders>
            <w:shd w:val="clear" w:color="auto" w:fill="D2D2D2"/>
          </w:tcPr>
          <w:p>
            <w:pPr/>
          </w:p>
        </w:tc>
        <w:tc>
          <w:tcPr>
            <w:tcW w:w="894" w:type="dxa"/>
            <w:vMerge/>
            <w:tcBorders>
              <w:left w:val="single" w:sz="4" w:space="0" w:color="000000"/>
              <w:right w:val="single" w:sz="4" w:space="0" w:color="000000"/>
            </w:tcBorders>
            <w:shd w:val="clear" w:color="auto" w:fill="D2D2D2"/>
          </w:tcPr>
          <w:p>
            <w:pPr/>
          </w:p>
        </w:tc>
        <w:tc>
          <w:tcPr>
            <w:tcW w:w="1218" w:type="dxa"/>
            <w:vMerge/>
            <w:tcBorders>
              <w:left w:val="single" w:sz="4" w:space="0" w:color="000000"/>
              <w:right w:val="single" w:sz="4" w:space="0" w:color="000000"/>
            </w:tcBorders>
            <w:shd w:val="clear" w:color="auto" w:fill="D2D2D2"/>
          </w:tcPr>
          <w:p>
            <w:pPr/>
          </w:p>
        </w:tc>
        <w:tc>
          <w:tcPr>
            <w:tcW w:w="12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（含其他方式）</w:t>
            </w:r>
          </w:p>
        </w:tc>
        <w:tc>
          <w:tcPr>
            <w:tcW w:w="1516" w:type="dxa"/>
            <w:vMerge/>
            <w:tcBorders>
              <w:left w:val="single" w:sz="4" w:space="0" w:color="000000"/>
              <w:right w:val="single" w:sz="4" w:space="0" w:color="000000"/>
            </w:tcBorders>
            <w:shd w:val="clear" w:color="auto" w:fill="D2D2D2"/>
          </w:tcPr>
          <w:p>
            <w:pPr/>
          </w:p>
        </w:tc>
      </w:tr>
      <w:tr>
        <w:trPr>
          <w:trHeight w:val="156" w:hRule="exact"/>
        </w:trPr>
        <w:tc>
          <w:tcPr>
            <w:tcW w:w="463" w:type="dxa"/>
            <w:vMerge w:val="restart"/>
            <w:tcBorders>
              <w:top w:val="nil" w:sz="6" w:space="0" w:color="auto"/>
              <w:left w:val="single" w:sz="4" w:space="0" w:color="000000"/>
              <w:right w:val="single" w:sz="4" w:space="0" w:color="000000"/>
            </w:tcBorders>
            <w:shd w:val="clear" w:color="auto" w:fill="D2D2D2"/>
          </w:tcPr>
          <w:p>
            <w:pPr/>
          </w:p>
        </w:tc>
        <w:tc>
          <w:tcPr>
            <w:tcW w:w="1215" w:type="dxa"/>
            <w:vMerge w:val="restart"/>
            <w:tcBorders>
              <w:top w:val="nil" w:sz="6" w:space="0" w:color="auto"/>
              <w:left w:val="single" w:sz="4" w:space="0" w:color="000000"/>
              <w:right w:val="single" w:sz="4" w:space="0" w:color="000000"/>
            </w:tcBorders>
            <w:shd w:val="clear" w:color="auto" w:fill="D2D2D2"/>
          </w:tcPr>
          <w:p>
            <w:pPr/>
          </w:p>
        </w:tc>
        <w:tc>
          <w:tcPr>
            <w:tcW w:w="1760" w:type="dxa"/>
            <w:vMerge/>
            <w:tcBorders>
              <w:left w:val="single" w:sz="4" w:space="0" w:color="000000"/>
              <w:bottom w:val="nil" w:sz="6" w:space="0" w:color="auto"/>
              <w:right w:val="single" w:sz="4" w:space="0" w:color="000000"/>
            </w:tcBorders>
            <w:shd w:val="clear" w:color="auto" w:fill="D2D2D2"/>
          </w:tcPr>
          <w:p>
            <w:pPr/>
          </w:p>
        </w:tc>
        <w:tc>
          <w:tcPr>
            <w:tcW w:w="1320" w:type="dxa"/>
            <w:vMerge/>
            <w:tcBorders>
              <w:left w:val="single" w:sz="4" w:space="0" w:color="000000"/>
              <w:right w:val="single" w:sz="4" w:space="0" w:color="000000"/>
            </w:tcBorders>
            <w:shd w:val="clear" w:color="auto" w:fill="D2D2D2"/>
          </w:tcPr>
          <w:p>
            <w:pPr/>
          </w:p>
        </w:tc>
        <w:tc>
          <w:tcPr>
            <w:tcW w:w="894" w:type="dxa"/>
            <w:vMerge/>
            <w:tcBorders>
              <w:left w:val="single" w:sz="4" w:space="0" w:color="000000"/>
              <w:right w:val="single" w:sz="4" w:space="0" w:color="000000"/>
            </w:tcBorders>
            <w:shd w:val="clear" w:color="auto" w:fill="D2D2D2"/>
          </w:tcPr>
          <w:p>
            <w:pPr/>
          </w:p>
        </w:tc>
        <w:tc>
          <w:tcPr>
            <w:tcW w:w="1218" w:type="dxa"/>
            <w:vMerge/>
            <w:tcBorders>
              <w:left w:val="single" w:sz="4" w:space="0" w:color="000000"/>
              <w:right w:val="single" w:sz="4" w:space="0" w:color="000000"/>
            </w:tcBorders>
            <w:shd w:val="clear" w:color="auto" w:fill="D2D2D2"/>
          </w:tcPr>
          <w:p>
            <w:pPr/>
          </w:p>
        </w:tc>
        <w:tc>
          <w:tcPr>
            <w:tcW w:w="1298" w:type="dxa"/>
            <w:vMerge w:val="restart"/>
            <w:tcBorders>
              <w:top w:val="nil" w:sz="6" w:space="0" w:color="auto"/>
              <w:left w:val="single" w:sz="4" w:space="0" w:color="000000"/>
              <w:right w:val="single" w:sz="4" w:space="0" w:color="000000"/>
            </w:tcBorders>
            <w:shd w:val="clear" w:color="auto" w:fill="D2D2D2"/>
          </w:tcPr>
          <w:p>
            <w:pPr/>
          </w:p>
        </w:tc>
        <w:tc>
          <w:tcPr>
            <w:tcW w:w="1516" w:type="dxa"/>
            <w:vMerge/>
            <w:tcBorders>
              <w:left w:val="single" w:sz="4" w:space="0" w:color="000000"/>
              <w:right w:val="single" w:sz="4" w:space="0" w:color="000000"/>
            </w:tcBorders>
            <w:shd w:val="clear" w:color="auto" w:fill="D2D2D2"/>
          </w:tcPr>
          <w:p>
            <w:pPr/>
          </w:p>
        </w:tc>
      </w:tr>
      <w:tr>
        <w:trPr>
          <w:trHeight w:val="312" w:hRule="exact"/>
        </w:trPr>
        <w:tc>
          <w:tcPr>
            <w:tcW w:w="463" w:type="dxa"/>
            <w:vMerge/>
            <w:tcBorders>
              <w:left w:val="single" w:sz="4" w:space="0" w:color="000000"/>
              <w:right w:val="single" w:sz="4" w:space="0" w:color="000000"/>
            </w:tcBorders>
            <w:shd w:val="clear" w:color="auto" w:fill="D2D2D2"/>
          </w:tcPr>
          <w:p>
            <w:pPr/>
          </w:p>
        </w:tc>
        <w:tc>
          <w:tcPr>
            <w:tcW w:w="1215" w:type="dxa"/>
            <w:vMerge/>
            <w:tcBorders>
              <w:left w:val="single" w:sz="4" w:space="0" w:color="000000"/>
              <w:right w:val="single" w:sz="4" w:space="0" w:color="000000"/>
            </w:tcBorders>
            <w:shd w:val="clear" w:color="auto" w:fill="D2D2D2"/>
          </w:tcPr>
          <w:p>
            <w:pPr/>
          </w:p>
        </w:tc>
        <w:tc>
          <w:tcPr>
            <w:tcW w:w="1760" w:type="dxa"/>
            <w:vMerge w:val="restart"/>
            <w:tcBorders>
              <w:top w:val="nil" w:sz="6" w:space="0" w:color="auto"/>
              <w:left w:val="single" w:sz="4" w:space="0" w:color="000000"/>
              <w:right w:val="single" w:sz="4" w:space="0" w:color="000000"/>
            </w:tcBorders>
            <w:shd w:val="clear" w:color="auto" w:fill="D2D2D2"/>
          </w:tcPr>
          <w:p>
            <w:pPr/>
          </w:p>
        </w:tc>
        <w:tc>
          <w:tcPr>
            <w:tcW w:w="1320" w:type="dxa"/>
            <w:vMerge/>
            <w:tcBorders>
              <w:left w:val="single" w:sz="4" w:space="0" w:color="000000"/>
              <w:bottom w:val="nil" w:sz="6" w:space="0" w:color="auto"/>
              <w:right w:val="single" w:sz="4" w:space="0" w:color="000000"/>
            </w:tcBorders>
            <w:shd w:val="clear" w:color="auto" w:fill="D2D2D2"/>
          </w:tcPr>
          <w:p>
            <w:pPr/>
          </w:p>
        </w:tc>
        <w:tc>
          <w:tcPr>
            <w:tcW w:w="894" w:type="dxa"/>
            <w:vMerge/>
            <w:tcBorders>
              <w:left w:val="single" w:sz="4" w:space="0" w:color="000000"/>
              <w:bottom w:val="nil" w:sz="6" w:space="0" w:color="auto"/>
              <w:right w:val="single" w:sz="4" w:space="0" w:color="000000"/>
            </w:tcBorders>
            <w:shd w:val="clear" w:color="auto" w:fill="D2D2D2"/>
          </w:tcPr>
          <w:p>
            <w:pPr/>
          </w:p>
        </w:tc>
        <w:tc>
          <w:tcPr>
            <w:tcW w:w="1218" w:type="dxa"/>
            <w:vMerge/>
            <w:tcBorders>
              <w:left w:val="single" w:sz="4" w:space="0" w:color="000000"/>
              <w:right w:val="single" w:sz="4" w:space="0" w:color="000000"/>
            </w:tcBorders>
            <w:shd w:val="clear" w:color="auto" w:fill="D2D2D2"/>
          </w:tcPr>
          <w:p>
            <w:pPr/>
          </w:p>
        </w:tc>
        <w:tc>
          <w:tcPr>
            <w:tcW w:w="1298" w:type="dxa"/>
            <w:vMerge/>
            <w:tcBorders>
              <w:left w:val="single" w:sz="4" w:space="0" w:color="000000"/>
              <w:right w:val="single" w:sz="4" w:space="0" w:color="000000"/>
            </w:tcBorders>
            <w:shd w:val="clear" w:color="auto" w:fill="D2D2D2"/>
          </w:tcPr>
          <w:p>
            <w:pPr/>
          </w:p>
        </w:tc>
        <w:tc>
          <w:tcPr>
            <w:tcW w:w="151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463" w:type="dxa"/>
            <w:vMerge/>
            <w:tcBorders>
              <w:left w:val="single" w:sz="4" w:space="0" w:color="000000"/>
              <w:bottom w:val="single" w:sz="4" w:space="0" w:color="000000"/>
              <w:right w:val="single" w:sz="4" w:space="0" w:color="000000"/>
            </w:tcBorders>
            <w:shd w:val="clear" w:color="auto" w:fill="D2D2D2"/>
          </w:tcPr>
          <w:p>
            <w:pPr/>
          </w:p>
        </w:tc>
        <w:tc>
          <w:tcPr>
            <w:tcW w:w="1215" w:type="dxa"/>
            <w:vMerge/>
            <w:tcBorders>
              <w:left w:val="single" w:sz="4" w:space="0" w:color="000000"/>
              <w:bottom w:val="single" w:sz="4" w:space="0" w:color="000000"/>
              <w:right w:val="single" w:sz="4" w:space="0" w:color="000000"/>
            </w:tcBorders>
            <w:shd w:val="clear" w:color="auto" w:fill="D2D2D2"/>
          </w:tcPr>
          <w:p>
            <w:pPr/>
          </w:p>
        </w:tc>
        <w:tc>
          <w:tcPr>
            <w:tcW w:w="1760" w:type="dxa"/>
            <w:vMerge/>
            <w:tcBorders>
              <w:left w:val="single" w:sz="4" w:space="0" w:color="000000"/>
              <w:bottom w:val="single" w:sz="4" w:space="0" w:color="000000"/>
              <w:right w:val="single" w:sz="4" w:space="0" w:color="000000"/>
            </w:tcBorders>
            <w:shd w:val="clear" w:color="auto" w:fill="D2D2D2"/>
          </w:tcPr>
          <w:p>
            <w:pPr/>
          </w:p>
        </w:tc>
        <w:tc>
          <w:tcPr>
            <w:tcW w:w="1320" w:type="dxa"/>
            <w:tcBorders>
              <w:top w:val="nil" w:sz="6" w:space="0" w:color="auto"/>
              <w:left w:val="single" w:sz="4" w:space="0" w:color="000000"/>
              <w:bottom w:val="single" w:sz="4" w:space="0" w:color="000000"/>
              <w:right w:val="single" w:sz="4" w:space="0" w:color="000000"/>
            </w:tcBorders>
            <w:shd w:val="clear" w:color="auto" w:fill="D2D2D2"/>
          </w:tcPr>
          <w:p>
            <w:pPr/>
          </w:p>
        </w:tc>
        <w:tc>
          <w:tcPr>
            <w:tcW w:w="8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8" w:type="dxa"/>
            <w:vMerge/>
            <w:tcBorders>
              <w:left w:val="single" w:sz="4" w:space="0" w:color="000000"/>
              <w:bottom w:val="single" w:sz="4" w:space="0" w:color="000000"/>
              <w:right w:val="single" w:sz="4" w:space="0" w:color="000000"/>
            </w:tcBorders>
            <w:shd w:val="clear" w:color="auto" w:fill="D2D2D2"/>
          </w:tcPr>
          <w:p>
            <w:pPr/>
          </w:p>
        </w:tc>
        <w:tc>
          <w:tcPr>
            <w:tcW w:w="1298" w:type="dxa"/>
            <w:vMerge/>
            <w:tcBorders>
              <w:left w:val="single" w:sz="4" w:space="0" w:color="000000"/>
              <w:bottom w:val="single" w:sz="4" w:space="0" w:color="000000"/>
              <w:right w:val="single" w:sz="4" w:space="0" w:color="000000"/>
            </w:tcBorders>
            <w:shd w:val="clear" w:color="auto" w:fill="D2D2D2"/>
          </w:tcPr>
          <w:p>
            <w:pPr/>
          </w:p>
        </w:tc>
        <w:tc>
          <w:tcPr>
            <w:tcW w:w="15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6"/>
              <w:ind w:left="11"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2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21,313,097.34</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306,943,384.51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6.94%</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1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21,313,097.34</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6.94%</w:t>
            </w:r>
          </w:p>
        </w:tc>
      </w:tr>
      <w:tr>
        <w:trPr>
          <w:trHeight w:val="714" w:hRule="exact"/>
        </w:trPr>
        <w:tc>
          <w:tcPr>
            <w:tcW w:w="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6"/>
              <w:ind w:left="11"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2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16,238,172.96</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218,609,712.88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7.43%</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1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16,238,172.96</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7.43%</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本报告期利润分配及资本公积金转增股本预案情况" w:id="66"/>
      <w:bookmarkEnd w:id="66"/>
      <w:r>
        <w:rPr>
          <w:b w:val="0"/>
          <w:bCs w:val="0"/>
        </w:rPr>
      </w:r>
      <w:r>
        <w:rPr/>
        <w:t>二、本报告期利润分配及资本公积金转增股本预案情况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5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公司计划年度不派发现金红利，不送红股，不以公积金转增股本。</w:t>
      </w:r>
    </w:p>
    <w:p>
      <w:pPr>
        <w:spacing w:after="0" w:line="338" w:lineRule="auto"/>
        <w:jc w:val="left"/>
        <w:sectPr>
          <w:pgSz w:w="11910" w:h="16840"/>
          <w:pgMar w:header="0" w:footer="979" w:top="1060" w:bottom="1160" w:left="980" w:right="0"/>
        </w:sectPr>
      </w:pPr>
    </w:p>
    <w:p>
      <w:pPr>
        <w:pStyle w:val="Heading2"/>
        <w:spacing w:line="240" w:lineRule="auto" w:before="30"/>
        <w:ind w:left="140" w:right="0"/>
        <w:jc w:val="left"/>
        <w:rPr>
          <w:b w:val="0"/>
          <w:bCs w:val="0"/>
        </w:rPr>
      </w:pPr>
      <w:r>
        <w:rPr/>
        <w:pict>
          <v:group style="position:absolute;margin-left:70.5pt;margin-top:2.255627pt;width:701pt;height:.1pt;mso-position-horizontal-relative:page;mso-position-vertical-relative:paragraph;z-index:-1046320" coordorigin="1410,45" coordsize="14020,2">
            <v:shape style="position:absolute;left:1410;top:45;width:14020;height:2" coordorigin="1410,45" coordsize="14020,0" path="m1410,45l15430,45e" filled="false" stroked="true" strokeweight=".72pt" strokecolor="#000000">
              <v:path arrowok="t"/>
            </v:shape>
            <w10:wrap type="none"/>
          </v:group>
        </w:pict>
      </w:r>
      <w:r>
        <w:rPr/>
        <w:pict>
          <v:group style="position:absolute;margin-left:303.5pt;margin-top:419.160004pt;width:32.3pt;height:15.6pt;mso-position-horizontal-relative:page;mso-position-vertical-relative:page;z-index:-1046296" coordorigin="6070,8383" coordsize="646,312">
            <v:shape style="position:absolute;left:6070;top:8383;width:646;height:312" coordorigin="6070,8383" coordsize="646,312" path="m6070,8695l6716,8695,6716,8383,6070,8383,6070,8695xe" filled="true" fillcolor="#ffffff" stroked="false">
              <v:path arrowok="t"/>
              <v:fill type="solid"/>
            </v:shape>
            <w10:wrap type="none"/>
          </v:group>
        </w:pict>
      </w:r>
      <w:bookmarkStart w:name="三、承诺事项履行情况" w:id="67"/>
      <w:bookmarkEnd w:id="67"/>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40" w:right="0"/>
        <w:jc w:val="left"/>
        <w:rPr>
          <w:b w:val="0"/>
          <w:bCs w:val="0"/>
        </w:rPr>
      </w:pPr>
      <w:bookmarkStart w:name="1、公司实际控制人、股东、关联方、收购人以及公司等承诺相关方在报告期内履行完毕及" w:id="68"/>
      <w:bookmarkEnd w:id="68"/>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232"/>
        <w:gridCol w:w="3398"/>
        <w:gridCol w:w="701"/>
        <w:gridCol w:w="4598"/>
        <w:gridCol w:w="563"/>
        <w:gridCol w:w="592"/>
        <w:gridCol w:w="2932"/>
      </w:tblGrid>
      <w:tr>
        <w:trPr>
          <w:trHeight w:val="162" w:hRule="exact"/>
        </w:trPr>
        <w:tc>
          <w:tcPr>
            <w:tcW w:w="1232" w:type="dxa"/>
            <w:tcBorders>
              <w:top w:val="single" w:sz="4" w:space="0" w:color="000000"/>
              <w:left w:val="single" w:sz="4" w:space="0" w:color="000000"/>
              <w:bottom w:val="nil" w:sz="6" w:space="0" w:color="auto"/>
              <w:right w:val="single" w:sz="4" w:space="0" w:color="000000"/>
            </w:tcBorders>
            <w:shd w:val="clear" w:color="auto" w:fill="D2D2D2"/>
          </w:tcPr>
          <w:p>
            <w:pPr/>
          </w:p>
        </w:tc>
        <w:tc>
          <w:tcPr>
            <w:tcW w:w="33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55" w:right="73" w:hanging="180"/>
              <w:jc w:val="left"/>
              <w:rPr>
                <w:rFonts w:ascii="宋体" w:hAnsi="宋体" w:cs="宋体" w:eastAsia="宋体" w:hint="default"/>
                <w:sz w:val="18"/>
                <w:szCs w:val="18"/>
              </w:rPr>
            </w:pPr>
            <w:r>
              <w:rPr>
                <w:rFonts w:ascii="宋体" w:hAnsi="宋体" w:cs="宋体" w:eastAsia="宋体" w:hint="default"/>
                <w:sz w:val="18"/>
                <w:szCs w:val="18"/>
              </w:rPr>
              <w:t>承诺类 型</w:t>
            </w:r>
          </w:p>
        </w:tc>
        <w:tc>
          <w:tcPr>
            <w:tcW w:w="4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96" w:right="95"/>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 w:right="109"/>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29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2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33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701" w:type="dxa"/>
            <w:vMerge/>
            <w:tcBorders>
              <w:left w:val="single" w:sz="4" w:space="0" w:color="000000"/>
              <w:right w:val="single" w:sz="4" w:space="0" w:color="000000"/>
            </w:tcBorders>
            <w:shd w:val="clear" w:color="auto" w:fill="D2D2D2"/>
          </w:tcPr>
          <w:p>
            <w:pPr/>
          </w:p>
        </w:tc>
        <w:tc>
          <w:tcPr>
            <w:tcW w:w="4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63" w:type="dxa"/>
            <w:vMerge/>
            <w:tcBorders>
              <w:left w:val="single" w:sz="4" w:space="0" w:color="000000"/>
              <w:right w:val="single" w:sz="4" w:space="0" w:color="000000"/>
            </w:tcBorders>
            <w:shd w:val="clear" w:color="auto" w:fill="D2D2D2"/>
          </w:tcPr>
          <w:p>
            <w:pPr/>
          </w:p>
        </w:tc>
        <w:tc>
          <w:tcPr>
            <w:tcW w:w="592" w:type="dxa"/>
            <w:vMerge/>
            <w:tcBorders>
              <w:left w:val="single" w:sz="4" w:space="0" w:color="000000"/>
              <w:right w:val="single" w:sz="4" w:space="0" w:color="000000"/>
            </w:tcBorders>
            <w:shd w:val="clear" w:color="auto" w:fill="D2D2D2"/>
          </w:tcPr>
          <w:p>
            <w:pPr/>
          </w:p>
        </w:tc>
        <w:tc>
          <w:tcPr>
            <w:tcW w:w="2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1" w:hRule="exact"/>
        </w:trPr>
        <w:tc>
          <w:tcPr>
            <w:tcW w:w="1232" w:type="dxa"/>
            <w:tcBorders>
              <w:top w:val="nil" w:sz="6" w:space="0" w:color="auto"/>
              <w:left w:val="single" w:sz="4" w:space="0" w:color="000000"/>
              <w:bottom w:val="single" w:sz="4" w:space="0" w:color="000000"/>
              <w:right w:val="single" w:sz="4" w:space="0" w:color="000000"/>
            </w:tcBorders>
            <w:shd w:val="clear" w:color="auto" w:fill="D2D2D2"/>
          </w:tcPr>
          <w:p>
            <w:pPr/>
          </w:p>
        </w:tc>
        <w:tc>
          <w:tcPr>
            <w:tcW w:w="33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vMerge/>
            <w:tcBorders>
              <w:left w:val="single" w:sz="4" w:space="0" w:color="000000"/>
              <w:bottom w:val="single" w:sz="4" w:space="0" w:color="000000"/>
              <w:right w:val="single" w:sz="4" w:space="0" w:color="000000"/>
            </w:tcBorders>
            <w:shd w:val="clear" w:color="auto" w:fill="D2D2D2"/>
          </w:tcPr>
          <w:p>
            <w:pPr/>
          </w:p>
        </w:tc>
        <w:tc>
          <w:tcPr>
            <w:tcW w:w="4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92" w:type="dxa"/>
            <w:vMerge/>
            <w:tcBorders>
              <w:left w:val="single" w:sz="4" w:space="0" w:color="000000"/>
              <w:bottom w:val="single" w:sz="4" w:space="0" w:color="000000"/>
              <w:right w:val="single" w:sz="4" w:space="0" w:color="000000"/>
            </w:tcBorders>
            <w:shd w:val="clear" w:color="auto" w:fill="D2D2D2"/>
          </w:tcPr>
          <w:p>
            <w:pPr/>
          </w:p>
        </w:tc>
        <w:tc>
          <w:tcPr>
            <w:tcW w:w="293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10" w:hRule="exact"/>
        </w:trPr>
        <w:tc>
          <w:tcPr>
            <w:tcW w:w="1232" w:type="dxa"/>
            <w:tcBorders>
              <w:top w:val="single" w:sz="4" w:space="0" w:color="000000"/>
              <w:left w:val="single" w:sz="4" w:space="0" w:color="000000"/>
              <w:bottom w:val="nil" w:sz="6" w:space="0" w:color="auto"/>
              <w:right w:val="single" w:sz="4" w:space="0" w:color="000000"/>
            </w:tcBorders>
            <w:shd w:val="clear" w:color="auto" w:fill="D2D2D2"/>
          </w:tcPr>
          <w:p>
            <w:pPr/>
          </w:p>
        </w:tc>
        <w:tc>
          <w:tcPr>
            <w:tcW w:w="33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黄家骁（即转让方）</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2" w:right="126"/>
              <w:jc w:val="both"/>
              <w:rPr>
                <w:rFonts w:ascii="宋体" w:hAnsi="宋体" w:cs="宋体" w:eastAsia="宋体" w:hint="default"/>
                <w:sz w:val="18"/>
                <w:szCs w:val="18"/>
              </w:rPr>
            </w:pPr>
            <w:r>
              <w:rPr>
                <w:rFonts w:ascii="宋体" w:hAnsi="宋体" w:cs="宋体" w:eastAsia="宋体" w:hint="default"/>
                <w:sz w:val="18"/>
                <w:szCs w:val="18"/>
              </w:rPr>
              <w:t>业绩承 诺及补 偿安排</w:t>
            </w:r>
          </w:p>
        </w:tc>
        <w:tc>
          <w:tcPr>
            <w:tcW w:w="45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63"/>
              <w:jc w:val="both"/>
              <w:rPr>
                <w:rFonts w:ascii="宋体" w:hAnsi="宋体" w:cs="宋体" w:eastAsia="宋体" w:hint="default"/>
                <w:sz w:val="18"/>
                <w:szCs w:val="18"/>
              </w:rPr>
            </w:pPr>
            <w:r>
              <w:rPr>
                <w:rFonts w:ascii="宋体" w:hAnsi="宋体" w:cs="宋体" w:eastAsia="宋体" w:hint="default"/>
                <w:sz w:val="18"/>
                <w:szCs w:val="18"/>
              </w:rPr>
              <w:t>①上海移通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年度实现的合并 税后净利润分别不低于人民币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10,400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 </w:t>
            </w:r>
            <w:r>
              <w:rPr>
                <w:rFonts w:ascii="Times New Roman" w:hAnsi="Times New Roman" w:cs="Times New Roman" w:eastAsia="Times New Roman" w:hint="default"/>
                <w:sz w:val="18"/>
                <w:szCs w:val="18"/>
              </w:rPr>
              <w:t>13,500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万元，即三年承诺实现税后净利润总额不低于人民</w:t>
            </w:r>
          </w:p>
          <w:p>
            <w:pPr>
              <w:pStyle w:val="TableParagraph"/>
              <w:spacing w:line="314" w:lineRule="auto" w:before="13"/>
              <w:ind w:left="22" w:right="22"/>
              <w:jc w:val="both"/>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31,900</w:t>
            </w:r>
            <w:r>
              <w:rPr>
                <w:rFonts w:ascii="Times New Roman" w:hAnsi="Times New Roman" w:cs="Times New Roman" w:eastAsia="Times New Roman" w:hint="default"/>
                <w:spacing w:val="4"/>
                <w:sz w:val="18"/>
                <w:szCs w:val="18"/>
              </w:rPr>
              <w:t> </w:t>
            </w:r>
            <w:r>
              <w:rPr>
                <w:rFonts w:ascii="宋体" w:hAnsi="宋体" w:cs="宋体" w:eastAsia="宋体" w:hint="default"/>
                <w:spacing w:val="-9"/>
                <w:sz w:val="18"/>
                <w:szCs w:val="18"/>
              </w:rPr>
              <w:t>万元（前述税后净利润以会计师事务所出具的《专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项审核报告》中上海移通合并报表归属于母公司股东的净 利润与扣除非经常性损益后归属于母公司股东的净利润中 孰低者为计算依据。②上海移通业绩承诺期限内任何年度 截至当年期末，累计实际实现税后净利润少于截至当年期 末累计承诺金额，则转让方应于该年度上海移通专项审计 报告出具后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个月内向受让方支付业绩补偿</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7"/>
              <w:jc w:val="left"/>
              <w:rPr>
                <w:rFonts w:ascii="宋体" w:hAnsi="宋体" w:cs="宋体" w:eastAsia="宋体" w:hint="default"/>
                <w:sz w:val="18"/>
                <w:szCs w:val="18"/>
              </w:rPr>
            </w:pPr>
            <w:r>
              <w:rPr>
                <w:rFonts w:ascii="宋体" w:hAnsi="宋体" w:cs="宋体" w:eastAsia="宋体" w:hint="default"/>
                <w:sz w:val="18"/>
                <w:szCs w:val="18"/>
              </w:rPr>
              <w:t>针对上海移通出现的不法情况，公司 已及时报案。并将根据协议的相关规 定，积极采取措施进行追偿，但受公 安机关案件调查及、债权债务纠纷、 业绩补偿承诺方个人履约意愿及履 约能力的影响，不排除公司主张业绩 补偿方履约赔偿时可能遇到障碍。</w:t>
            </w:r>
          </w:p>
        </w:tc>
      </w:tr>
      <w:tr>
        <w:trPr>
          <w:trHeight w:val="644" w:hRule="exact"/>
        </w:trPr>
        <w:tc>
          <w:tcPr>
            <w:tcW w:w="12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3398" w:type="dxa"/>
            <w:vMerge w:val="restart"/>
            <w:tcBorders>
              <w:top w:val="single" w:sz="4" w:space="0" w:color="000000"/>
              <w:left w:val="single" w:sz="9" w:space="0" w:color="D2D2D2"/>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16" w:right="-40"/>
              <w:jc w:val="left"/>
              <w:rPr>
                <w:rFonts w:ascii="宋体" w:hAnsi="宋体" w:cs="宋体" w:eastAsia="宋体" w:hint="default"/>
                <w:sz w:val="18"/>
                <w:szCs w:val="18"/>
              </w:rPr>
            </w:pPr>
            <w:r>
              <w:rPr>
                <w:rFonts w:ascii="宋体" w:hAnsi="宋体" w:cs="宋体" w:eastAsia="宋体" w:hint="default"/>
                <w:spacing w:val="-2"/>
                <w:sz w:val="18"/>
                <w:szCs w:val="18"/>
              </w:rPr>
              <w:t>沈栋梁、郝欣诚、顾瀚博（即补偿义务人）</w:t>
            </w:r>
            <w:r>
              <w:rPr>
                <w:rFonts w:ascii="宋体" w:hAnsi="宋体" w:cs="宋体" w:eastAsia="宋体" w:hint="default"/>
                <w:sz w:val="18"/>
                <w:szCs w:val="18"/>
              </w:rPr>
            </w:r>
          </w:p>
        </w:tc>
        <w:tc>
          <w:tcPr>
            <w:tcW w:w="701"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16" w:right="126"/>
              <w:jc w:val="both"/>
              <w:rPr>
                <w:rFonts w:ascii="宋体" w:hAnsi="宋体" w:cs="宋体" w:eastAsia="宋体" w:hint="default"/>
                <w:sz w:val="18"/>
                <w:szCs w:val="18"/>
              </w:rPr>
            </w:pPr>
            <w:r>
              <w:rPr>
                <w:rFonts w:ascii="宋体" w:hAnsi="宋体" w:cs="宋体" w:eastAsia="宋体" w:hint="default"/>
                <w:sz w:val="18"/>
                <w:szCs w:val="18"/>
              </w:rPr>
              <w:t>业绩承 诺及补 偿安排</w:t>
            </w:r>
          </w:p>
        </w:tc>
        <w:tc>
          <w:tcPr>
            <w:tcW w:w="4598" w:type="dxa"/>
            <w:vMerge w:val="restart"/>
            <w:tcBorders>
              <w:top w:val="single" w:sz="4" w:space="0" w:color="000000"/>
              <w:left w:val="single" w:sz="4" w:space="0" w:color="000000"/>
              <w:right w:val="single" w:sz="4" w:space="0" w:color="000000"/>
            </w:tcBorders>
          </w:tcPr>
          <w:p>
            <w:pPr>
              <w:pStyle w:val="TableParagraph"/>
              <w:spacing w:line="312" w:lineRule="auto" w:before="52"/>
              <w:ind w:left="22" w:right="22"/>
              <w:jc w:val="both"/>
              <w:rPr>
                <w:rFonts w:ascii="宋体" w:hAnsi="宋体" w:cs="宋体" w:eastAsia="宋体" w:hint="default"/>
                <w:sz w:val="18"/>
                <w:szCs w:val="18"/>
              </w:rPr>
            </w:pPr>
            <w:r>
              <w:rPr>
                <w:rFonts w:ascii="宋体" w:hAnsi="宋体" w:cs="宋体" w:eastAsia="宋体" w:hint="default"/>
                <w:sz w:val="18"/>
                <w:szCs w:val="18"/>
              </w:rPr>
              <w:t>①业绩补偿期内，瑞意恒动每年度实现的经审计的合并报 表口径下归属于母公司股东的净利润（以扣除非经常性损 益前后孰低者为准）</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年度分 别不低于人民币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1,950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万元。如 瑞意恒动在业绩承诺期间经审计的累计实际实现净利润数 不足承诺净利润的，则由补偿义务人以现金方式补偿。② </w:t>
            </w:r>
            <w:r>
              <w:rPr>
                <w:rFonts w:ascii="宋体" w:hAnsi="宋体" w:cs="宋体" w:eastAsia="宋体" w:hint="default"/>
                <w:spacing w:val="-6"/>
                <w:sz w:val="18"/>
                <w:szCs w:val="18"/>
              </w:rPr>
              <w:t>补偿义务人承诺，瑞意恒动截至基准日的所有应收账款（以</w:t>
            </w:r>
          </w:p>
          <w:p>
            <w:pPr>
              <w:pStyle w:val="TableParagraph"/>
              <w:spacing w:line="240" w:lineRule="auto" w:before="22"/>
              <w:ind w:left="22" w:right="0"/>
              <w:jc w:val="both"/>
              <w:rPr>
                <w:rFonts w:ascii="宋体" w:hAnsi="宋体" w:cs="宋体" w:eastAsia="宋体" w:hint="default"/>
                <w:sz w:val="18"/>
                <w:szCs w:val="18"/>
              </w:rPr>
            </w:pPr>
            <w:r>
              <w:rPr>
                <w:rFonts w:ascii="宋体" w:hAnsi="宋体" w:cs="宋体" w:eastAsia="宋体" w:hint="default"/>
                <w:sz w:val="18"/>
                <w:szCs w:val="18"/>
              </w:rPr>
              <w:t>《审计报告》中载明的合并报表为准）应在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日前全部收回。若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年度瑞意恒动实际净利润不低</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万元的，瑞意恒动应于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日前收回</w:t>
            </w:r>
          </w:p>
          <w:p>
            <w:pPr>
              <w:pStyle w:val="TableParagraph"/>
              <w:spacing w:line="300"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日的所有应收账款。③补偿义务人承</w:t>
            </w:r>
            <w:r>
              <w:rPr>
                <w:rFonts w:ascii="宋体" w:hAnsi="宋体" w:cs="宋体" w:eastAsia="宋体" w:hint="default"/>
                <w:sz w:val="18"/>
                <w:szCs w:val="18"/>
              </w:rPr>
              <w:t> 诺，瑞意恒动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年每年度经营性活</w:t>
            </w:r>
          </w:p>
        </w:tc>
        <w:tc>
          <w:tcPr>
            <w:tcW w:w="5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截至报告期末，承诺方严格遵守该承 诺，未有违反该承诺的情况</w:t>
            </w:r>
          </w:p>
        </w:tc>
      </w:tr>
      <w:tr>
        <w:trPr>
          <w:trHeight w:val="3150" w:hRule="exact"/>
        </w:trPr>
        <w:tc>
          <w:tcPr>
            <w:tcW w:w="1232" w:type="dxa"/>
            <w:tcBorders>
              <w:top w:val="nil" w:sz="6" w:space="0" w:color="auto"/>
              <w:left w:val="single" w:sz="4" w:space="0" w:color="000000"/>
              <w:bottom w:val="single" w:sz="4" w:space="0" w:color="000000"/>
              <w:right w:val="single" w:sz="4" w:space="0" w:color="000000"/>
            </w:tcBorders>
            <w:shd w:val="clear" w:color="auto" w:fill="D2D2D2"/>
          </w:tcPr>
          <w:p>
            <w:pPr/>
          </w:p>
        </w:tc>
        <w:tc>
          <w:tcPr>
            <w:tcW w:w="3398" w:type="dxa"/>
            <w:vMerge/>
            <w:tcBorders>
              <w:left w:val="single" w:sz="9" w:space="0" w:color="D2D2D2"/>
              <w:bottom w:val="single" w:sz="4" w:space="0" w:color="000000"/>
              <w:right w:val="single" w:sz="9" w:space="0" w:color="FFFFFF"/>
            </w:tcBorders>
          </w:tcPr>
          <w:p>
            <w:pPr/>
          </w:p>
        </w:tc>
        <w:tc>
          <w:tcPr>
            <w:tcW w:w="701" w:type="dxa"/>
            <w:vMerge/>
            <w:tcBorders>
              <w:left w:val="single" w:sz="9" w:space="0" w:color="FFFFFF"/>
              <w:bottom w:val="single" w:sz="4" w:space="0" w:color="000000"/>
              <w:right w:val="single" w:sz="4" w:space="0" w:color="000000"/>
            </w:tcBorders>
          </w:tcPr>
          <w:p>
            <w:pPr/>
          </w:p>
        </w:tc>
        <w:tc>
          <w:tcPr>
            <w:tcW w:w="4598" w:type="dxa"/>
            <w:vMerge/>
            <w:tcBorders>
              <w:left w:val="single" w:sz="4" w:space="0" w:color="000000"/>
              <w:bottom w:val="single" w:sz="4" w:space="0" w:color="000000"/>
              <w:right w:val="single" w:sz="4" w:space="0" w:color="000000"/>
            </w:tcBorders>
          </w:tcPr>
          <w:p>
            <w:pPr/>
          </w:p>
        </w:tc>
        <w:tc>
          <w:tcPr>
            <w:tcW w:w="563" w:type="dxa"/>
            <w:vMerge/>
            <w:tcBorders>
              <w:left w:val="single" w:sz="4" w:space="0" w:color="000000"/>
              <w:bottom w:val="single" w:sz="4" w:space="0" w:color="000000"/>
              <w:right w:val="single" w:sz="4" w:space="0" w:color="000000"/>
            </w:tcBorders>
          </w:tcPr>
          <w:p>
            <w:pPr/>
          </w:p>
        </w:tc>
        <w:tc>
          <w:tcPr>
            <w:tcW w:w="592" w:type="dxa"/>
            <w:vMerge/>
            <w:tcBorders>
              <w:left w:val="single" w:sz="4" w:space="0" w:color="000000"/>
              <w:bottom w:val="single" w:sz="4" w:space="0" w:color="000000"/>
              <w:right w:val="single" w:sz="4" w:space="0" w:color="000000"/>
            </w:tcBorders>
          </w:tcPr>
          <w:p>
            <w:pPr/>
          </w:p>
        </w:tc>
        <w:tc>
          <w:tcPr>
            <w:tcW w:w="2932" w:type="dxa"/>
            <w:vMerge/>
            <w:tcBorders>
              <w:left w:val="single" w:sz="4" w:space="0" w:color="000000"/>
              <w:bottom w:val="single" w:sz="4" w:space="0" w:color="000000"/>
              <w:right w:val="single" w:sz="4" w:space="0" w:color="000000"/>
            </w:tcBorders>
          </w:tcPr>
          <w:p>
            <w:pPr/>
          </w:p>
        </w:tc>
      </w:tr>
    </w:tbl>
    <w:p>
      <w:pPr>
        <w:spacing w:after="0"/>
        <w:sectPr>
          <w:headerReference w:type="default" r:id="rId19"/>
          <w:footerReference w:type="default" r:id="rId20"/>
          <w:pgSz w:w="16840" w:h="11910" w:orient="landscape"/>
          <w:pgMar w:header="867" w:footer="979" w:top="1060" w:bottom="1160" w:left="1300" w:right="1300"/>
          <w:pgNumType w:start="36"/>
        </w:sectPr>
      </w:pPr>
    </w:p>
    <w:p>
      <w:pPr>
        <w:spacing w:line="240" w:lineRule="auto" w:before="4"/>
        <w:rPr>
          <w:rFonts w:ascii="Times New Roman" w:hAnsi="Times New Roman" w:cs="Times New Roman" w:eastAsia="Times New Roman" w:hint="default"/>
          <w:sz w:val="3"/>
          <w:szCs w:val="3"/>
        </w:rPr>
      </w:pPr>
      <w:r>
        <w:rPr/>
        <w:pict>
          <v:shape style="position:absolute;margin-left:498.100006pt;margin-top:92.900009pt;width:96.85pt;height:126.85pt;mso-position-horizontal-relative:page;mso-position-vertical-relative:page;z-index:-10462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5"/>
                    <w:ind w:left="0" w:right="0"/>
                    <w:jc w:val="left"/>
                  </w:pPr>
                  <w:r>
                    <w:rPr/>
                    <w:t>补偿义务人承诺，</w:t>
                  </w:r>
                </w:p>
              </w:txbxContent>
            </v:textbox>
            <w10:wrap type="none"/>
          </v:shape>
        </w:pict>
      </w:r>
    </w:p>
    <w:tbl>
      <w:tblPr>
        <w:tblW w:w="0" w:type="auto"/>
        <w:jc w:val="left"/>
        <w:tblInd w:w="107" w:type="dxa"/>
        <w:tblLayout w:type="fixed"/>
        <w:tblCellMar>
          <w:top w:w="0" w:type="dxa"/>
          <w:left w:w="0" w:type="dxa"/>
          <w:bottom w:w="0" w:type="dxa"/>
          <w:right w:w="0" w:type="dxa"/>
        </w:tblCellMar>
        <w:tblLook w:val="01E0"/>
      </w:tblPr>
      <w:tblGrid>
        <w:gridCol w:w="1232"/>
        <w:gridCol w:w="3398"/>
        <w:gridCol w:w="701"/>
        <w:gridCol w:w="4598"/>
        <w:gridCol w:w="563"/>
        <w:gridCol w:w="592"/>
        <w:gridCol w:w="2932"/>
      </w:tblGrid>
      <w:tr>
        <w:trPr>
          <w:trHeight w:val="175" w:hRule="exact"/>
        </w:trPr>
        <w:tc>
          <w:tcPr>
            <w:tcW w:w="1232" w:type="dxa"/>
            <w:tcBorders>
              <w:top w:val="single" w:sz="15" w:space="0" w:color="000000"/>
              <w:left w:val="single" w:sz="4" w:space="0" w:color="000000"/>
              <w:bottom w:val="nil" w:sz="6" w:space="0" w:color="auto"/>
              <w:right w:val="single" w:sz="4" w:space="0" w:color="000000"/>
            </w:tcBorders>
            <w:shd w:val="clear" w:color="auto" w:fill="D2D2D2"/>
          </w:tcPr>
          <w:p>
            <w:pPr/>
          </w:p>
        </w:tc>
        <w:tc>
          <w:tcPr>
            <w:tcW w:w="3398" w:type="dxa"/>
            <w:tcBorders>
              <w:top w:val="single" w:sz="15" w:space="0" w:color="000000"/>
              <w:left w:val="single" w:sz="4" w:space="0" w:color="000000"/>
              <w:bottom w:val="nil" w:sz="6" w:space="0" w:color="auto"/>
              <w:right w:val="single" w:sz="4" w:space="0" w:color="000000"/>
            </w:tcBorders>
            <w:shd w:val="clear" w:color="auto" w:fill="D2D2D2"/>
          </w:tcPr>
          <w:p>
            <w:pPr/>
          </w:p>
        </w:tc>
        <w:tc>
          <w:tcPr>
            <w:tcW w:w="701"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255" w:right="73" w:hanging="180"/>
              <w:jc w:val="left"/>
              <w:rPr>
                <w:rFonts w:ascii="宋体" w:hAnsi="宋体" w:cs="宋体" w:eastAsia="宋体" w:hint="default"/>
                <w:sz w:val="18"/>
                <w:szCs w:val="18"/>
              </w:rPr>
            </w:pPr>
            <w:r>
              <w:rPr>
                <w:rFonts w:ascii="宋体" w:hAnsi="宋体" w:cs="宋体" w:eastAsia="宋体" w:hint="default"/>
                <w:sz w:val="18"/>
                <w:szCs w:val="18"/>
              </w:rPr>
              <w:t>承诺类 型</w:t>
            </w:r>
          </w:p>
        </w:tc>
        <w:tc>
          <w:tcPr>
            <w:tcW w:w="4598" w:type="dxa"/>
            <w:tcBorders>
              <w:top w:val="single" w:sz="15"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96" w:right="95"/>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92"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110" w:right="109"/>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2932" w:type="dxa"/>
            <w:tcBorders>
              <w:top w:val="single" w:sz="15"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12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33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422"/>
              <w:jc w:val="right"/>
              <w:rPr>
                <w:rFonts w:ascii="宋体" w:hAnsi="宋体" w:cs="宋体" w:eastAsia="宋体" w:hint="default"/>
                <w:sz w:val="18"/>
                <w:szCs w:val="18"/>
              </w:rPr>
            </w:pPr>
            <w:r>
              <w:rPr>
                <w:rFonts w:ascii="宋体" w:hAnsi="宋体" w:cs="宋体" w:eastAsia="宋体" w:hint="default"/>
                <w:sz w:val="18"/>
                <w:szCs w:val="18"/>
              </w:rPr>
              <w:t>承诺方</w:t>
            </w:r>
          </w:p>
        </w:tc>
        <w:tc>
          <w:tcPr>
            <w:tcW w:w="701" w:type="dxa"/>
            <w:vMerge/>
            <w:tcBorders>
              <w:left w:val="single" w:sz="4" w:space="0" w:color="000000"/>
              <w:right w:val="single" w:sz="4" w:space="0" w:color="000000"/>
            </w:tcBorders>
            <w:shd w:val="clear" w:color="auto" w:fill="D2D2D2"/>
          </w:tcPr>
          <w:p>
            <w:pPr/>
          </w:p>
        </w:tc>
        <w:tc>
          <w:tcPr>
            <w:tcW w:w="4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63" w:type="dxa"/>
            <w:vMerge/>
            <w:tcBorders>
              <w:left w:val="single" w:sz="4" w:space="0" w:color="000000"/>
              <w:right w:val="single" w:sz="4" w:space="0" w:color="000000"/>
            </w:tcBorders>
            <w:shd w:val="clear" w:color="auto" w:fill="D2D2D2"/>
          </w:tcPr>
          <w:p>
            <w:pPr/>
          </w:p>
        </w:tc>
        <w:tc>
          <w:tcPr>
            <w:tcW w:w="592" w:type="dxa"/>
            <w:vMerge/>
            <w:tcBorders>
              <w:left w:val="single" w:sz="4" w:space="0" w:color="000000"/>
              <w:right w:val="single" w:sz="4" w:space="0" w:color="000000"/>
            </w:tcBorders>
            <w:shd w:val="clear" w:color="auto" w:fill="D2D2D2"/>
          </w:tcPr>
          <w:p>
            <w:pPr/>
          </w:p>
        </w:tc>
        <w:tc>
          <w:tcPr>
            <w:tcW w:w="2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1" w:hRule="exact"/>
        </w:trPr>
        <w:tc>
          <w:tcPr>
            <w:tcW w:w="1232" w:type="dxa"/>
            <w:tcBorders>
              <w:top w:val="nil" w:sz="6" w:space="0" w:color="auto"/>
              <w:left w:val="single" w:sz="4" w:space="0" w:color="000000"/>
              <w:bottom w:val="single" w:sz="4" w:space="0" w:color="000000"/>
              <w:right w:val="single" w:sz="4" w:space="0" w:color="000000"/>
            </w:tcBorders>
            <w:shd w:val="clear" w:color="auto" w:fill="D2D2D2"/>
          </w:tcPr>
          <w:p>
            <w:pPr/>
          </w:p>
        </w:tc>
        <w:tc>
          <w:tcPr>
            <w:tcW w:w="33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vMerge/>
            <w:tcBorders>
              <w:left w:val="single" w:sz="4" w:space="0" w:color="000000"/>
              <w:bottom w:val="single" w:sz="4" w:space="0" w:color="000000"/>
              <w:right w:val="single" w:sz="4" w:space="0" w:color="000000"/>
            </w:tcBorders>
            <w:shd w:val="clear" w:color="auto" w:fill="D2D2D2"/>
          </w:tcPr>
          <w:p>
            <w:pPr/>
          </w:p>
        </w:tc>
        <w:tc>
          <w:tcPr>
            <w:tcW w:w="4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92" w:type="dxa"/>
            <w:vMerge/>
            <w:tcBorders>
              <w:left w:val="single" w:sz="4" w:space="0" w:color="000000"/>
              <w:bottom w:val="single" w:sz="4" w:space="0" w:color="000000"/>
              <w:right w:val="single" w:sz="4" w:space="0" w:color="000000"/>
            </w:tcBorders>
            <w:shd w:val="clear" w:color="auto" w:fill="D2D2D2"/>
          </w:tcPr>
          <w:p>
            <w:pPr/>
          </w:p>
        </w:tc>
        <w:tc>
          <w:tcPr>
            <w:tcW w:w="293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2" w:hRule="exact"/>
        </w:trPr>
        <w:tc>
          <w:tcPr>
            <w:tcW w:w="1232" w:type="dxa"/>
            <w:vMerge w:val="restart"/>
            <w:tcBorders>
              <w:top w:val="single" w:sz="4" w:space="0" w:color="000000"/>
              <w:left w:val="single" w:sz="4" w:space="0" w:color="000000"/>
              <w:right w:val="single" w:sz="4" w:space="0" w:color="000000"/>
            </w:tcBorders>
            <w:shd w:val="clear" w:color="auto" w:fill="D2D2D2"/>
          </w:tcPr>
          <w:p>
            <w:pPr/>
          </w:p>
        </w:tc>
        <w:tc>
          <w:tcPr>
            <w:tcW w:w="3398" w:type="dxa"/>
            <w:vMerge w:val="restart"/>
            <w:tcBorders>
              <w:top w:val="single" w:sz="4" w:space="0" w:color="000000"/>
              <w:left w:val="single" w:sz="4" w:space="0" w:color="000000"/>
              <w:right w:val="single" w:sz="4" w:space="0" w:color="000000"/>
            </w:tcBorders>
          </w:tcPr>
          <w:p>
            <w:pPr/>
          </w:p>
        </w:tc>
        <w:tc>
          <w:tcPr>
            <w:tcW w:w="701" w:type="dxa"/>
            <w:vMerge w:val="restart"/>
            <w:tcBorders>
              <w:top w:val="single" w:sz="4" w:space="0" w:color="000000"/>
              <w:left w:val="single" w:sz="4" w:space="0" w:color="000000"/>
              <w:right w:val="single" w:sz="4" w:space="0" w:color="000000"/>
            </w:tcBorders>
          </w:tcPr>
          <w:p>
            <w:pPr/>
          </w:p>
        </w:tc>
        <w:tc>
          <w:tcPr>
            <w:tcW w:w="45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动产生的现金流量净额应为正数（以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3" w:type="dxa"/>
            <w:vMerge w:val="restart"/>
            <w:tcBorders>
              <w:top w:val="single" w:sz="4" w:space="0" w:color="000000"/>
              <w:left w:val="single" w:sz="4" w:space="0" w:color="000000"/>
              <w:right w:val="single" w:sz="4" w:space="0" w:color="000000"/>
            </w:tcBorders>
          </w:tcPr>
          <w:p>
            <w:pPr>
              <w:pStyle w:val="TableParagraph"/>
              <w:spacing w:line="253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0"/>
                <w:sz w:val="20"/>
                <w:szCs w:val="20"/>
              </w:rPr>
              <w:pict>
                <v:group style="width:27.7pt;height:126.85pt;mso-position-horizontal-relative:char;mso-position-vertical-relative:line" coordorigin="0,0" coordsize="554,2537">
                  <v:group style="position:absolute;left:0;top:0;width:554;height:2537" coordorigin="0,0" coordsize="554,2537">
                    <v:shape style="position:absolute;left:0;top:0;width:554;height:2537" coordorigin="0,0" coordsize="554,2537" path="m0,2537l553,2537,553,0,0,0,0,2537xe" filled="true" fillcolor="#ffffff" stroked="false">
                      <v:path arrowok="t"/>
                      <v:fill type="solid"/>
                    </v:shape>
                  </v:group>
                </v:group>
              </w:pict>
            </w:r>
            <w:r>
              <w:rPr>
                <w:rFonts w:ascii="Times New Roman" w:hAnsi="Times New Roman" w:cs="Times New Roman" w:eastAsia="Times New Roman" w:hint="default"/>
                <w:position w:val="-50"/>
                <w:sz w:val="20"/>
                <w:szCs w:val="20"/>
              </w:rPr>
            </w:r>
          </w:p>
        </w:tc>
        <w:tc>
          <w:tcPr>
            <w:tcW w:w="592" w:type="dxa"/>
            <w:vMerge w:val="restart"/>
            <w:tcBorders>
              <w:top w:val="single" w:sz="4" w:space="0" w:color="000000"/>
              <w:left w:val="single" w:sz="4" w:space="0" w:color="000000"/>
              <w:right w:val="single" w:sz="4" w:space="0" w:color="000000"/>
            </w:tcBorders>
          </w:tcPr>
          <w:p>
            <w:pPr/>
          </w:p>
        </w:tc>
        <w:tc>
          <w:tcPr>
            <w:tcW w:w="2932" w:type="dxa"/>
            <w:vMerge w:val="restart"/>
            <w:tcBorders>
              <w:top w:val="single" w:sz="4" w:space="0" w:color="000000"/>
              <w:left w:val="single" w:sz="4" w:space="0" w:color="000000"/>
              <w:right w:val="single" w:sz="4" w:space="0" w:color="000000"/>
            </w:tcBorders>
          </w:tcPr>
          <w:p>
            <w:pPr/>
          </w:p>
        </w:tc>
      </w:tr>
      <w:tr>
        <w:trPr>
          <w:trHeight w:val="312" w:hRule="exact"/>
        </w:trPr>
        <w:tc>
          <w:tcPr>
            <w:tcW w:w="1232" w:type="dxa"/>
            <w:vMerge/>
            <w:tcBorders>
              <w:left w:val="single" w:sz="4" w:space="0" w:color="000000"/>
              <w:right w:val="single" w:sz="4" w:space="0" w:color="000000"/>
            </w:tcBorders>
            <w:shd w:val="clear" w:color="auto" w:fill="D2D2D2"/>
          </w:tcPr>
          <w:p>
            <w:pPr/>
          </w:p>
        </w:tc>
        <w:tc>
          <w:tcPr>
            <w:tcW w:w="3398" w:type="dxa"/>
            <w:vMerge/>
            <w:tcBorders>
              <w:left w:val="single" w:sz="4" w:space="0" w:color="000000"/>
              <w:right w:val="single" w:sz="4" w:space="0" w:color="000000"/>
            </w:tcBorders>
          </w:tcPr>
          <w:p>
            <w:pPr/>
          </w:p>
        </w:tc>
        <w:tc>
          <w:tcPr>
            <w:tcW w:w="701" w:type="dxa"/>
            <w:vMerge/>
            <w:tcBorders>
              <w:left w:val="single" w:sz="4" w:space="0" w:color="000000"/>
              <w:right w:val="single" w:sz="4" w:space="0" w:color="000000"/>
            </w:tcBorders>
          </w:tcPr>
          <w:p>
            <w:pPr/>
          </w:p>
        </w:tc>
        <w:tc>
          <w:tcPr>
            <w:tcW w:w="45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2"/>
                <w:sz w:val="18"/>
                <w:szCs w:val="18"/>
              </w:rPr>
              <w:t>的</w:t>
            </w:r>
            <w:r>
              <w:rPr>
                <w:rFonts w:ascii="宋体" w:hAnsi="宋体" w:cs="宋体" w:eastAsia="宋体" w:hint="default"/>
                <w:sz w:val="18"/>
                <w:szCs w:val="18"/>
              </w:rPr>
              <w:t>《专项审核报告</w:t>
            </w:r>
            <w:r>
              <w:rPr>
                <w:rFonts w:ascii="宋体" w:hAnsi="宋体" w:cs="宋体" w:eastAsia="宋体" w:hint="default"/>
                <w:spacing w:val="-2"/>
                <w:sz w:val="18"/>
                <w:szCs w:val="18"/>
              </w:rPr>
              <w:t>》</w:t>
            </w:r>
            <w:r>
              <w:rPr>
                <w:rFonts w:ascii="宋体" w:hAnsi="宋体" w:cs="宋体" w:eastAsia="宋体" w:hint="default"/>
                <w:sz w:val="18"/>
                <w:szCs w:val="18"/>
              </w:rPr>
              <w:t>为准</w:t>
            </w:r>
            <w:r>
              <w:rPr>
                <w:rFonts w:ascii="宋体" w:hAnsi="宋体" w:cs="宋体" w:eastAsia="宋体" w:hint="default"/>
                <w:spacing w:val="-90"/>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④</w:t>
            </w:r>
          </w:p>
        </w:tc>
        <w:tc>
          <w:tcPr>
            <w:tcW w:w="563"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2932" w:type="dxa"/>
            <w:vMerge/>
            <w:tcBorders>
              <w:left w:val="single" w:sz="4" w:space="0" w:color="000000"/>
              <w:right w:val="single" w:sz="4" w:space="0" w:color="000000"/>
            </w:tcBorders>
          </w:tcPr>
          <w:p>
            <w:pPr/>
          </w:p>
        </w:tc>
      </w:tr>
      <w:tr>
        <w:trPr>
          <w:trHeight w:val="307" w:hRule="exact"/>
        </w:trPr>
        <w:tc>
          <w:tcPr>
            <w:tcW w:w="1232" w:type="dxa"/>
            <w:vMerge/>
            <w:tcBorders>
              <w:left w:val="single" w:sz="4" w:space="0" w:color="000000"/>
              <w:right w:val="single" w:sz="4" w:space="0" w:color="000000"/>
            </w:tcBorders>
            <w:shd w:val="clear" w:color="auto" w:fill="D2D2D2"/>
          </w:tcPr>
          <w:p>
            <w:pPr/>
          </w:p>
        </w:tc>
        <w:tc>
          <w:tcPr>
            <w:tcW w:w="3398" w:type="dxa"/>
            <w:vMerge/>
            <w:tcBorders>
              <w:left w:val="single" w:sz="4" w:space="0" w:color="000000"/>
              <w:right w:val="single" w:sz="4" w:space="0" w:color="000000"/>
            </w:tcBorders>
          </w:tcPr>
          <w:p>
            <w:pPr/>
          </w:p>
        </w:tc>
        <w:tc>
          <w:tcPr>
            <w:tcW w:w="701" w:type="dxa"/>
            <w:vMerge/>
            <w:tcBorders>
              <w:left w:val="single" w:sz="4" w:space="0" w:color="000000"/>
              <w:right w:val="single" w:sz="4" w:space="0" w:color="000000"/>
            </w:tcBorders>
          </w:tcPr>
          <w:p>
            <w:pPr/>
          </w:p>
        </w:tc>
        <w:tc>
          <w:tcPr>
            <w:tcW w:w="45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如瑞意恒动累计实现的净利润低于瑞意恒动累计承诺净利</w:t>
            </w:r>
          </w:p>
        </w:tc>
        <w:tc>
          <w:tcPr>
            <w:tcW w:w="563"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2932" w:type="dxa"/>
            <w:vMerge/>
            <w:tcBorders>
              <w:left w:val="single" w:sz="4" w:space="0" w:color="000000"/>
              <w:right w:val="single" w:sz="4" w:space="0" w:color="000000"/>
            </w:tcBorders>
          </w:tcPr>
          <w:p>
            <w:pPr/>
          </w:p>
        </w:tc>
      </w:tr>
      <w:tr>
        <w:trPr>
          <w:trHeight w:val="312" w:hRule="exact"/>
        </w:trPr>
        <w:tc>
          <w:tcPr>
            <w:tcW w:w="1232" w:type="dxa"/>
            <w:vMerge/>
            <w:tcBorders>
              <w:left w:val="single" w:sz="4" w:space="0" w:color="000000"/>
              <w:right w:val="single" w:sz="4" w:space="0" w:color="000000"/>
            </w:tcBorders>
            <w:shd w:val="clear" w:color="auto" w:fill="D2D2D2"/>
          </w:tcPr>
          <w:p>
            <w:pPr/>
          </w:p>
        </w:tc>
        <w:tc>
          <w:tcPr>
            <w:tcW w:w="3398" w:type="dxa"/>
            <w:vMerge/>
            <w:tcBorders>
              <w:left w:val="single" w:sz="4" w:space="0" w:color="000000"/>
              <w:right w:val="single" w:sz="4" w:space="0" w:color="000000"/>
            </w:tcBorders>
          </w:tcPr>
          <w:p>
            <w:pPr/>
          </w:p>
        </w:tc>
        <w:tc>
          <w:tcPr>
            <w:tcW w:w="701" w:type="dxa"/>
            <w:vMerge/>
            <w:tcBorders>
              <w:left w:val="single" w:sz="4" w:space="0" w:color="000000"/>
              <w:right w:val="single" w:sz="4" w:space="0" w:color="000000"/>
            </w:tcBorders>
          </w:tcPr>
          <w:p>
            <w:pPr/>
          </w:p>
        </w:tc>
        <w:tc>
          <w:tcPr>
            <w:tcW w:w="45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润，瑞意恒动商誉减值额不应大于补偿义务人业绩承诺补</w:t>
            </w:r>
          </w:p>
        </w:tc>
        <w:tc>
          <w:tcPr>
            <w:tcW w:w="563"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2932" w:type="dxa"/>
            <w:vMerge/>
            <w:tcBorders>
              <w:left w:val="single" w:sz="4" w:space="0" w:color="000000"/>
              <w:right w:val="single" w:sz="4" w:space="0" w:color="000000"/>
            </w:tcBorders>
          </w:tcPr>
          <w:p>
            <w:pPr/>
          </w:p>
        </w:tc>
      </w:tr>
      <w:tr>
        <w:trPr>
          <w:trHeight w:val="312" w:hRule="exact"/>
        </w:trPr>
        <w:tc>
          <w:tcPr>
            <w:tcW w:w="1232" w:type="dxa"/>
            <w:vMerge/>
            <w:tcBorders>
              <w:left w:val="single" w:sz="4" w:space="0" w:color="000000"/>
              <w:right w:val="single" w:sz="4" w:space="0" w:color="000000"/>
            </w:tcBorders>
            <w:shd w:val="clear" w:color="auto" w:fill="D2D2D2"/>
          </w:tcPr>
          <w:p>
            <w:pPr/>
          </w:p>
        </w:tc>
        <w:tc>
          <w:tcPr>
            <w:tcW w:w="3398" w:type="dxa"/>
            <w:vMerge/>
            <w:tcBorders>
              <w:left w:val="single" w:sz="4" w:space="0" w:color="000000"/>
              <w:right w:val="single" w:sz="4" w:space="0" w:color="000000"/>
            </w:tcBorders>
          </w:tcPr>
          <w:p>
            <w:pPr/>
          </w:p>
        </w:tc>
        <w:tc>
          <w:tcPr>
            <w:tcW w:w="701" w:type="dxa"/>
            <w:vMerge/>
            <w:tcBorders>
              <w:left w:val="single" w:sz="4" w:space="0" w:color="000000"/>
              <w:right w:val="single" w:sz="4" w:space="0" w:color="000000"/>
            </w:tcBorders>
          </w:tcPr>
          <w:p>
            <w:pPr/>
          </w:p>
        </w:tc>
        <w:tc>
          <w:tcPr>
            <w:tcW w:w="45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偿累计金额。⑤补偿义务人向上市公司支付的补偿总额（包</w:t>
            </w:r>
          </w:p>
        </w:tc>
        <w:tc>
          <w:tcPr>
            <w:tcW w:w="563"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2932" w:type="dxa"/>
            <w:vMerge/>
            <w:tcBorders>
              <w:left w:val="single" w:sz="4" w:space="0" w:color="000000"/>
              <w:right w:val="single" w:sz="4" w:space="0" w:color="000000"/>
            </w:tcBorders>
          </w:tcPr>
          <w:p>
            <w:pPr/>
          </w:p>
        </w:tc>
      </w:tr>
      <w:tr>
        <w:trPr>
          <w:trHeight w:val="312" w:hRule="exact"/>
        </w:trPr>
        <w:tc>
          <w:tcPr>
            <w:tcW w:w="1232" w:type="dxa"/>
            <w:vMerge/>
            <w:tcBorders>
              <w:left w:val="single" w:sz="4" w:space="0" w:color="000000"/>
              <w:right w:val="single" w:sz="4" w:space="0" w:color="000000"/>
            </w:tcBorders>
            <w:shd w:val="clear" w:color="auto" w:fill="D2D2D2"/>
          </w:tcPr>
          <w:p>
            <w:pPr/>
          </w:p>
        </w:tc>
        <w:tc>
          <w:tcPr>
            <w:tcW w:w="3398" w:type="dxa"/>
            <w:vMerge/>
            <w:tcBorders>
              <w:left w:val="single" w:sz="4" w:space="0" w:color="000000"/>
              <w:right w:val="single" w:sz="4" w:space="0" w:color="000000"/>
            </w:tcBorders>
          </w:tcPr>
          <w:p>
            <w:pPr/>
          </w:p>
        </w:tc>
        <w:tc>
          <w:tcPr>
            <w:tcW w:w="701" w:type="dxa"/>
            <w:vMerge/>
            <w:tcBorders>
              <w:left w:val="single" w:sz="4" w:space="0" w:color="000000"/>
              <w:right w:val="single" w:sz="4" w:space="0" w:color="000000"/>
            </w:tcBorders>
          </w:tcPr>
          <w:p>
            <w:pPr/>
          </w:p>
        </w:tc>
        <w:tc>
          <w:tcPr>
            <w:tcW w:w="45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括业绩承诺补偿、应收账款补偿、经营性现金流补偿、商</w:t>
            </w:r>
          </w:p>
        </w:tc>
        <w:tc>
          <w:tcPr>
            <w:tcW w:w="563"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2932" w:type="dxa"/>
            <w:vMerge/>
            <w:tcBorders>
              <w:left w:val="single" w:sz="4" w:space="0" w:color="000000"/>
              <w:right w:val="single" w:sz="4" w:space="0" w:color="000000"/>
            </w:tcBorders>
          </w:tcPr>
          <w:p>
            <w:pPr/>
          </w:p>
        </w:tc>
      </w:tr>
      <w:tr>
        <w:trPr>
          <w:trHeight w:val="313" w:hRule="exact"/>
        </w:trPr>
        <w:tc>
          <w:tcPr>
            <w:tcW w:w="1232" w:type="dxa"/>
            <w:vMerge/>
            <w:tcBorders>
              <w:left w:val="single" w:sz="4" w:space="0" w:color="000000"/>
              <w:right w:val="single" w:sz="4" w:space="0" w:color="000000"/>
            </w:tcBorders>
            <w:shd w:val="clear" w:color="auto" w:fill="D2D2D2"/>
          </w:tcPr>
          <w:p>
            <w:pPr/>
          </w:p>
        </w:tc>
        <w:tc>
          <w:tcPr>
            <w:tcW w:w="3398" w:type="dxa"/>
            <w:vMerge/>
            <w:tcBorders>
              <w:left w:val="single" w:sz="4" w:space="0" w:color="000000"/>
              <w:right w:val="single" w:sz="4" w:space="0" w:color="000000"/>
            </w:tcBorders>
          </w:tcPr>
          <w:p>
            <w:pPr/>
          </w:p>
        </w:tc>
        <w:tc>
          <w:tcPr>
            <w:tcW w:w="701" w:type="dxa"/>
            <w:vMerge/>
            <w:tcBorders>
              <w:left w:val="single" w:sz="4" w:space="0" w:color="000000"/>
              <w:right w:val="single" w:sz="4" w:space="0" w:color="000000"/>
            </w:tcBorders>
          </w:tcPr>
          <w:p>
            <w:pPr/>
          </w:p>
        </w:tc>
        <w:tc>
          <w:tcPr>
            <w:tcW w:w="45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誉减值补偿）不超过交易对价（扣除实缴个人所得税后的</w:t>
            </w:r>
          </w:p>
        </w:tc>
        <w:tc>
          <w:tcPr>
            <w:tcW w:w="563"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2932" w:type="dxa"/>
            <w:vMerge/>
            <w:tcBorders>
              <w:left w:val="single" w:sz="4" w:space="0" w:color="000000"/>
              <w:right w:val="single" w:sz="4" w:space="0" w:color="000000"/>
            </w:tcBorders>
          </w:tcPr>
          <w:p>
            <w:pPr/>
          </w:p>
        </w:tc>
      </w:tr>
      <w:tr>
        <w:trPr>
          <w:trHeight w:val="357" w:hRule="exact"/>
        </w:trPr>
        <w:tc>
          <w:tcPr>
            <w:tcW w:w="1232" w:type="dxa"/>
            <w:vMerge/>
            <w:tcBorders>
              <w:left w:val="single" w:sz="4" w:space="0" w:color="000000"/>
              <w:right w:val="single" w:sz="4" w:space="0" w:color="000000"/>
            </w:tcBorders>
            <w:shd w:val="clear" w:color="auto" w:fill="D2D2D2"/>
          </w:tcPr>
          <w:p>
            <w:pPr/>
          </w:p>
        </w:tc>
        <w:tc>
          <w:tcPr>
            <w:tcW w:w="3398" w:type="dxa"/>
            <w:vMerge/>
            <w:tcBorders>
              <w:left w:val="single" w:sz="4" w:space="0" w:color="000000"/>
              <w:bottom w:val="single" w:sz="4" w:space="0" w:color="000000"/>
              <w:right w:val="single" w:sz="4" w:space="0" w:color="000000"/>
            </w:tcBorders>
          </w:tcPr>
          <w:p>
            <w:pPr/>
          </w:p>
        </w:tc>
        <w:tc>
          <w:tcPr>
            <w:tcW w:w="701" w:type="dxa"/>
            <w:vMerge/>
            <w:tcBorders>
              <w:left w:val="single" w:sz="4" w:space="0" w:color="000000"/>
              <w:bottom w:val="single" w:sz="4" w:space="0" w:color="000000"/>
              <w:right w:val="single" w:sz="4" w:space="0" w:color="000000"/>
            </w:tcBorders>
          </w:tcPr>
          <w:p>
            <w:pPr/>
          </w:p>
        </w:tc>
        <w:tc>
          <w:tcPr>
            <w:tcW w:w="45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剩余部分）</w:t>
            </w:r>
          </w:p>
        </w:tc>
        <w:tc>
          <w:tcPr>
            <w:tcW w:w="563" w:type="dxa"/>
            <w:vMerge/>
            <w:tcBorders>
              <w:left w:val="single" w:sz="4" w:space="0" w:color="000000"/>
              <w:bottom w:val="single" w:sz="4" w:space="0" w:color="000000"/>
              <w:right w:val="single" w:sz="4" w:space="0" w:color="000000"/>
            </w:tcBorders>
          </w:tcPr>
          <w:p>
            <w:pPr/>
          </w:p>
        </w:tc>
        <w:tc>
          <w:tcPr>
            <w:tcW w:w="592" w:type="dxa"/>
            <w:vMerge/>
            <w:tcBorders>
              <w:left w:val="single" w:sz="4" w:space="0" w:color="000000"/>
              <w:bottom w:val="single" w:sz="4" w:space="0" w:color="000000"/>
              <w:right w:val="single" w:sz="4" w:space="0" w:color="000000"/>
            </w:tcBorders>
          </w:tcPr>
          <w:p>
            <w:pPr/>
          </w:p>
        </w:tc>
        <w:tc>
          <w:tcPr>
            <w:tcW w:w="2932" w:type="dxa"/>
            <w:vMerge/>
            <w:tcBorders>
              <w:left w:val="single" w:sz="4" w:space="0" w:color="000000"/>
              <w:bottom w:val="single" w:sz="4" w:space="0" w:color="000000"/>
              <w:right w:val="single" w:sz="4" w:space="0" w:color="000000"/>
            </w:tcBorders>
          </w:tcPr>
          <w:p>
            <w:pPr/>
          </w:p>
        </w:tc>
      </w:tr>
      <w:tr>
        <w:trPr>
          <w:trHeight w:val="357" w:hRule="exact"/>
        </w:trPr>
        <w:tc>
          <w:tcPr>
            <w:tcW w:w="1232" w:type="dxa"/>
            <w:vMerge/>
            <w:tcBorders>
              <w:left w:val="single" w:sz="4" w:space="0" w:color="000000"/>
              <w:right w:val="single" w:sz="4" w:space="0" w:color="000000"/>
            </w:tcBorders>
            <w:shd w:val="clear" w:color="auto" w:fill="D2D2D2"/>
          </w:tcPr>
          <w:p>
            <w:pPr/>
          </w:p>
        </w:tc>
        <w:tc>
          <w:tcPr>
            <w:tcW w:w="3398" w:type="dxa"/>
            <w:tcBorders>
              <w:top w:val="single" w:sz="4" w:space="0" w:color="000000"/>
              <w:left w:val="single" w:sz="4" w:space="0" w:color="000000"/>
              <w:bottom w:val="nil" w:sz="6" w:space="0" w:color="auto"/>
              <w:right w:val="single" w:sz="4" w:space="0" w:color="000000"/>
            </w:tcBorders>
          </w:tcPr>
          <w:p>
            <w:pPr/>
          </w:p>
        </w:tc>
        <w:tc>
          <w:tcPr>
            <w:tcW w:w="701" w:type="dxa"/>
            <w:tcBorders>
              <w:top w:val="single" w:sz="4" w:space="0" w:color="000000"/>
              <w:left w:val="single" w:sz="4" w:space="0" w:color="000000"/>
              <w:bottom w:val="nil" w:sz="6" w:space="0" w:color="auto"/>
              <w:right w:val="single" w:sz="4" w:space="0" w:color="000000"/>
            </w:tcBorders>
          </w:tcPr>
          <w:p>
            <w:pPr/>
          </w:p>
        </w:tc>
        <w:tc>
          <w:tcPr>
            <w:tcW w:w="45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①截至本承诺函签署之日，本人未在、在本函有效期内也</w:t>
            </w:r>
          </w:p>
        </w:tc>
        <w:tc>
          <w:tcPr>
            <w:tcW w:w="563" w:type="dxa"/>
            <w:tcBorders>
              <w:top w:val="single" w:sz="4" w:space="0" w:color="000000"/>
              <w:left w:val="single" w:sz="4" w:space="0" w:color="000000"/>
              <w:bottom w:val="nil" w:sz="6" w:space="0" w:color="auto"/>
              <w:right w:val="single" w:sz="4" w:space="0" w:color="000000"/>
            </w:tcBorders>
          </w:tcPr>
          <w:p>
            <w:pPr/>
          </w:p>
        </w:tc>
        <w:tc>
          <w:tcPr>
            <w:tcW w:w="592" w:type="dxa"/>
            <w:tcBorders>
              <w:top w:val="single" w:sz="4" w:space="0" w:color="000000"/>
              <w:left w:val="single" w:sz="4" w:space="0" w:color="000000"/>
              <w:bottom w:val="nil" w:sz="6" w:space="0" w:color="auto"/>
              <w:right w:val="single" w:sz="4" w:space="0" w:color="000000"/>
            </w:tcBorders>
          </w:tcPr>
          <w:p>
            <w:pPr/>
          </w:p>
        </w:tc>
        <w:tc>
          <w:tcPr>
            <w:tcW w:w="293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32" w:type="dxa"/>
            <w:vMerge/>
            <w:tcBorders>
              <w:left w:val="single" w:sz="4" w:space="0" w:color="000000"/>
              <w:right w:val="single" w:sz="4" w:space="0" w:color="000000"/>
            </w:tcBorders>
            <w:shd w:val="clear" w:color="auto" w:fill="D2D2D2"/>
          </w:tcPr>
          <w:p>
            <w:pPr/>
          </w:p>
        </w:tc>
        <w:tc>
          <w:tcPr>
            <w:tcW w:w="3398" w:type="dxa"/>
            <w:tcBorders>
              <w:top w:val="nil" w:sz="6" w:space="0" w:color="auto"/>
              <w:left w:val="single" w:sz="4" w:space="0" w:color="000000"/>
              <w:bottom w:val="nil" w:sz="6" w:space="0" w:color="auto"/>
              <w:right w:val="single" w:sz="4" w:space="0" w:color="000000"/>
            </w:tcBorders>
          </w:tcPr>
          <w:p>
            <w:pPr/>
          </w:p>
        </w:tc>
        <w:tc>
          <w:tcPr>
            <w:tcW w:w="701" w:type="dxa"/>
            <w:tcBorders>
              <w:top w:val="nil" w:sz="6" w:space="0" w:color="auto"/>
              <w:left w:val="single" w:sz="4" w:space="0" w:color="000000"/>
              <w:bottom w:val="nil" w:sz="6" w:space="0" w:color="auto"/>
              <w:right w:val="single" w:sz="4" w:space="0" w:color="000000"/>
            </w:tcBorders>
          </w:tcPr>
          <w:p>
            <w:pPr/>
          </w:p>
        </w:tc>
        <w:tc>
          <w:tcPr>
            <w:tcW w:w="45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不会在中国境内外以任何方式直接或间接从事或参与任何</w:t>
            </w:r>
          </w:p>
        </w:tc>
        <w:tc>
          <w:tcPr>
            <w:tcW w:w="563" w:type="dxa"/>
            <w:tcBorders>
              <w:top w:val="nil" w:sz="6" w:space="0" w:color="auto"/>
              <w:left w:val="single" w:sz="4" w:space="0" w:color="000000"/>
              <w:bottom w:val="nil" w:sz="6" w:space="0" w:color="auto"/>
              <w:right w:val="single" w:sz="4" w:space="0" w:color="000000"/>
            </w:tcBorders>
          </w:tcPr>
          <w:p>
            <w:pPr/>
          </w:p>
        </w:tc>
        <w:tc>
          <w:tcPr>
            <w:tcW w:w="592" w:type="dxa"/>
            <w:tcBorders>
              <w:top w:val="nil" w:sz="6" w:space="0" w:color="auto"/>
              <w:left w:val="single" w:sz="4" w:space="0" w:color="000000"/>
              <w:bottom w:val="nil" w:sz="6" w:space="0" w:color="auto"/>
              <w:right w:val="single" w:sz="4" w:space="0" w:color="000000"/>
            </w:tcBorders>
          </w:tcPr>
          <w:p>
            <w:pPr/>
          </w:p>
        </w:tc>
        <w:tc>
          <w:tcPr>
            <w:tcW w:w="293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32" w:type="dxa"/>
            <w:vMerge/>
            <w:tcBorders>
              <w:left w:val="single" w:sz="4" w:space="0" w:color="000000"/>
              <w:right w:val="single" w:sz="4" w:space="0" w:color="000000"/>
            </w:tcBorders>
            <w:shd w:val="clear" w:color="auto" w:fill="D2D2D2"/>
          </w:tcPr>
          <w:p>
            <w:pPr/>
          </w:p>
        </w:tc>
        <w:tc>
          <w:tcPr>
            <w:tcW w:w="3398" w:type="dxa"/>
            <w:tcBorders>
              <w:top w:val="nil" w:sz="6" w:space="0" w:color="auto"/>
              <w:left w:val="single" w:sz="4" w:space="0" w:color="000000"/>
              <w:bottom w:val="nil" w:sz="6" w:space="0" w:color="auto"/>
              <w:right w:val="single" w:sz="4" w:space="0" w:color="000000"/>
            </w:tcBorders>
          </w:tcPr>
          <w:p>
            <w:pPr/>
          </w:p>
        </w:tc>
        <w:tc>
          <w:tcPr>
            <w:tcW w:w="701" w:type="dxa"/>
            <w:tcBorders>
              <w:top w:val="nil" w:sz="6" w:space="0" w:color="auto"/>
              <w:left w:val="single" w:sz="4" w:space="0" w:color="000000"/>
              <w:bottom w:val="nil" w:sz="6" w:space="0" w:color="auto"/>
              <w:right w:val="single" w:sz="4" w:space="0" w:color="000000"/>
            </w:tcBorders>
          </w:tcPr>
          <w:p>
            <w:pPr/>
          </w:p>
        </w:tc>
        <w:tc>
          <w:tcPr>
            <w:tcW w:w="45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与久其软件及其下属子公司、瑞意恒动及其下属子公司相</w:t>
            </w:r>
          </w:p>
        </w:tc>
        <w:tc>
          <w:tcPr>
            <w:tcW w:w="563" w:type="dxa"/>
            <w:tcBorders>
              <w:top w:val="nil" w:sz="6" w:space="0" w:color="auto"/>
              <w:left w:val="single" w:sz="4" w:space="0" w:color="000000"/>
              <w:bottom w:val="nil" w:sz="6" w:space="0" w:color="auto"/>
              <w:right w:val="single" w:sz="4" w:space="0" w:color="000000"/>
            </w:tcBorders>
          </w:tcPr>
          <w:p>
            <w:pPr/>
          </w:p>
        </w:tc>
        <w:tc>
          <w:tcPr>
            <w:tcW w:w="592" w:type="dxa"/>
            <w:tcBorders>
              <w:top w:val="nil" w:sz="6" w:space="0" w:color="auto"/>
              <w:left w:val="single" w:sz="4" w:space="0" w:color="000000"/>
              <w:bottom w:val="nil" w:sz="6" w:space="0" w:color="auto"/>
              <w:right w:val="single" w:sz="4" w:space="0" w:color="000000"/>
            </w:tcBorders>
          </w:tcPr>
          <w:p>
            <w:pPr/>
          </w:p>
        </w:tc>
        <w:tc>
          <w:tcPr>
            <w:tcW w:w="293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32" w:type="dxa"/>
            <w:vMerge/>
            <w:tcBorders>
              <w:left w:val="single" w:sz="4" w:space="0" w:color="000000"/>
              <w:right w:val="single" w:sz="4" w:space="0" w:color="000000"/>
            </w:tcBorders>
            <w:shd w:val="clear" w:color="auto" w:fill="D2D2D2"/>
          </w:tcPr>
          <w:p>
            <w:pPr/>
          </w:p>
        </w:tc>
        <w:tc>
          <w:tcPr>
            <w:tcW w:w="3398" w:type="dxa"/>
            <w:tcBorders>
              <w:top w:val="nil" w:sz="6" w:space="0" w:color="auto"/>
              <w:left w:val="single" w:sz="4" w:space="0" w:color="000000"/>
              <w:bottom w:val="nil" w:sz="6" w:space="0" w:color="auto"/>
              <w:right w:val="single" w:sz="4" w:space="0" w:color="000000"/>
            </w:tcBorders>
          </w:tcPr>
          <w:p>
            <w:pPr/>
          </w:p>
        </w:tc>
        <w:tc>
          <w:tcPr>
            <w:tcW w:w="701" w:type="dxa"/>
            <w:tcBorders>
              <w:top w:val="nil" w:sz="6" w:space="0" w:color="auto"/>
              <w:left w:val="single" w:sz="4" w:space="0" w:color="000000"/>
              <w:bottom w:val="nil" w:sz="6" w:space="0" w:color="auto"/>
              <w:right w:val="single" w:sz="4" w:space="0" w:color="000000"/>
            </w:tcBorders>
          </w:tcPr>
          <w:p>
            <w:pPr/>
          </w:p>
        </w:tc>
        <w:tc>
          <w:tcPr>
            <w:tcW w:w="45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同、相似或在商业上构成任何竞争的业务及活动，或拥有</w:t>
            </w:r>
          </w:p>
        </w:tc>
        <w:tc>
          <w:tcPr>
            <w:tcW w:w="563" w:type="dxa"/>
            <w:tcBorders>
              <w:top w:val="nil" w:sz="6" w:space="0" w:color="auto"/>
              <w:left w:val="single" w:sz="4" w:space="0" w:color="000000"/>
              <w:bottom w:val="nil" w:sz="6" w:space="0" w:color="auto"/>
              <w:right w:val="single" w:sz="4" w:space="0" w:color="000000"/>
            </w:tcBorders>
          </w:tcPr>
          <w:p>
            <w:pPr/>
          </w:p>
        </w:tc>
        <w:tc>
          <w:tcPr>
            <w:tcW w:w="592" w:type="dxa"/>
            <w:tcBorders>
              <w:top w:val="nil" w:sz="6" w:space="0" w:color="auto"/>
              <w:left w:val="single" w:sz="4" w:space="0" w:color="000000"/>
              <w:bottom w:val="nil" w:sz="6" w:space="0" w:color="auto"/>
              <w:right w:val="single" w:sz="4" w:space="0" w:color="000000"/>
            </w:tcBorders>
          </w:tcPr>
          <w:p>
            <w:pPr/>
          </w:p>
        </w:tc>
        <w:tc>
          <w:tcPr>
            <w:tcW w:w="293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32" w:type="dxa"/>
            <w:vMerge/>
            <w:tcBorders>
              <w:left w:val="single" w:sz="4" w:space="0" w:color="000000"/>
              <w:right w:val="single" w:sz="4" w:space="0" w:color="000000"/>
            </w:tcBorders>
            <w:shd w:val="clear" w:color="auto" w:fill="D2D2D2"/>
          </w:tcPr>
          <w:p>
            <w:pPr/>
          </w:p>
        </w:tc>
        <w:tc>
          <w:tcPr>
            <w:tcW w:w="3398" w:type="dxa"/>
            <w:tcBorders>
              <w:top w:val="nil" w:sz="6" w:space="0" w:color="auto"/>
              <w:left w:val="single" w:sz="4" w:space="0" w:color="000000"/>
              <w:bottom w:val="nil" w:sz="6" w:space="0" w:color="auto"/>
              <w:right w:val="single" w:sz="4" w:space="0" w:color="000000"/>
            </w:tcBorders>
          </w:tcPr>
          <w:p>
            <w:pPr/>
          </w:p>
        </w:tc>
        <w:tc>
          <w:tcPr>
            <w:tcW w:w="701" w:type="dxa"/>
            <w:tcBorders>
              <w:top w:val="nil" w:sz="6" w:space="0" w:color="auto"/>
              <w:left w:val="single" w:sz="4" w:space="0" w:color="000000"/>
              <w:bottom w:val="nil" w:sz="6" w:space="0" w:color="auto"/>
              <w:right w:val="single" w:sz="4" w:space="0" w:color="000000"/>
            </w:tcBorders>
          </w:tcPr>
          <w:p>
            <w:pPr/>
          </w:p>
        </w:tc>
        <w:tc>
          <w:tcPr>
            <w:tcW w:w="45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与久其软件及其下属子公司、瑞意恒动及其下属子公司存</w:t>
            </w:r>
          </w:p>
        </w:tc>
        <w:tc>
          <w:tcPr>
            <w:tcW w:w="563" w:type="dxa"/>
            <w:tcBorders>
              <w:top w:val="nil" w:sz="6" w:space="0" w:color="auto"/>
              <w:left w:val="single" w:sz="4" w:space="0" w:color="000000"/>
              <w:bottom w:val="nil" w:sz="6" w:space="0" w:color="auto"/>
              <w:right w:val="single" w:sz="4" w:space="0" w:color="000000"/>
            </w:tcBorders>
          </w:tcPr>
          <w:p>
            <w:pPr/>
          </w:p>
        </w:tc>
        <w:tc>
          <w:tcPr>
            <w:tcW w:w="592" w:type="dxa"/>
            <w:tcBorders>
              <w:top w:val="nil" w:sz="6" w:space="0" w:color="auto"/>
              <w:left w:val="single" w:sz="4" w:space="0" w:color="000000"/>
              <w:bottom w:val="nil" w:sz="6" w:space="0" w:color="auto"/>
              <w:right w:val="single" w:sz="4" w:space="0" w:color="000000"/>
            </w:tcBorders>
          </w:tcPr>
          <w:p>
            <w:pPr/>
          </w:p>
        </w:tc>
        <w:tc>
          <w:tcPr>
            <w:tcW w:w="293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32" w:type="dxa"/>
            <w:vMerge/>
            <w:tcBorders>
              <w:left w:val="single" w:sz="4" w:space="0" w:color="000000"/>
              <w:right w:val="single" w:sz="4" w:space="0" w:color="000000"/>
            </w:tcBorders>
            <w:shd w:val="clear" w:color="auto" w:fill="D2D2D2"/>
          </w:tcPr>
          <w:p>
            <w:pPr/>
          </w:p>
        </w:tc>
        <w:tc>
          <w:tcPr>
            <w:tcW w:w="3398" w:type="dxa"/>
            <w:tcBorders>
              <w:top w:val="nil" w:sz="6" w:space="0" w:color="auto"/>
              <w:left w:val="single" w:sz="4" w:space="0" w:color="000000"/>
              <w:bottom w:val="nil" w:sz="6" w:space="0" w:color="auto"/>
              <w:right w:val="single" w:sz="4" w:space="0" w:color="000000"/>
            </w:tcBorders>
          </w:tcPr>
          <w:p>
            <w:pPr/>
          </w:p>
        </w:tc>
        <w:tc>
          <w:tcPr>
            <w:tcW w:w="701" w:type="dxa"/>
            <w:tcBorders>
              <w:top w:val="nil" w:sz="6" w:space="0" w:color="auto"/>
              <w:left w:val="single" w:sz="4" w:space="0" w:color="000000"/>
              <w:bottom w:val="nil" w:sz="6" w:space="0" w:color="auto"/>
              <w:right w:val="single" w:sz="4" w:space="0" w:color="000000"/>
            </w:tcBorders>
          </w:tcPr>
          <w:p>
            <w:pPr/>
          </w:p>
        </w:tc>
        <w:tc>
          <w:tcPr>
            <w:tcW w:w="45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在竞争关系的任何经济实体、机构、经济组织的权益，或</w:t>
            </w:r>
          </w:p>
        </w:tc>
        <w:tc>
          <w:tcPr>
            <w:tcW w:w="563" w:type="dxa"/>
            <w:tcBorders>
              <w:top w:val="nil" w:sz="6" w:space="0" w:color="auto"/>
              <w:left w:val="single" w:sz="4" w:space="0" w:color="000000"/>
              <w:bottom w:val="nil" w:sz="6" w:space="0" w:color="auto"/>
              <w:right w:val="single" w:sz="4" w:space="0" w:color="000000"/>
            </w:tcBorders>
          </w:tcPr>
          <w:p>
            <w:pPr/>
          </w:p>
        </w:tc>
        <w:tc>
          <w:tcPr>
            <w:tcW w:w="592" w:type="dxa"/>
            <w:tcBorders>
              <w:top w:val="nil" w:sz="6" w:space="0" w:color="auto"/>
              <w:left w:val="single" w:sz="4" w:space="0" w:color="000000"/>
              <w:bottom w:val="nil" w:sz="6" w:space="0" w:color="auto"/>
              <w:right w:val="single" w:sz="4" w:space="0" w:color="000000"/>
            </w:tcBorders>
          </w:tcPr>
          <w:p>
            <w:pPr/>
          </w:p>
        </w:tc>
        <w:tc>
          <w:tcPr>
            <w:tcW w:w="293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32" w:type="dxa"/>
            <w:vMerge/>
            <w:tcBorders>
              <w:left w:val="single" w:sz="4" w:space="0" w:color="000000"/>
              <w:right w:val="single" w:sz="4" w:space="0" w:color="000000"/>
            </w:tcBorders>
            <w:shd w:val="clear" w:color="auto" w:fill="D2D2D2"/>
          </w:tcPr>
          <w:p>
            <w:pPr/>
          </w:p>
        </w:tc>
        <w:tc>
          <w:tcPr>
            <w:tcW w:w="3398" w:type="dxa"/>
            <w:tcBorders>
              <w:top w:val="nil" w:sz="6" w:space="0" w:color="auto"/>
              <w:left w:val="single" w:sz="4" w:space="0" w:color="000000"/>
              <w:bottom w:val="nil" w:sz="6" w:space="0" w:color="auto"/>
              <w:right w:val="single" w:sz="4" w:space="0" w:color="000000"/>
            </w:tcBorders>
          </w:tcPr>
          <w:p>
            <w:pPr/>
          </w:p>
        </w:tc>
        <w:tc>
          <w:tcPr>
            <w:tcW w:w="701" w:type="dxa"/>
            <w:tcBorders>
              <w:top w:val="nil" w:sz="6" w:space="0" w:color="auto"/>
              <w:left w:val="single" w:sz="4" w:space="0" w:color="000000"/>
              <w:bottom w:val="nil" w:sz="6" w:space="0" w:color="auto"/>
              <w:right w:val="single" w:sz="4" w:space="0" w:color="000000"/>
            </w:tcBorders>
          </w:tcPr>
          <w:p>
            <w:pPr/>
          </w:p>
        </w:tc>
        <w:tc>
          <w:tcPr>
            <w:tcW w:w="45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以其他任何形式取得该经济实体、机构、经济组织的控制</w:t>
            </w:r>
          </w:p>
        </w:tc>
        <w:tc>
          <w:tcPr>
            <w:tcW w:w="563" w:type="dxa"/>
            <w:tcBorders>
              <w:top w:val="nil" w:sz="6" w:space="0" w:color="auto"/>
              <w:left w:val="single" w:sz="4" w:space="0" w:color="000000"/>
              <w:bottom w:val="nil" w:sz="6" w:space="0" w:color="auto"/>
              <w:right w:val="single" w:sz="4" w:space="0" w:color="000000"/>
            </w:tcBorders>
          </w:tcPr>
          <w:p>
            <w:pPr/>
          </w:p>
        </w:tc>
        <w:tc>
          <w:tcPr>
            <w:tcW w:w="592" w:type="dxa"/>
            <w:tcBorders>
              <w:top w:val="nil" w:sz="6" w:space="0" w:color="auto"/>
              <w:left w:val="single" w:sz="4" w:space="0" w:color="000000"/>
              <w:bottom w:val="nil" w:sz="6" w:space="0" w:color="auto"/>
              <w:right w:val="single" w:sz="4" w:space="0" w:color="000000"/>
            </w:tcBorders>
          </w:tcPr>
          <w:p>
            <w:pPr/>
          </w:p>
        </w:tc>
        <w:tc>
          <w:tcPr>
            <w:tcW w:w="2932"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232" w:type="dxa"/>
            <w:vMerge/>
            <w:tcBorders>
              <w:left w:val="single" w:sz="4" w:space="0" w:color="000000"/>
              <w:right w:val="single" w:sz="4" w:space="0" w:color="000000"/>
            </w:tcBorders>
            <w:shd w:val="clear" w:color="auto" w:fill="D2D2D2"/>
          </w:tcPr>
          <w:p>
            <w:pPr/>
          </w:p>
        </w:tc>
        <w:tc>
          <w:tcPr>
            <w:tcW w:w="33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383"/>
              <w:jc w:val="right"/>
              <w:rPr>
                <w:rFonts w:ascii="宋体" w:hAnsi="宋体" w:cs="宋体" w:eastAsia="宋体" w:hint="default"/>
                <w:sz w:val="18"/>
                <w:szCs w:val="18"/>
              </w:rPr>
            </w:pPr>
            <w:r>
              <w:rPr>
                <w:rFonts w:ascii="宋体" w:hAnsi="宋体" w:cs="宋体" w:eastAsia="宋体" w:hint="default"/>
                <w:sz w:val="18"/>
                <w:szCs w:val="18"/>
              </w:rPr>
              <w:t>沈栋梁、郝欣诚、顾瀚博</w:t>
            </w:r>
          </w:p>
        </w:tc>
        <w:tc>
          <w:tcPr>
            <w:tcW w:w="70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26"/>
              <w:jc w:val="both"/>
              <w:rPr>
                <w:rFonts w:ascii="宋体" w:hAnsi="宋体" w:cs="宋体" w:eastAsia="宋体" w:hint="default"/>
                <w:sz w:val="18"/>
                <w:szCs w:val="18"/>
              </w:rPr>
            </w:pPr>
            <w:r>
              <w:rPr>
                <w:rFonts w:ascii="宋体" w:hAnsi="宋体" w:cs="宋体" w:eastAsia="宋体" w:hint="default"/>
                <w:sz w:val="18"/>
                <w:szCs w:val="18"/>
              </w:rPr>
              <w:t>关于避 免同业 竞争的 承诺</w:t>
            </w:r>
          </w:p>
        </w:tc>
        <w:tc>
          <w:tcPr>
            <w:tcW w:w="459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62"/>
              <w:jc w:val="both"/>
              <w:rPr>
                <w:rFonts w:ascii="宋体" w:hAnsi="宋体" w:cs="宋体" w:eastAsia="宋体" w:hint="default"/>
                <w:sz w:val="18"/>
                <w:szCs w:val="18"/>
              </w:rPr>
            </w:pPr>
            <w:r>
              <w:rPr>
                <w:rFonts w:ascii="宋体" w:hAnsi="宋体" w:cs="宋体" w:eastAsia="宋体" w:hint="default"/>
                <w:sz w:val="18"/>
                <w:szCs w:val="18"/>
              </w:rPr>
              <w:t>权，或者为该等构成同业竞争关系的经济实体、机构、经 济组织以劳务、顾问或咨询等方式提供服务。②若发现本 人及本人控制的其他企业在本函有效期内从事与久其软件 及其下属子公司、瑞意恒动及其下属子公司的产品或业务 存在竞争的业务，则本人及本人控制的其他企业承诺将以</w:t>
            </w:r>
          </w:p>
        </w:tc>
        <w:tc>
          <w:tcPr>
            <w:tcW w:w="563"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293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截至报告期末，承诺方严格遵守该承 诺，未有违反该承诺的情况</w:t>
            </w:r>
          </w:p>
        </w:tc>
      </w:tr>
      <w:tr>
        <w:trPr>
          <w:trHeight w:val="312" w:hRule="exact"/>
        </w:trPr>
        <w:tc>
          <w:tcPr>
            <w:tcW w:w="1232" w:type="dxa"/>
            <w:vMerge/>
            <w:tcBorders>
              <w:left w:val="single" w:sz="4" w:space="0" w:color="000000"/>
              <w:right w:val="single" w:sz="4" w:space="0" w:color="000000"/>
            </w:tcBorders>
            <w:shd w:val="clear" w:color="auto" w:fill="D2D2D2"/>
          </w:tcPr>
          <w:p>
            <w:pPr/>
          </w:p>
        </w:tc>
        <w:tc>
          <w:tcPr>
            <w:tcW w:w="3398" w:type="dxa"/>
            <w:tcBorders>
              <w:top w:val="nil" w:sz="6" w:space="0" w:color="auto"/>
              <w:left w:val="single" w:sz="4" w:space="0" w:color="000000"/>
              <w:bottom w:val="nil" w:sz="6" w:space="0" w:color="auto"/>
              <w:right w:val="single" w:sz="4" w:space="0" w:color="000000"/>
            </w:tcBorders>
          </w:tcPr>
          <w:p>
            <w:pPr/>
          </w:p>
        </w:tc>
        <w:tc>
          <w:tcPr>
            <w:tcW w:w="701" w:type="dxa"/>
            <w:tcBorders>
              <w:top w:val="nil" w:sz="6" w:space="0" w:color="auto"/>
              <w:left w:val="single" w:sz="4" w:space="0" w:color="000000"/>
              <w:bottom w:val="nil" w:sz="6" w:space="0" w:color="auto"/>
              <w:right w:val="single" w:sz="4" w:space="0" w:color="000000"/>
            </w:tcBorders>
          </w:tcPr>
          <w:p>
            <w:pPr/>
          </w:p>
        </w:tc>
        <w:tc>
          <w:tcPr>
            <w:tcW w:w="45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停止生产经营相竞争的业务或产品的方式，或者将相竞争</w:t>
            </w:r>
          </w:p>
        </w:tc>
        <w:tc>
          <w:tcPr>
            <w:tcW w:w="563" w:type="dxa"/>
            <w:tcBorders>
              <w:top w:val="nil" w:sz="6" w:space="0" w:color="auto"/>
              <w:left w:val="single" w:sz="4" w:space="0" w:color="000000"/>
              <w:bottom w:val="nil" w:sz="6" w:space="0" w:color="auto"/>
              <w:right w:val="single" w:sz="4" w:space="0" w:color="000000"/>
            </w:tcBorders>
          </w:tcPr>
          <w:p>
            <w:pPr/>
          </w:p>
        </w:tc>
        <w:tc>
          <w:tcPr>
            <w:tcW w:w="592" w:type="dxa"/>
            <w:tcBorders>
              <w:top w:val="nil" w:sz="6" w:space="0" w:color="auto"/>
              <w:left w:val="single" w:sz="4" w:space="0" w:color="000000"/>
              <w:bottom w:val="nil" w:sz="6" w:space="0" w:color="auto"/>
              <w:right w:val="single" w:sz="4" w:space="0" w:color="000000"/>
            </w:tcBorders>
          </w:tcPr>
          <w:p>
            <w:pPr/>
          </w:p>
        </w:tc>
        <w:tc>
          <w:tcPr>
            <w:tcW w:w="293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32" w:type="dxa"/>
            <w:vMerge/>
            <w:tcBorders>
              <w:left w:val="single" w:sz="4" w:space="0" w:color="000000"/>
              <w:right w:val="single" w:sz="4" w:space="0" w:color="000000"/>
            </w:tcBorders>
            <w:shd w:val="clear" w:color="auto" w:fill="D2D2D2"/>
          </w:tcPr>
          <w:p>
            <w:pPr/>
          </w:p>
        </w:tc>
        <w:tc>
          <w:tcPr>
            <w:tcW w:w="3398" w:type="dxa"/>
            <w:tcBorders>
              <w:top w:val="nil" w:sz="6" w:space="0" w:color="auto"/>
              <w:left w:val="single" w:sz="4" w:space="0" w:color="000000"/>
              <w:bottom w:val="nil" w:sz="6" w:space="0" w:color="auto"/>
              <w:right w:val="single" w:sz="4" w:space="0" w:color="000000"/>
            </w:tcBorders>
          </w:tcPr>
          <w:p>
            <w:pPr/>
          </w:p>
        </w:tc>
        <w:tc>
          <w:tcPr>
            <w:tcW w:w="701" w:type="dxa"/>
            <w:tcBorders>
              <w:top w:val="nil" w:sz="6" w:space="0" w:color="auto"/>
              <w:left w:val="single" w:sz="4" w:space="0" w:color="000000"/>
              <w:bottom w:val="nil" w:sz="6" w:space="0" w:color="auto"/>
              <w:right w:val="single" w:sz="4" w:space="0" w:color="000000"/>
            </w:tcBorders>
          </w:tcPr>
          <w:p>
            <w:pPr/>
          </w:p>
        </w:tc>
        <w:tc>
          <w:tcPr>
            <w:tcW w:w="45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的业务无偿转让给久其软件的方式，或者将相竞争的业务</w:t>
            </w:r>
          </w:p>
        </w:tc>
        <w:tc>
          <w:tcPr>
            <w:tcW w:w="563" w:type="dxa"/>
            <w:tcBorders>
              <w:top w:val="nil" w:sz="6" w:space="0" w:color="auto"/>
              <w:left w:val="single" w:sz="4" w:space="0" w:color="000000"/>
              <w:bottom w:val="nil" w:sz="6" w:space="0" w:color="auto"/>
              <w:right w:val="single" w:sz="4" w:space="0" w:color="000000"/>
            </w:tcBorders>
          </w:tcPr>
          <w:p>
            <w:pPr/>
          </w:p>
        </w:tc>
        <w:tc>
          <w:tcPr>
            <w:tcW w:w="592" w:type="dxa"/>
            <w:tcBorders>
              <w:top w:val="nil" w:sz="6" w:space="0" w:color="auto"/>
              <w:left w:val="single" w:sz="4" w:space="0" w:color="000000"/>
              <w:bottom w:val="nil" w:sz="6" w:space="0" w:color="auto"/>
              <w:right w:val="single" w:sz="4" w:space="0" w:color="000000"/>
            </w:tcBorders>
          </w:tcPr>
          <w:p>
            <w:pPr/>
          </w:p>
        </w:tc>
        <w:tc>
          <w:tcPr>
            <w:tcW w:w="293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32" w:type="dxa"/>
            <w:vMerge/>
            <w:tcBorders>
              <w:left w:val="single" w:sz="4" w:space="0" w:color="000000"/>
              <w:right w:val="single" w:sz="4" w:space="0" w:color="000000"/>
            </w:tcBorders>
            <w:shd w:val="clear" w:color="auto" w:fill="D2D2D2"/>
          </w:tcPr>
          <w:p>
            <w:pPr/>
          </w:p>
        </w:tc>
        <w:tc>
          <w:tcPr>
            <w:tcW w:w="3398" w:type="dxa"/>
            <w:tcBorders>
              <w:top w:val="nil" w:sz="6" w:space="0" w:color="auto"/>
              <w:left w:val="single" w:sz="4" w:space="0" w:color="000000"/>
              <w:bottom w:val="nil" w:sz="6" w:space="0" w:color="auto"/>
              <w:right w:val="single" w:sz="4" w:space="0" w:color="000000"/>
            </w:tcBorders>
          </w:tcPr>
          <w:p>
            <w:pPr/>
          </w:p>
        </w:tc>
        <w:tc>
          <w:tcPr>
            <w:tcW w:w="701" w:type="dxa"/>
            <w:tcBorders>
              <w:top w:val="nil" w:sz="6" w:space="0" w:color="auto"/>
              <w:left w:val="single" w:sz="4" w:space="0" w:color="000000"/>
              <w:bottom w:val="nil" w:sz="6" w:space="0" w:color="auto"/>
              <w:right w:val="single" w:sz="4" w:space="0" w:color="000000"/>
            </w:tcBorders>
          </w:tcPr>
          <w:p>
            <w:pPr/>
          </w:p>
        </w:tc>
        <w:tc>
          <w:tcPr>
            <w:tcW w:w="45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转让给无关联关系的第三方的方式避免同业竞争。③本人</w:t>
            </w:r>
          </w:p>
        </w:tc>
        <w:tc>
          <w:tcPr>
            <w:tcW w:w="563" w:type="dxa"/>
            <w:tcBorders>
              <w:top w:val="nil" w:sz="6" w:space="0" w:color="auto"/>
              <w:left w:val="single" w:sz="4" w:space="0" w:color="000000"/>
              <w:bottom w:val="nil" w:sz="6" w:space="0" w:color="auto"/>
              <w:right w:val="single" w:sz="4" w:space="0" w:color="000000"/>
            </w:tcBorders>
          </w:tcPr>
          <w:p>
            <w:pPr/>
          </w:p>
        </w:tc>
        <w:tc>
          <w:tcPr>
            <w:tcW w:w="592" w:type="dxa"/>
            <w:tcBorders>
              <w:top w:val="nil" w:sz="6" w:space="0" w:color="auto"/>
              <w:left w:val="single" w:sz="4" w:space="0" w:color="000000"/>
              <w:bottom w:val="nil" w:sz="6" w:space="0" w:color="auto"/>
              <w:right w:val="single" w:sz="4" w:space="0" w:color="000000"/>
            </w:tcBorders>
          </w:tcPr>
          <w:p>
            <w:pPr/>
          </w:p>
        </w:tc>
        <w:tc>
          <w:tcPr>
            <w:tcW w:w="293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32" w:type="dxa"/>
            <w:vMerge/>
            <w:tcBorders>
              <w:left w:val="single" w:sz="4" w:space="0" w:color="000000"/>
              <w:right w:val="single" w:sz="4" w:space="0" w:color="000000"/>
            </w:tcBorders>
            <w:shd w:val="clear" w:color="auto" w:fill="D2D2D2"/>
          </w:tcPr>
          <w:p>
            <w:pPr/>
          </w:p>
        </w:tc>
        <w:tc>
          <w:tcPr>
            <w:tcW w:w="3398" w:type="dxa"/>
            <w:tcBorders>
              <w:top w:val="nil" w:sz="6" w:space="0" w:color="auto"/>
              <w:left w:val="single" w:sz="4" w:space="0" w:color="000000"/>
              <w:bottom w:val="nil" w:sz="6" w:space="0" w:color="auto"/>
              <w:right w:val="single" w:sz="4" w:space="0" w:color="000000"/>
            </w:tcBorders>
          </w:tcPr>
          <w:p>
            <w:pPr/>
          </w:p>
        </w:tc>
        <w:tc>
          <w:tcPr>
            <w:tcW w:w="701" w:type="dxa"/>
            <w:tcBorders>
              <w:top w:val="nil" w:sz="6" w:space="0" w:color="auto"/>
              <w:left w:val="single" w:sz="4" w:space="0" w:color="000000"/>
              <w:bottom w:val="nil" w:sz="6" w:space="0" w:color="auto"/>
              <w:right w:val="single" w:sz="4" w:space="0" w:color="000000"/>
            </w:tcBorders>
          </w:tcPr>
          <w:p>
            <w:pPr/>
          </w:p>
        </w:tc>
        <w:tc>
          <w:tcPr>
            <w:tcW w:w="45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在久其软件及其下属子公司、瑞意恒动及其下属子公司任</w:t>
            </w:r>
          </w:p>
        </w:tc>
        <w:tc>
          <w:tcPr>
            <w:tcW w:w="563" w:type="dxa"/>
            <w:tcBorders>
              <w:top w:val="nil" w:sz="6" w:space="0" w:color="auto"/>
              <w:left w:val="single" w:sz="4" w:space="0" w:color="000000"/>
              <w:bottom w:val="nil" w:sz="6" w:space="0" w:color="auto"/>
              <w:right w:val="single" w:sz="4" w:space="0" w:color="000000"/>
            </w:tcBorders>
          </w:tcPr>
          <w:p>
            <w:pPr/>
          </w:p>
        </w:tc>
        <w:tc>
          <w:tcPr>
            <w:tcW w:w="592" w:type="dxa"/>
            <w:tcBorders>
              <w:top w:val="nil" w:sz="6" w:space="0" w:color="auto"/>
              <w:left w:val="single" w:sz="4" w:space="0" w:color="000000"/>
              <w:bottom w:val="nil" w:sz="6" w:space="0" w:color="auto"/>
              <w:right w:val="single" w:sz="4" w:space="0" w:color="000000"/>
            </w:tcBorders>
          </w:tcPr>
          <w:p>
            <w:pPr/>
          </w:p>
        </w:tc>
        <w:tc>
          <w:tcPr>
            <w:tcW w:w="293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32" w:type="dxa"/>
            <w:vMerge/>
            <w:tcBorders>
              <w:left w:val="single" w:sz="4" w:space="0" w:color="000000"/>
              <w:right w:val="single" w:sz="4" w:space="0" w:color="000000"/>
            </w:tcBorders>
            <w:shd w:val="clear" w:color="auto" w:fill="D2D2D2"/>
          </w:tcPr>
          <w:p>
            <w:pPr/>
          </w:p>
        </w:tc>
        <w:tc>
          <w:tcPr>
            <w:tcW w:w="3398" w:type="dxa"/>
            <w:tcBorders>
              <w:top w:val="nil" w:sz="6" w:space="0" w:color="auto"/>
              <w:left w:val="single" w:sz="4" w:space="0" w:color="000000"/>
              <w:bottom w:val="nil" w:sz="6" w:space="0" w:color="auto"/>
              <w:right w:val="single" w:sz="4" w:space="0" w:color="000000"/>
            </w:tcBorders>
          </w:tcPr>
          <w:p>
            <w:pPr/>
          </w:p>
        </w:tc>
        <w:tc>
          <w:tcPr>
            <w:tcW w:w="701" w:type="dxa"/>
            <w:tcBorders>
              <w:top w:val="nil" w:sz="6" w:space="0" w:color="auto"/>
              <w:left w:val="single" w:sz="4" w:space="0" w:color="000000"/>
              <w:bottom w:val="nil" w:sz="6" w:space="0" w:color="auto"/>
              <w:right w:val="single" w:sz="4" w:space="0" w:color="000000"/>
            </w:tcBorders>
          </w:tcPr>
          <w:p>
            <w:pPr/>
          </w:p>
        </w:tc>
        <w:tc>
          <w:tcPr>
            <w:tcW w:w="45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职期间以及离职后两年内，本承诺函持续有效。④如上述</w:t>
            </w:r>
          </w:p>
        </w:tc>
        <w:tc>
          <w:tcPr>
            <w:tcW w:w="563" w:type="dxa"/>
            <w:tcBorders>
              <w:top w:val="nil" w:sz="6" w:space="0" w:color="auto"/>
              <w:left w:val="single" w:sz="4" w:space="0" w:color="000000"/>
              <w:bottom w:val="nil" w:sz="6" w:space="0" w:color="auto"/>
              <w:right w:val="single" w:sz="4" w:space="0" w:color="000000"/>
            </w:tcBorders>
          </w:tcPr>
          <w:p>
            <w:pPr/>
          </w:p>
        </w:tc>
        <w:tc>
          <w:tcPr>
            <w:tcW w:w="592" w:type="dxa"/>
            <w:tcBorders>
              <w:top w:val="nil" w:sz="6" w:space="0" w:color="auto"/>
              <w:left w:val="single" w:sz="4" w:space="0" w:color="000000"/>
              <w:bottom w:val="nil" w:sz="6" w:space="0" w:color="auto"/>
              <w:right w:val="single" w:sz="4" w:space="0" w:color="000000"/>
            </w:tcBorders>
          </w:tcPr>
          <w:p>
            <w:pPr/>
          </w:p>
        </w:tc>
        <w:tc>
          <w:tcPr>
            <w:tcW w:w="2932"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232" w:type="dxa"/>
            <w:vMerge/>
            <w:tcBorders>
              <w:left w:val="single" w:sz="4" w:space="0" w:color="000000"/>
              <w:right w:val="single" w:sz="4" w:space="0" w:color="000000"/>
            </w:tcBorders>
            <w:shd w:val="clear" w:color="auto" w:fill="D2D2D2"/>
          </w:tcPr>
          <w:p>
            <w:pPr/>
          </w:p>
        </w:tc>
        <w:tc>
          <w:tcPr>
            <w:tcW w:w="3398" w:type="dxa"/>
            <w:tcBorders>
              <w:top w:val="nil" w:sz="6" w:space="0" w:color="auto"/>
              <w:left w:val="single" w:sz="4" w:space="0" w:color="000000"/>
              <w:bottom w:val="nil" w:sz="6" w:space="0" w:color="auto"/>
              <w:right w:val="single" w:sz="4" w:space="0" w:color="000000"/>
            </w:tcBorders>
          </w:tcPr>
          <w:p>
            <w:pPr/>
          </w:p>
        </w:tc>
        <w:tc>
          <w:tcPr>
            <w:tcW w:w="701" w:type="dxa"/>
            <w:tcBorders>
              <w:top w:val="nil" w:sz="6" w:space="0" w:color="auto"/>
              <w:left w:val="single" w:sz="4" w:space="0" w:color="000000"/>
              <w:bottom w:val="nil" w:sz="6" w:space="0" w:color="auto"/>
              <w:right w:val="single" w:sz="4" w:space="0" w:color="000000"/>
            </w:tcBorders>
          </w:tcPr>
          <w:p>
            <w:pPr/>
          </w:p>
        </w:tc>
        <w:tc>
          <w:tcPr>
            <w:tcW w:w="45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承诺被证明是不真实的或未被遵守</w:t>
            </w:r>
            <w:r>
              <w:rPr>
                <w:rFonts w:ascii="Times New Roman" w:hAnsi="Times New Roman" w:cs="Times New Roman" w:eastAsia="Times New Roman" w:hint="default"/>
                <w:sz w:val="18"/>
                <w:szCs w:val="18"/>
              </w:rPr>
              <w:t>,</w:t>
            </w:r>
            <w:r>
              <w:rPr>
                <w:rFonts w:ascii="宋体" w:hAnsi="宋体" w:cs="宋体" w:eastAsia="宋体" w:hint="default"/>
                <w:sz w:val="18"/>
                <w:szCs w:val="18"/>
              </w:rPr>
              <w:t>本人愿意承担因违反</w:t>
            </w:r>
          </w:p>
        </w:tc>
        <w:tc>
          <w:tcPr>
            <w:tcW w:w="563" w:type="dxa"/>
            <w:tcBorders>
              <w:top w:val="nil" w:sz="6" w:space="0" w:color="auto"/>
              <w:left w:val="single" w:sz="4" w:space="0" w:color="000000"/>
              <w:bottom w:val="nil" w:sz="6" w:space="0" w:color="auto"/>
              <w:right w:val="single" w:sz="4" w:space="0" w:color="000000"/>
            </w:tcBorders>
          </w:tcPr>
          <w:p>
            <w:pPr/>
          </w:p>
        </w:tc>
        <w:tc>
          <w:tcPr>
            <w:tcW w:w="592" w:type="dxa"/>
            <w:tcBorders>
              <w:top w:val="nil" w:sz="6" w:space="0" w:color="auto"/>
              <w:left w:val="single" w:sz="4" w:space="0" w:color="000000"/>
              <w:bottom w:val="nil" w:sz="6" w:space="0" w:color="auto"/>
              <w:right w:val="single" w:sz="4" w:space="0" w:color="000000"/>
            </w:tcBorders>
          </w:tcPr>
          <w:p>
            <w:pPr/>
          </w:p>
        </w:tc>
        <w:tc>
          <w:tcPr>
            <w:tcW w:w="2932"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232" w:type="dxa"/>
            <w:vMerge/>
            <w:tcBorders>
              <w:left w:val="single" w:sz="4" w:space="0" w:color="000000"/>
              <w:bottom w:val="single" w:sz="4" w:space="0" w:color="000000"/>
              <w:right w:val="single" w:sz="4" w:space="0" w:color="000000"/>
            </w:tcBorders>
            <w:shd w:val="clear" w:color="auto" w:fill="D2D2D2"/>
          </w:tcPr>
          <w:p>
            <w:pPr/>
          </w:p>
        </w:tc>
        <w:tc>
          <w:tcPr>
            <w:tcW w:w="3398" w:type="dxa"/>
            <w:tcBorders>
              <w:top w:val="nil" w:sz="6" w:space="0" w:color="auto"/>
              <w:left w:val="single" w:sz="4" w:space="0" w:color="000000"/>
              <w:bottom w:val="single" w:sz="4" w:space="0" w:color="000000"/>
              <w:right w:val="single" w:sz="4" w:space="0" w:color="000000"/>
            </w:tcBorders>
          </w:tcPr>
          <w:p>
            <w:pPr/>
          </w:p>
        </w:tc>
        <w:tc>
          <w:tcPr>
            <w:tcW w:w="701" w:type="dxa"/>
            <w:tcBorders>
              <w:top w:val="nil" w:sz="6" w:space="0" w:color="auto"/>
              <w:left w:val="single" w:sz="4" w:space="0" w:color="000000"/>
              <w:bottom w:val="single" w:sz="4" w:space="0" w:color="000000"/>
              <w:right w:val="single" w:sz="4" w:space="0" w:color="000000"/>
            </w:tcBorders>
          </w:tcPr>
          <w:p>
            <w:pPr/>
          </w:p>
        </w:tc>
        <w:tc>
          <w:tcPr>
            <w:tcW w:w="45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上述承诺而给久其软件造成的全部经济损失</w:t>
            </w:r>
          </w:p>
        </w:tc>
        <w:tc>
          <w:tcPr>
            <w:tcW w:w="563" w:type="dxa"/>
            <w:tcBorders>
              <w:top w:val="nil" w:sz="6" w:space="0" w:color="auto"/>
              <w:left w:val="single" w:sz="4" w:space="0" w:color="000000"/>
              <w:bottom w:val="single" w:sz="4" w:space="0" w:color="000000"/>
              <w:right w:val="single" w:sz="4" w:space="0" w:color="000000"/>
            </w:tcBorders>
          </w:tcPr>
          <w:p>
            <w:pPr/>
          </w:p>
        </w:tc>
        <w:tc>
          <w:tcPr>
            <w:tcW w:w="592" w:type="dxa"/>
            <w:tcBorders>
              <w:top w:val="nil" w:sz="6" w:space="0" w:color="auto"/>
              <w:left w:val="single" w:sz="4" w:space="0" w:color="000000"/>
              <w:bottom w:val="single" w:sz="4" w:space="0" w:color="000000"/>
              <w:right w:val="single" w:sz="4" w:space="0" w:color="000000"/>
            </w:tcBorders>
          </w:tcPr>
          <w:p>
            <w:pPr/>
          </w:p>
        </w:tc>
        <w:tc>
          <w:tcPr>
            <w:tcW w:w="2932"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r>
        <w:rPr/>
        <w:pict>
          <v:shape style="position:absolute;margin-left:372.083008pt;margin-top:92.900009pt;width:222.9pt;height:171.65pt;mso-position-horizontal-relative:page;mso-position-vertical-relative:page;z-index:-1046152" type="#_x0000_t202" filled="false" stroked="false">
            <v:textbox inset="0,0,0,0">
              <w:txbxContent>
                <w:p>
                  <w:pPr>
                    <w:pStyle w:val="BodyText"/>
                    <w:spacing w:line="636" w:lineRule="auto" w:before="51"/>
                    <w:ind w:left="0" w:right="493" w:firstLine="2341"/>
                    <w:jc w:val="right"/>
                  </w:pPr>
                  <w:r>
                    <w:rPr/>
                    <w:t>在本次交易完成前， 未向久其软件推荐董事或高级管理人员。</w:t>
                  </w: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7"/>
                      <w:szCs w:val="17"/>
                    </w:rPr>
                  </w:pPr>
                </w:p>
                <w:p>
                  <w:pPr>
                    <w:pStyle w:val="BodyText"/>
                    <w:spacing w:line="240" w:lineRule="auto"/>
                    <w:ind w:left="0" w:right="495"/>
                    <w:jc w:val="right"/>
                  </w:pPr>
                  <w:r>
                    <w:rPr/>
                    <w:t>瑞意恒动能够通过市场与第三方之间发生的交易，</w:t>
                  </w:r>
                </w:p>
              </w:txbxContent>
            </v:textbox>
            <w10:wrap type="none"/>
          </v:shape>
        </w:pict>
      </w:r>
      <w:r>
        <w:rPr/>
        <w:pict>
          <v:shape style="position:absolute;margin-left:417.083008pt;margin-top:330.940002pt;width:177.9pt;height:171.65pt;mso-position-horizontal-relative:page;mso-position-vertical-relative:page;z-index:-10461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6"/>
                      <w:szCs w:val="16"/>
                    </w:rPr>
                  </w:pPr>
                </w:p>
                <w:p>
                  <w:pPr>
                    <w:pStyle w:val="BodyText"/>
                    <w:spacing w:line="240" w:lineRule="auto"/>
                    <w:ind w:left="0" w:right="0"/>
                    <w:jc w:val="left"/>
                  </w:pPr>
                  <w:r>
                    <w:rPr/>
                    <w:t>瑞意恒动及广大中小股东的合法权益。</w:t>
                  </w:r>
                </w:p>
              </w:txbxContent>
            </v:textbox>
            <w10:wrap type="none"/>
          </v:shape>
        </w:pict>
      </w:r>
    </w:p>
    <w:tbl>
      <w:tblPr>
        <w:tblW w:w="0" w:type="auto"/>
        <w:jc w:val="left"/>
        <w:tblInd w:w="107" w:type="dxa"/>
        <w:tblLayout w:type="fixed"/>
        <w:tblCellMar>
          <w:top w:w="0" w:type="dxa"/>
          <w:left w:w="0" w:type="dxa"/>
          <w:bottom w:w="0" w:type="dxa"/>
          <w:right w:w="0" w:type="dxa"/>
        </w:tblCellMar>
        <w:tblLook w:val="01E0"/>
      </w:tblPr>
      <w:tblGrid>
        <w:gridCol w:w="1232"/>
        <w:gridCol w:w="3398"/>
        <w:gridCol w:w="701"/>
        <w:gridCol w:w="4598"/>
        <w:gridCol w:w="563"/>
        <w:gridCol w:w="592"/>
        <w:gridCol w:w="2932"/>
      </w:tblGrid>
      <w:tr>
        <w:trPr>
          <w:trHeight w:val="175" w:hRule="exact"/>
        </w:trPr>
        <w:tc>
          <w:tcPr>
            <w:tcW w:w="1232" w:type="dxa"/>
            <w:tcBorders>
              <w:top w:val="single" w:sz="15" w:space="0" w:color="000000"/>
              <w:left w:val="single" w:sz="4" w:space="0" w:color="000000"/>
              <w:bottom w:val="nil" w:sz="6" w:space="0" w:color="auto"/>
              <w:right w:val="single" w:sz="4" w:space="0" w:color="000000"/>
            </w:tcBorders>
            <w:shd w:val="clear" w:color="auto" w:fill="D2D2D2"/>
          </w:tcPr>
          <w:p>
            <w:pPr/>
          </w:p>
        </w:tc>
        <w:tc>
          <w:tcPr>
            <w:tcW w:w="3398" w:type="dxa"/>
            <w:tcBorders>
              <w:top w:val="single" w:sz="15" w:space="0" w:color="000000"/>
              <w:left w:val="single" w:sz="4" w:space="0" w:color="000000"/>
              <w:bottom w:val="nil" w:sz="6" w:space="0" w:color="auto"/>
              <w:right w:val="single" w:sz="4" w:space="0" w:color="000000"/>
            </w:tcBorders>
            <w:shd w:val="clear" w:color="auto" w:fill="D2D2D2"/>
          </w:tcPr>
          <w:p>
            <w:pPr/>
          </w:p>
        </w:tc>
        <w:tc>
          <w:tcPr>
            <w:tcW w:w="701"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255" w:right="73" w:hanging="180"/>
              <w:jc w:val="left"/>
              <w:rPr>
                <w:rFonts w:ascii="宋体" w:hAnsi="宋体" w:cs="宋体" w:eastAsia="宋体" w:hint="default"/>
                <w:sz w:val="18"/>
                <w:szCs w:val="18"/>
              </w:rPr>
            </w:pPr>
            <w:r>
              <w:rPr>
                <w:rFonts w:ascii="宋体" w:hAnsi="宋体" w:cs="宋体" w:eastAsia="宋体" w:hint="default"/>
                <w:sz w:val="18"/>
                <w:szCs w:val="18"/>
              </w:rPr>
              <w:t>承诺类 型</w:t>
            </w:r>
          </w:p>
        </w:tc>
        <w:tc>
          <w:tcPr>
            <w:tcW w:w="4598" w:type="dxa"/>
            <w:tcBorders>
              <w:top w:val="single" w:sz="15"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96" w:right="95"/>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92"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110" w:right="109"/>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2932" w:type="dxa"/>
            <w:tcBorders>
              <w:top w:val="single" w:sz="15"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12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33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701" w:type="dxa"/>
            <w:vMerge/>
            <w:tcBorders>
              <w:left w:val="single" w:sz="4" w:space="0" w:color="000000"/>
              <w:right w:val="single" w:sz="4" w:space="0" w:color="000000"/>
            </w:tcBorders>
            <w:shd w:val="clear" w:color="auto" w:fill="D2D2D2"/>
          </w:tcPr>
          <w:p>
            <w:pPr/>
          </w:p>
        </w:tc>
        <w:tc>
          <w:tcPr>
            <w:tcW w:w="4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63" w:type="dxa"/>
            <w:vMerge/>
            <w:tcBorders>
              <w:left w:val="single" w:sz="4" w:space="0" w:color="000000"/>
              <w:right w:val="single" w:sz="4" w:space="0" w:color="000000"/>
            </w:tcBorders>
            <w:shd w:val="clear" w:color="auto" w:fill="D2D2D2"/>
          </w:tcPr>
          <w:p>
            <w:pPr/>
          </w:p>
        </w:tc>
        <w:tc>
          <w:tcPr>
            <w:tcW w:w="592" w:type="dxa"/>
            <w:vMerge/>
            <w:tcBorders>
              <w:left w:val="single" w:sz="4" w:space="0" w:color="000000"/>
              <w:right w:val="single" w:sz="4" w:space="0" w:color="000000"/>
            </w:tcBorders>
            <w:shd w:val="clear" w:color="auto" w:fill="D2D2D2"/>
          </w:tcPr>
          <w:p>
            <w:pPr/>
          </w:p>
        </w:tc>
        <w:tc>
          <w:tcPr>
            <w:tcW w:w="2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1" w:hRule="exact"/>
        </w:trPr>
        <w:tc>
          <w:tcPr>
            <w:tcW w:w="1232" w:type="dxa"/>
            <w:tcBorders>
              <w:top w:val="nil" w:sz="6" w:space="0" w:color="auto"/>
              <w:left w:val="single" w:sz="4" w:space="0" w:color="000000"/>
              <w:bottom w:val="single" w:sz="4" w:space="0" w:color="000000"/>
              <w:right w:val="single" w:sz="4" w:space="0" w:color="000000"/>
            </w:tcBorders>
            <w:shd w:val="clear" w:color="auto" w:fill="D2D2D2"/>
          </w:tcPr>
          <w:p>
            <w:pPr/>
          </w:p>
        </w:tc>
        <w:tc>
          <w:tcPr>
            <w:tcW w:w="33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vMerge/>
            <w:tcBorders>
              <w:left w:val="single" w:sz="4" w:space="0" w:color="000000"/>
              <w:bottom w:val="single" w:sz="4" w:space="0" w:color="000000"/>
              <w:right w:val="single" w:sz="4" w:space="0" w:color="000000"/>
            </w:tcBorders>
            <w:shd w:val="clear" w:color="auto" w:fill="D2D2D2"/>
          </w:tcPr>
          <w:p>
            <w:pPr/>
          </w:p>
        </w:tc>
        <w:tc>
          <w:tcPr>
            <w:tcW w:w="4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92" w:type="dxa"/>
            <w:vMerge/>
            <w:tcBorders>
              <w:left w:val="single" w:sz="4" w:space="0" w:color="000000"/>
              <w:bottom w:val="single" w:sz="4" w:space="0" w:color="000000"/>
              <w:right w:val="single" w:sz="4" w:space="0" w:color="000000"/>
            </w:tcBorders>
            <w:shd w:val="clear" w:color="auto" w:fill="D2D2D2"/>
          </w:tcPr>
          <w:p>
            <w:pPr/>
          </w:p>
        </w:tc>
        <w:tc>
          <w:tcPr>
            <w:tcW w:w="293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8203" w:hRule="exact"/>
        </w:trPr>
        <w:tc>
          <w:tcPr>
            <w:tcW w:w="1232" w:type="dxa"/>
            <w:vMerge w:val="restart"/>
            <w:tcBorders>
              <w:top w:val="single" w:sz="4" w:space="0" w:color="000000"/>
              <w:left w:val="single" w:sz="4" w:space="0" w:color="000000"/>
              <w:right w:val="single" w:sz="4" w:space="0" w:color="000000"/>
            </w:tcBorders>
            <w:shd w:val="clear" w:color="auto" w:fill="D2D2D2"/>
          </w:tcPr>
          <w:p>
            <w:pP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沈栋梁、郝欣诚、顾瀚博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19" w:lineRule="auto"/>
              <w:ind w:left="22" w:right="126"/>
              <w:jc w:val="both"/>
              <w:rPr>
                <w:rFonts w:ascii="宋体" w:hAnsi="宋体" w:cs="宋体" w:eastAsia="宋体" w:hint="default"/>
                <w:sz w:val="18"/>
                <w:szCs w:val="18"/>
              </w:rPr>
            </w:pPr>
            <w:r>
              <w:rPr>
                <w:rFonts w:ascii="宋体" w:hAnsi="宋体" w:cs="宋体" w:eastAsia="宋体" w:hint="default"/>
                <w:sz w:val="18"/>
                <w:szCs w:val="18"/>
              </w:rPr>
              <w:t>关于规 范关联 交易的 承诺</w:t>
            </w:r>
          </w:p>
        </w:tc>
        <w:tc>
          <w:tcPr>
            <w:tcW w:w="4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3"/>
              <w:jc w:val="left"/>
              <w:rPr>
                <w:rFonts w:ascii="宋体" w:hAnsi="宋体" w:cs="宋体" w:eastAsia="宋体" w:hint="default"/>
                <w:sz w:val="18"/>
                <w:szCs w:val="18"/>
              </w:rPr>
            </w:pPr>
            <w:r>
              <w:rPr>
                <w:rFonts w:ascii="宋体" w:hAnsi="宋体" w:cs="宋体" w:eastAsia="宋体" w:hint="default"/>
                <w:sz w:val="18"/>
                <w:szCs w:val="18"/>
              </w:rPr>
              <w:t>①本人及本人的近亲属、控制的企业， 与久其软件、久其软件的控股股东、实际控制人之间不存 在任何关联关系、</w:t>
            </w:r>
          </w:p>
          <w:p>
            <w:pPr>
              <w:pStyle w:val="TableParagraph"/>
              <w:spacing w:line="316" w:lineRule="auto" w:before="19"/>
              <w:ind w:left="22" w:right="62"/>
              <w:jc w:val="left"/>
              <w:rPr>
                <w:rFonts w:ascii="宋体" w:hAnsi="宋体" w:cs="宋体" w:eastAsia="宋体" w:hint="default"/>
                <w:sz w:val="18"/>
                <w:szCs w:val="18"/>
              </w:rPr>
            </w:pPr>
            <w:r>
              <w:rPr>
                <w:rFonts w:ascii="宋体" w:hAnsi="宋体" w:cs="宋体" w:eastAsia="宋体" w:hint="default"/>
                <w:sz w:val="18"/>
                <w:szCs w:val="18"/>
              </w:rPr>
              <w:t>②本人承诺将尽量避免或减少与久其软件及其子公司、瑞 意恒动之间可能发生的关联交易。对于久其软件及其控股 子公司、 将由久其软件及其控股子公司、瑞意恒动独立与第三方进 行；对于本人及本人控制的其他企业与久其软件及其控股 子公司、瑞意恒动之间无法避免的关联交易，均将严格遵 守市场化原则，本着平等互利、等价有偿的一般原则，公 平合理地进行。③本人特此承诺，本次交易过程中及交易 完成后，除开展正常业务所需备用金外，不会以任何方式 占用或使用久其软件及其子公司、瑞意恒动的资金、资产 或其他资源，也不会要求久其软件及其子公司、瑞意恒动 为本人及本人控制的其他企业代垫款项、代偿债务，本人 不会以任何直接或间接的方式从事损害或可能损害久其软 件及其子公司、瑞意恒动利益的行为。④本人承诺，本人 及本人控制的其他企业与久其软件及其子公司、瑞意恒动 发生关联交易时，将严格按照有关法律、法规、规范性文 件及久其软件《公司章程》等公司治理制度的有关规定履 行审批程序和信息披露义务，保证不通过关联交易损害久 其软件及其子公司、 本人在董事会、或股东大会审议该等关联交易事项时，主 动依法履行回避义务，并在议案通过后方可实施。⑤如果 因违反上述承诺导致久其软件及其子公司、瑞意恒动利益 损失的，该等损失由本人承担</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343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8"/>
                <w:sz w:val="20"/>
                <w:szCs w:val="20"/>
              </w:rPr>
              <w:pict>
                <v:group style="width:27.7pt;height:171.65pt;mso-position-horizontal-relative:char;mso-position-vertical-relative:line" coordorigin="0,0" coordsize="554,3433">
                  <v:group style="position:absolute;left:0;top:0;width:554;height:3433" coordorigin="0,0" coordsize="554,3433">
                    <v:shape style="position:absolute;left:0;top:0;width:554;height:3433" coordorigin="0,0" coordsize="554,3433" path="m0,3432l553,3432,553,0,0,0,0,3432xe" filled="true" fillcolor="#ffffff" stroked="false">
                      <v:path arrowok="t"/>
                      <v:fill type="solid"/>
                    </v:shape>
                  </v:group>
                </v:group>
              </w:pict>
            </w:r>
            <w:r>
              <w:rPr>
                <w:rFonts w:ascii="Times New Roman" w:hAnsi="Times New Roman" w:cs="Times New Roman" w:eastAsia="Times New Roman" w:hint="default"/>
                <w:position w:val="-68"/>
                <w:sz w:val="20"/>
                <w:szCs w:val="20"/>
              </w:rPr>
            </w:r>
          </w:p>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4"/>
                <w:szCs w:val="14"/>
              </w:rPr>
            </w:pPr>
          </w:p>
          <w:p>
            <w:pPr>
              <w:pStyle w:val="TableParagraph"/>
              <w:spacing w:line="343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8"/>
                <w:sz w:val="20"/>
                <w:szCs w:val="20"/>
              </w:rPr>
              <w:pict>
                <v:group style="width:27.7pt;height:171.65pt;mso-position-horizontal-relative:char;mso-position-vertical-relative:line" coordorigin="0,0" coordsize="554,3433">
                  <v:group style="position:absolute;left:0;top:0;width:554;height:3433" coordorigin="0,0" coordsize="554,3433">
                    <v:shape style="position:absolute;left:0;top:0;width:554;height:3433" coordorigin="0,0" coordsize="554,3433" path="m0,3432l553,3432,553,0,0,0,0,3432xe" filled="true" fillcolor="#ffffff" stroked="false">
                      <v:path arrowok="t"/>
                      <v:fill type="solid"/>
                    </v:shape>
                  </v:group>
                </v:group>
              </w:pict>
            </w:r>
            <w:r>
              <w:rPr>
                <w:rFonts w:ascii="Times New Roman" w:hAnsi="Times New Roman" w:cs="Times New Roman" w:eastAsia="Times New Roman" w:hint="default"/>
                <w:position w:val="-68"/>
                <w:sz w:val="20"/>
                <w:szCs w:val="20"/>
              </w:rPr>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9" w:lineRule="auto"/>
              <w:ind w:left="22" w:right="197"/>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z w:val="18"/>
                <w:szCs w:val="18"/>
              </w:rPr>
              <w:t>截至报告期末，承诺方严格遵守该承 诺，未有违反该承诺的情况</w:t>
            </w:r>
          </w:p>
        </w:tc>
      </w:tr>
      <w:tr>
        <w:trPr>
          <w:trHeight w:val="402" w:hRule="exact"/>
        </w:trPr>
        <w:tc>
          <w:tcPr>
            <w:tcW w:w="1232" w:type="dxa"/>
            <w:vMerge/>
            <w:tcBorders>
              <w:left w:val="single" w:sz="4" w:space="0" w:color="000000"/>
              <w:bottom w:val="single" w:sz="4" w:space="0" w:color="000000"/>
              <w:right w:val="single" w:sz="4" w:space="0" w:color="000000"/>
            </w:tcBorders>
            <w:shd w:val="clear" w:color="auto" w:fill="D2D2D2"/>
          </w:tcPr>
          <w:p>
            <w:pP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33"/>
              <w:jc w:val="left"/>
              <w:rPr>
                <w:rFonts w:ascii="宋体" w:hAnsi="宋体" w:cs="宋体" w:eastAsia="宋体" w:hint="default"/>
                <w:sz w:val="18"/>
                <w:szCs w:val="18"/>
              </w:rPr>
            </w:pPr>
            <w:r>
              <w:rPr>
                <w:rFonts w:ascii="宋体" w:hAnsi="宋体" w:cs="宋体" w:eastAsia="宋体" w:hint="default"/>
                <w:spacing w:val="-11"/>
                <w:sz w:val="18"/>
                <w:szCs w:val="18"/>
              </w:rPr>
              <w:t>李俊峰、张思必、蒋国兴、贾瑞明、谢泳江、</w:t>
            </w:r>
            <w:r>
              <w:rPr>
                <w:rFonts w:ascii="宋体" w:hAnsi="宋体" w:cs="宋体" w:eastAsia="宋体" w:hint="default"/>
                <w:sz w:val="18"/>
                <w:szCs w:val="18"/>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股份限</w:t>
            </w:r>
          </w:p>
          <w:p>
            <w:pPr>
              <w:pStyle w:val="TableParagraph"/>
              <w:spacing w:line="374" w:lineRule="exact"/>
              <w:ind w:right="-15"/>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33.450pt;height:18.75pt;mso-position-horizontal-relative:char;mso-position-vertical-relative:line" coordorigin="0,0" coordsize="669,375">
                  <v:group style="position:absolute;left:11;top:11;width:2;height:352" coordorigin="11,11" coordsize="2,352">
                    <v:shape style="position:absolute;left:11;top:11;width:2;height:352" coordorigin="11,11" coordsize="0,352" path="m11,11l11,363e" filled="false" stroked="true" strokeweight="1.140pt" strokecolor="#ffffff">
                      <v:path arrowok="t"/>
                    </v:shape>
                  </v:group>
                  <v:group style="position:absolute;left:23;top:11;width:646;height:352" coordorigin="23,11" coordsize="646,352">
                    <v:shape style="position:absolute;left:23;top:11;width:646;height:352" coordorigin="23,11" coordsize="646,352" path="m23,363l668,363,668,11,23,11,23,363xe" filled="true" fillcolor="#ffffff" stroked="false">
                      <v:path arrowok="t"/>
                      <v:fill type="solid"/>
                    </v:shape>
                  </v:group>
                </v:group>
              </w:pict>
            </w:r>
            <w:r>
              <w:rPr>
                <w:rFonts w:ascii="Times New Roman" w:hAnsi="Times New Roman" w:cs="Times New Roman" w:eastAsia="Times New Roman" w:hint="default"/>
                <w:position w:val="-6"/>
                <w:sz w:val="20"/>
                <w:szCs w:val="20"/>
              </w:rPr>
            </w:r>
          </w:p>
        </w:tc>
        <w:tc>
          <w:tcPr>
            <w:tcW w:w="4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5"/>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类交易对方因本次交易而取得的上市公司股份，以及栗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2015</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至</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报告期内，承诺方已履行完毕</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r>
        <w:rPr/>
        <w:pict>
          <v:group style="position:absolute;margin-left:302.359985pt;margin-top:110.540009pt;width:34.6pt;height:109.2pt;mso-position-horizontal-relative:page;mso-position-vertical-relative:page;z-index:-1046056" coordorigin="6047,2211" coordsize="692,2184">
            <v:shape style="position:absolute;left:6047;top:2211;width:692;height:2184" coordorigin="6047,2211" coordsize="692,2184" path="m6047,4395l6738,4395,6738,2211,6047,2211,6047,4395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1232"/>
        <w:gridCol w:w="3398"/>
        <w:gridCol w:w="701"/>
        <w:gridCol w:w="4598"/>
        <w:gridCol w:w="563"/>
        <w:gridCol w:w="592"/>
        <w:gridCol w:w="2932"/>
      </w:tblGrid>
      <w:tr>
        <w:trPr>
          <w:trHeight w:val="175" w:hRule="exact"/>
        </w:trPr>
        <w:tc>
          <w:tcPr>
            <w:tcW w:w="1232" w:type="dxa"/>
            <w:tcBorders>
              <w:top w:val="single" w:sz="15" w:space="0" w:color="000000"/>
              <w:left w:val="single" w:sz="4" w:space="0" w:color="000000"/>
              <w:bottom w:val="nil" w:sz="6" w:space="0" w:color="auto"/>
              <w:right w:val="single" w:sz="4" w:space="0" w:color="000000"/>
            </w:tcBorders>
            <w:shd w:val="clear" w:color="auto" w:fill="D2D2D2"/>
          </w:tcPr>
          <w:p>
            <w:pPr/>
          </w:p>
        </w:tc>
        <w:tc>
          <w:tcPr>
            <w:tcW w:w="3398" w:type="dxa"/>
            <w:tcBorders>
              <w:top w:val="single" w:sz="15" w:space="0" w:color="000000"/>
              <w:left w:val="single" w:sz="4" w:space="0" w:color="000000"/>
              <w:bottom w:val="nil" w:sz="6" w:space="0" w:color="auto"/>
              <w:right w:val="single" w:sz="4" w:space="0" w:color="000000"/>
            </w:tcBorders>
            <w:shd w:val="clear" w:color="auto" w:fill="D2D2D2"/>
          </w:tcPr>
          <w:p>
            <w:pPr/>
          </w:p>
        </w:tc>
        <w:tc>
          <w:tcPr>
            <w:tcW w:w="701"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255" w:right="73" w:hanging="180"/>
              <w:jc w:val="left"/>
              <w:rPr>
                <w:rFonts w:ascii="宋体" w:hAnsi="宋体" w:cs="宋体" w:eastAsia="宋体" w:hint="default"/>
                <w:sz w:val="18"/>
                <w:szCs w:val="18"/>
              </w:rPr>
            </w:pPr>
            <w:r>
              <w:rPr>
                <w:rFonts w:ascii="宋体" w:hAnsi="宋体" w:cs="宋体" w:eastAsia="宋体" w:hint="default"/>
                <w:sz w:val="18"/>
                <w:szCs w:val="18"/>
              </w:rPr>
              <w:t>承诺类 型</w:t>
            </w:r>
          </w:p>
        </w:tc>
        <w:tc>
          <w:tcPr>
            <w:tcW w:w="4598" w:type="dxa"/>
            <w:tcBorders>
              <w:top w:val="single" w:sz="15"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96" w:right="95"/>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92"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110" w:right="109"/>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2932" w:type="dxa"/>
            <w:tcBorders>
              <w:top w:val="single" w:sz="15"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12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33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701" w:type="dxa"/>
            <w:vMerge/>
            <w:tcBorders>
              <w:left w:val="single" w:sz="4" w:space="0" w:color="000000"/>
              <w:right w:val="single" w:sz="4" w:space="0" w:color="000000"/>
            </w:tcBorders>
            <w:shd w:val="clear" w:color="auto" w:fill="D2D2D2"/>
          </w:tcPr>
          <w:p>
            <w:pPr/>
          </w:p>
        </w:tc>
        <w:tc>
          <w:tcPr>
            <w:tcW w:w="4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63" w:type="dxa"/>
            <w:vMerge/>
            <w:tcBorders>
              <w:left w:val="single" w:sz="4" w:space="0" w:color="000000"/>
              <w:right w:val="single" w:sz="4" w:space="0" w:color="000000"/>
            </w:tcBorders>
            <w:shd w:val="clear" w:color="auto" w:fill="D2D2D2"/>
          </w:tcPr>
          <w:p>
            <w:pPr/>
          </w:p>
        </w:tc>
        <w:tc>
          <w:tcPr>
            <w:tcW w:w="592" w:type="dxa"/>
            <w:vMerge/>
            <w:tcBorders>
              <w:left w:val="single" w:sz="4" w:space="0" w:color="000000"/>
              <w:right w:val="single" w:sz="4" w:space="0" w:color="000000"/>
            </w:tcBorders>
            <w:shd w:val="clear" w:color="auto" w:fill="D2D2D2"/>
          </w:tcPr>
          <w:p>
            <w:pPr/>
          </w:p>
        </w:tc>
        <w:tc>
          <w:tcPr>
            <w:tcW w:w="2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1" w:hRule="exact"/>
        </w:trPr>
        <w:tc>
          <w:tcPr>
            <w:tcW w:w="1232" w:type="dxa"/>
            <w:tcBorders>
              <w:top w:val="nil" w:sz="6" w:space="0" w:color="auto"/>
              <w:left w:val="single" w:sz="4" w:space="0" w:color="000000"/>
              <w:bottom w:val="single" w:sz="4" w:space="0" w:color="000000"/>
              <w:right w:val="single" w:sz="4" w:space="0" w:color="000000"/>
            </w:tcBorders>
            <w:shd w:val="clear" w:color="auto" w:fill="D2D2D2"/>
          </w:tcPr>
          <w:p>
            <w:pPr/>
          </w:p>
        </w:tc>
        <w:tc>
          <w:tcPr>
            <w:tcW w:w="33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vMerge/>
            <w:tcBorders>
              <w:left w:val="single" w:sz="4" w:space="0" w:color="000000"/>
              <w:bottom w:val="single" w:sz="4" w:space="0" w:color="000000"/>
              <w:right w:val="single" w:sz="4" w:space="0" w:color="000000"/>
            </w:tcBorders>
            <w:shd w:val="clear" w:color="auto" w:fill="D2D2D2"/>
          </w:tcPr>
          <w:p>
            <w:pPr/>
          </w:p>
        </w:tc>
        <w:tc>
          <w:tcPr>
            <w:tcW w:w="4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92" w:type="dxa"/>
            <w:vMerge/>
            <w:tcBorders>
              <w:left w:val="single" w:sz="4" w:space="0" w:color="000000"/>
              <w:bottom w:val="single" w:sz="4" w:space="0" w:color="000000"/>
              <w:right w:val="single" w:sz="4" w:space="0" w:color="000000"/>
            </w:tcBorders>
            <w:shd w:val="clear" w:color="auto" w:fill="D2D2D2"/>
          </w:tcPr>
          <w:p>
            <w:pPr/>
          </w:p>
        </w:tc>
        <w:tc>
          <w:tcPr>
            <w:tcW w:w="293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546" w:hRule="exact"/>
        </w:trPr>
        <w:tc>
          <w:tcPr>
            <w:tcW w:w="1232" w:type="dxa"/>
            <w:vMerge w:val="restart"/>
            <w:tcBorders>
              <w:top w:val="single" w:sz="4" w:space="0" w:color="000000"/>
              <w:left w:val="single" w:sz="4" w:space="0" w:color="000000"/>
              <w:right w:val="single" w:sz="4" w:space="0" w:color="000000"/>
            </w:tcBorders>
            <w:shd w:val="clear" w:color="auto" w:fill="D2D2D2"/>
          </w:tcPr>
          <w:p>
            <w:pP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1"/>
              <w:jc w:val="left"/>
              <w:rPr>
                <w:rFonts w:ascii="宋体" w:hAnsi="宋体" w:cs="宋体" w:eastAsia="宋体" w:hint="default"/>
                <w:sz w:val="18"/>
                <w:szCs w:val="18"/>
              </w:rPr>
            </w:pPr>
            <w:r>
              <w:rPr>
                <w:rFonts w:ascii="宋体" w:hAnsi="宋体" w:cs="宋体" w:eastAsia="宋体" w:hint="default"/>
                <w:spacing w:val="-5"/>
                <w:sz w:val="18"/>
                <w:szCs w:val="18"/>
              </w:rPr>
              <w:t>李建、贾高勇、周明浩、夏郁葱、孙莉、赵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月军、单衍景、王瑞宾、王平、房兰花、杨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建军、胡雷、刘枫、曹艳中、李行、郭武 张锐锋、高翔、杨颖、邹康（即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类交易 </w:t>
            </w:r>
            <w:r>
              <w:rPr>
                <w:rFonts w:ascii="宋体" w:hAnsi="宋体" w:cs="宋体" w:eastAsia="宋体" w:hint="default"/>
                <w:spacing w:val="-15"/>
                <w:sz w:val="18"/>
                <w:szCs w:val="18"/>
              </w:rPr>
              <w:t>对方）、栗军</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售承诺</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4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军因本次交易而取得的除栗军需锁定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个月的股份数以</w:t>
            </w:r>
          </w:p>
          <w:p>
            <w:pPr>
              <w:pStyle w:val="TableParagraph"/>
              <w:spacing w:line="300" w:lineRule="auto" w:before="63"/>
              <w:ind w:left="22" w:right="23"/>
              <w:jc w:val="left"/>
              <w:rPr>
                <w:rFonts w:ascii="宋体" w:hAnsi="宋体" w:cs="宋体" w:eastAsia="宋体" w:hint="default"/>
                <w:sz w:val="18"/>
                <w:szCs w:val="18"/>
              </w:rPr>
            </w:pPr>
            <w:r>
              <w:rPr>
                <w:rFonts w:ascii="宋体" w:hAnsi="宋体" w:cs="宋体" w:eastAsia="宋体" w:hint="default"/>
                <w:spacing w:val="-3"/>
                <w:sz w:val="18"/>
                <w:szCs w:val="18"/>
              </w:rPr>
              <w:t>外的剩余股份，自股份发行结束之日起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个月内不进行转 让。</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个月后，</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类交易对方因本次交易而取得的上市公 司股份按照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分三期按照交易协议的约定 解除限售，栗军在本次交易所取得的上市公司除需锁定</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个月的股份数以外的剩余股份按照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宋体" w:hAnsi="宋体" w:cs="宋体" w:eastAsia="宋体" w:hint="default"/>
                <w:sz w:val="18"/>
                <w:szCs w:val="18"/>
              </w:rPr>
              <w:t>、</w:t>
            </w:r>
            <w:r>
              <w:rPr>
                <w:rFonts w:ascii="Times New Roman" w:hAnsi="Times New Roman" w:cs="Times New Roman" w:eastAsia="Times New Roman" w:hint="default"/>
                <w:sz w:val="18"/>
                <w:szCs w:val="18"/>
              </w:rPr>
              <w:t>32%</w:t>
            </w:r>
            <w:r>
              <w:rPr>
                <w:rFonts w:ascii="宋体" w:hAnsi="宋体" w:cs="宋体" w:eastAsia="宋体" w:hint="default"/>
                <w:sz w:val="18"/>
                <w:szCs w:val="18"/>
              </w:rPr>
              <w:t>、</w:t>
            </w:r>
            <w:r>
              <w:rPr>
                <w:rFonts w:ascii="Times New Roman" w:hAnsi="Times New Roman" w:cs="Times New Roman" w:eastAsia="Times New Roman" w:hint="default"/>
                <w:sz w:val="18"/>
                <w:szCs w:val="18"/>
              </w:rPr>
              <w:t>45%</w:t>
            </w:r>
            <w:r>
              <w:rPr>
                <w:rFonts w:ascii="宋体" w:hAnsi="宋体" w:cs="宋体" w:eastAsia="宋体" w:hint="default"/>
                <w:sz w:val="18"/>
                <w:szCs w:val="18"/>
              </w:rPr>
              <w:t>分三 期解除限售。</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类交易对方和栗军应同时应遵守交易协议 中关于延长股份锁定期的其他相关规定</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932"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232" w:type="dxa"/>
            <w:vMerge/>
            <w:tcBorders>
              <w:left w:val="single" w:sz="4" w:space="0" w:color="000000"/>
              <w:right w:val="single" w:sz="4" w:space="0" w:color="000000"/>
            </w:tcBorders>
            <w:shd w:val="clear" w:color="auto" w:fill="D2D2D2"/>
          </w:tcPr>
          <w:p>
            <w:pP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5"/>
                <w:sz w:val="18"/>
                <w:szCs w:val="18"/>
              </w:rPr>
              <w:t>姚立生、陈皞玥、卢昌、白锐、于大泳、仝</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敬明（即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类交易对方）</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26"/>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459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类交易对方因本次交易而取得的上市公司股份自股份发 行结束之日起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4"/>
                <w:sz w:val="18"/>
                <w:szCs w:val="18"/>
              </w:rPr>
              <w:t>个月内不进行转让。</w:t>
            </w:r>
            <w:r>
              <w:rPr>
                <w:rFonts w:ascii="Times New Roman" w:hAnsi="Times New Roman" w:cs="Times New Roman" w:eastAsia="Times New Roman" w:hint="default"/>
                <w:spacing w:val="-4"/>
                <w:sz w:val="18"/>
                <w:szCs w:val="18"/>
              </w:rPr>
              <w:t>12</w:t>
            </w:r>
            <w:r>
              <w:rPr>
                <w:rFonts w:ascii="Times New Roman" w:hAnsi="Times New Roman" w:cs="Times New Roman" w:eastAsia="Times New Roman" w:hint="default"/>
                <w:sz w:val="18"/>
                <w:szCs w:val="18"/>
              </w:rPr>
              <w:t> </w:t>
            </w:r>
            <w:r>
              <w:rPr>
                <w:rFonts w:ascii="宋体" w:hAnsi="宋体" w:cs="宋体" w:eastAsia="宋体" w:hint="default"/>
                <w:spacing w:val="-8"/>
                <w:sz w:val="18"/>
                <w:szCs w:val="18"/>
              </w:rPr>
              <w:t>个月后，</w:t>
            </w:r>
            <w:r>
              <w:rPr>
                <w:rFonts w:ascii="Times New Roman" w:hAnsi="Times New Roman" w:cs="Times New Roman" w:eastAsia="Times New Roman" w:hint="default"/>
                <w:spacing w:val="-8"/>
                <w:sz w:val="18"/>
                <w:szCs w:val="18"/>
              </w:rPr>
              <w:t>B</w:t>
            </w:r>
            <w:r>
              <w:rPr>
                <w:rFonts w:ascii="Times New Roman" w:hAnsi="Times New Roman" w:cs="Times New Roman" w:eastAsia="Times New Roman" w:hint="default"/>
                <w:sz w:val="18"/>
                <w:szCs w:val="18"/>
              </w:rPr>
              <w:t> </w:t>
            </w:r>
            <w:r>
              <w:rPr>
                <w:rFonts w:ascii="宋体" w:hAnsi="宋体" w:cs="宋体" w:eastAsia="宋体" w:hint="default"/>
                <w:sz w:val="18"/>
                <w:szCs w:val="18"/>
              </w:rPr>
              <w:t>类交易 对方因本次交易而取得的上市公司股份按照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分三期按照交易协议的约定解除限售。</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类交易对方 应同时应遵守交易协议中关于延长股份锁定期的其他相关 规定</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报告期内，承诺方已履行完毕</w:t>
            </w:r>
          </w:p>
        </w:tc>
      </w:tr>
      <w:tr>
        <w:trPr>
          <w:trHeight w:val="4107" w:hRule="exact"/>
        </w:trPr>
        <w:tc>
          <w:tcPr>
            <w:tcW w:w="1232" w:type="dxa"/>
            <w:vMerge/>
            <w:tcBorders>
              <w:left w:val="single" w:sz="4" w:space="0" w:color="000000"/>
              <w:bottom w:val="single" w:sz="4" w:space="0" w:color="000000"/>
              <w:right w:val="single" w:sz="4" w:space="0" w:color="000000"/>
            </w:tcBorders>
            <w:shd w:val="clear" w:color="auto" w:fill="D2D2D2"/>
          </w:tcPr>
          <w:p>
            <w:pPr/>
          </w:p>
        </w:tc>
        <w:tc>
          <w:tcPr>
            <w:tcW w:w="3398"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40"/>
              <w:jc w:val="left"/>
              <w:rPr>
                <w:rFonts w:ascii="宋体" w:hAnsi="宋体" w:cs="宋体" w:eastAsia="宋体" w:hint="default"/>
                <w:sz w:val="18"/>
                <w:szCs w:val="18"/>
              </w:rPr>
            </w:pPr>
            <w:r>
              <w:rPr>
                <w:rFonts w:ascii="宋体" w:hAnsi="宋体" w:cs="宋体" w:eastAsia="宋体" w:hint="default"/>
                <w:sz w:val="18"/>
                <w:szCs w:val="18"/>
              </w:rPr>
              <w:t>栗军、李俊峰、张思必、蒋国兴、贾瑞明 谢泳江、李建、贾高勇、周明浩、夏郁葱 </w:t>
            </w:r>
            <w:r>
              <w:rPr>
                <w:rFonts w:ascii="宋体" w:hAnsi="宋体" w:cs="宋体" w:eastAsia="宋体" w:hint="default"/>
                <w:spacing w:val="-5"/>
                <w:sz w:val="18"/>
                <w:szCs w:val="18"/>
              </w:rPr>
              <w:t>孙莉、赵月军、单衍景、王瑞宾、王平、房</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1"/>
                <w:sz w:val="18"/>
                <w:szCs w:val="18"/>
              </w:rPr>
              <w:t>兰花、杨建军、胡雷、刘枫、曹艳中、李行、</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1"/>
                <w:sz w:val="18"/>
                <w:szCs w:val="18"/>
              </w:rPr>
              <w:t>郭武、张锐锋、高翔、杨颖、邹康、姚立生、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陈皞玥、卢昌、白锐、于大泳、仝敬明（即</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补偿义务人）</w:t>
            </w:r>
          </w:p>
        </w:tc>
        <w:tc>
          <w:tcPr>
            <w:tcW w:w="701"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4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14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319" w:lineRule="auto" w:before="77"/>
              <w:ind w:left="16" w:right="126"/>
              <w:jc w:val="both"/>
              <w:rPr>
                <w:rFonts w:ascii="宋体" w:hAnsi="宋体" w:cs="宋体" w:eastAsia="宋体" w:hint="default"/>
                <w:sz w:val="18"/>
                <w:szCs w:val="18"/>
              </w:rPr>
            </w:pPr>
            <w:r>
              <w:rPr>
                <w:rFonts w:ascii="宋体" w:hAnsi="宋体" w:cs="宋体" w:eastAsia="宋体" w:hint="default"/>
                <w:sz w:val="18"/>
                <w:szCs w:val="18"/>
              </w:rPr>
              <w:t>业绩承 诺及补 偿安排</w:t>
            </w:r>
          </w:p>
          <w:p>
            <w:pPr>
              <w:pStyle w:val="TableParagraph"/>
              <w:spacing w:line="1539"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
                <w:sz w:val="20"/>
                <w:szCs w:val="20"/>
              </w:rPr>
              <w:pict>
                <v:group style="width:34.6pt;height:77pt;mso-position-horizontal-relative:char;mso-position-vertical-relative:line" coordorigin="0,0" coordsize="692,1540">
                  <v:group style="position:absolute;left:0;top:0;width:692;height:1540" coordorigin="0,0" coordsize="692,1540">
                    <v:shape style="position:absolute;left:0;top:0;width:692;height:1540" coordorigin="0,0" coordsize="692,1540" path="m0,1540l691,1540,691,0,0,0,0,1540xe" filled="true" fillcolor="#ffffff" stroked="false">
                      <v:path arrowok="t"/>
                      <v:fill type="solid"/>
                    </v:shape>
                  </v:group>
                </v:group>
              </w:pict>
            </w:r>
            <w:r>
              <w:rPr>
                <w:rFonts w:ascii="Times New Roman" w:hAnsi="Times New Roman" w:cs="Times New Roman" w:eastAsia="Times New Roman" w:hint="default"/>
                <w:position w:val="-30"/>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663" w:lineRule="exact"/>
              <w:ind w:left="16"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pict>
                <v:group style="width:32.3pt;height:33.2pt;mso-position-horizontal-relative:char;mso-position-vertical-relative:line" coordorigin="0,0" coordsize="646,664">
                  <v:group style="position:absolute;left:0;top:0;width:646;height:312" coordorigin="0,0" coordsize="646,312">
                    <v:shape style="position:absolute;left:0;top:0;width:646;height:312" coordorigin="0,0" coordsize="646,312" path="m0,312l646,312,646,0,0,0,0,312xe" filled="true" fillcolor="#ffffff" stroked="false">
                      <v:path arrowok="t"/>
                      <v:fill type="solid"/>
                    </v:shape>
                  </v:group>
                  <v:group style="position:absolute;left:0;top:312;width:646;height:352" coordorigin="0,312" coordsize="646,352">
                    <v:shape style="position:absolute;left:0;top:312;width:646;height:352" coordorigin="0,312" coordsize="646,352" path="m0,664l646,664,646,312,0,312,0,664xe" filled="true" fillcolor="#ffffff" stroked="false">
                      <v:path arrowok="t"/>
                      <v:fill type="solid"/>
                    </v:shape>
                  </v:group>
                </v:group>
              </w:pict>
            </w:r>
            <w:r>
              <w:rPr>
                <w:rFonts w:ascii="Times New Roman" w:hAnsi="Times New Roman" w:cs="Times New Roman" w:eastAsia="Times New Roman" w:hint="default"/>
                <w:position w:val="-12"/>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459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①业绩补偿期内，华夏电通每年度实现的经审计的合并报 表口径下归属于母公司股东的净利润（以扣除非经常性损 益前后孰低者为准）</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年度分 别不低于人民币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 </w:t>
            </w:r>
            <w:r>
              <w:rPr>
                <w:rFonts w:ascii="宋体" w:hAnsi="宋体" w:cs="宋体" w:eastAsia="宋体" w:hint="default"/>
                <w:spacing w:val="-9"/>
                <w:sz w:val="18"/>
                <w:szCs w:val="18"/>
              </w:rPr>
              <w:t>万元、</w:t>
            </w:r>
            <w:r>
              <w:rPr>
                <w:rFonts w:ascii="Times New Roman" w:hAnsi="Times New Roman" w:cs="Times New Roman" w:eastAsia="Times New Roman" w:hint="default"/>
                <w:spacing w:val="-9"/>
                <w:sz w:val="18"/>
                <w:szCs w:val="18"/>
              </w:rPr>
              <w:t>5,600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7,800</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万元。</w:t>
            </w:r>
            <w:r>
              <w:rPr>
                <w:rFonts w:ascii="Times New Roman" w:hAnsi="Times New Roman" w:cs="Times New Roman" w:eastAsia="Times New Roman" w:hint="default"/>
                <w:spacing w:val="-10"/>
                <w:sz w:val="18"/>
                <w:szCs w:val="18"/>
              </w:rPr>
              <w:t>2015</w:t>
            </w:r>
          </w:p>
          <w:p>
            <w:pPr>
              <w:pStyle w:val="TableParagraph"/>
              <w:spacing w:line="312" w:lineRule="auto" w:before="3"/>
              <w:ind w:left="22" w:right="23"/>
              <w:jc w:val="both"/>
              <w:rPr>
                <w:rFonts w:ascii="宋体" w:hAnsi="宋体" w:cs="宋体" w:eastAsia="宋体" w:hint="default"/>
                <w:sz w:val="18"/>
                <w:szCs w:val="18"/>
              </w:rPr>
            </w:pPr>
            <w:r>
              <w:rPr>
                <w:rFonts w:ascii="宋体" w:hAnsi="宋体" w:cs="宋体" w:eastAsia="宋体" w:hint="default"/>
                <w:sz w:val="18"/>
                <w:szCs w:val="18"/>
              </w:rPr>
              <w:t>年度至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年度期间，如华夏电通经审计的累计实际实现</w:t>
            </w:r>
            <w:r>
              <w:rPr>
                <w:rFonts w:ascii="宋体" w:hAnsi="宋体" w:cs="宋体" w:eastAsia="宋体" w:hint="default"/>
                <w:sz w:val="18"/>
                <w:szCs w:val="18"/>
              </w:rPr>
              <w:t> 净利润数不足承诺净利润的，则由补偿义务人首先以股份 补偿的方式进行补偿，不足部分以现金方式补偿。②在业 绩承诺期届满时，对华夏电通进行减值测试，若期末华夏 电通的减值额大于承担补偿义务的交易对方已补偿总额， 则承担补偿义务的交易对方同意除前述补偿外另行向上市 </w:t>
            </w:r>
            <w:r>
              <w:rPr>
                <w:rFonts w:ascii="宋体" w:hAnsi="宋体" w:cs="宋体" w:eastAsia="宋体" w:hint="default"/>
                <w:spacing w:val="-8"/>
                <w:sz w:val="18"/>
                <w:szCs w:val="18"/>
              </w:rPr>
              <w:t>公司作出资产减值补偿。③补偿义务人承诺，华夏电通</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3"/>
                <w:sz w:val="18"/>
                <w:szCs w:val="18"/>
              </w:rPr>
              <w:t> </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2016 </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年每年期末应收账款净额占当期营业收 入比重不高于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w:t>
            </w:r>
            <w:r>
              <w:rPr>
                <w:rFonts w:ascii="宋体" w:hAnsi="宋体" w:cs="宋体" w:eastAsia="宋体" w:hint="default"/>
                <w:sz w:val="18"/>
                <w:szCs w:val="18"/>
              </w:rPr>
              <w:t>，若未能满足，则承诺向华夏电通以现</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报告期内，承诺方已履行完毕</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232"/>
        <w:gridCol w:w="3398"/>
        <w:gridCol w:w="701"/>
        <w:gridCol w:w="4598"/>
        <w:gridCol w:w="563"/>
        <w:gridCol w:w="592"/>
        <w:gridCol w:w="2932"/>
      </w:tblGrid>
      <w:tr>
        <w:trPr>
          <w:trHeight w:val="175" w:hRule="exact"/>
        </w:trPr>
        <w:tc>
          <w:tcPr>
            <w:tcW w:w="1232" w:type="dxa"/>
            <w:tcBorders>
              <w:top w:val="single" w:sz="15" w:space="0" w:color="000000"/>
              <w:left w:val="single" w:sz="4" w:space="0" w:color="000000"/>
              <w:bottom w:val="nil" w:sz="6" w:space="0" w:color="auto"/>
              <w:right w:val="single" w:sz="4" w:space="0" w:color="000000"/>
            </w:tcBorders>
            <w:shd w:val="clear" w:color="auto" w:fill="D2D2D2"/>
          </w:tcPr>
          <w:p>
            <w:pPr/>
          </w:p>
        </w:tc>
        <w:tc>
          <w:tcPr>
            <w:tcW w:w="3398" w:type="dxa"/>
            <w:tcBorders>
              <w:top w:val="single" w:sz="15" w:space="0" w:color="000000"/>
              <w:left w:val="single" w:sz="4" w:space="0" w:color="000000"/>
              <w:bottom w:val="nil" w:sz="6" w:space="0" w:color="auto"/>
              <w:right w:val="single" w:sz="4" w:space="0" w:color="000000"/>
            </w:tcBorders>
            <w:shd w:val="clear" w:color="auto" w:fill="D2D2D2"/>
          </w:tcPr>
          <w:p>
            <w:pPr/>
          </w:p>
        </w:tc>
        <w:tc>
          <w:tcPr>
            <w:tcW w:w="701"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255" w:right="73" w:hanging="180"/>
              <w:jc w:val="left"/>
              <w:rPr>
                <w:rFonts w:ascii="宋体" w:hAnsi="宋体" w:cs="宋体" w:eastAsia="宋体" w:hint="default"/>
                <w:sz w:val="18"/>
                <w:szCs w:val="18"/>
              </w:rPr>
            </w:pPr>
            <w:r>
              <w:rPr>
                <w:rFonts w:ascii="宋体" w:hAnsi="宋体" w:cs="宋体" w:eastAsia="宋体" w:hint="default"/>
                <w:sz w:val="18"/>
                <w:szCs w:val="18"/>
              </w:rPr>
              <w:t>承诺类 型</w:t>
            </w:r>
          </w:p>
        </w:tc>
        <w:tc>
          <w:tcPr>
            <w:tcW w:w="4598" w:type="dxa"/>
            <w:tcBorders>
              <w:top w:val="single" w:sz="15"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96" w:right="95"/>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92"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110" w:right="109"/>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2932" w:type="dxa"/>
            <w:tcBorders>
              <w:top w:val="single" w:sz="15"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12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33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701" w:type="dxa"/>
            <w:vMerge/>
            <w:tcBorders>
              <w:left w:val="single" w:sz="4" w:space="0" w:color="000000"/>
              <w:right w:val="single" w:sz="4" w:space="0" w:color="000000"/>
            </w:tcBorders>
            <w:shd w:val="clear" w:color="auto" w:fill="D2D2D2"/>
          </w:tcPr>
          <w:p>
            <w:pPr/>
          </w:p>
        </w:tc>
        <w:tc>
          <w:tcPr>
            <w:tcW w:w="4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63" w:type="dxa"/>
            <w:vMerge/>
            <w:tcBorders>
              <w:left w:val="single" w:sz="4" w:space="0" w:color="000000"/>
              <w:right w:val="single" w:sz="4" w:space="0" w:color="000000"/>
            </w:tcBorders>
            <w:shd w:val="clear" w:color="auto" w:fill="D2D2D2"/>
          </w:tcPr>
          <w:p>
            <w:pPr/>
          </w:p>
        </w:tc>
        <w:tc>
          <w:tcPr>
            <w:tcW w:w="592" w:type="dxa"/>
            <w:vMerge/>
            <w:tcBorders>
              <w:left w:val="single" w:sz="4" w:space="0" w:color="000000"/>
              <w:right w:val="single" w:sz="4" w:space="0" w:color="000000"/>
            </w:tcBorders>
            <w:shd w:val="clear" w:color="auto" w:fill="D2D2D2"/>
          </w:tcPr>
          <w:p>
            <w:pPr/>
          </w:p>
        </w:tc>
        <w:tc>
          <w:tcPr>
            <w:tcW w:w="2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1" w:hRule="exact"/>
        </w:trPr>
        <w:tc>
          <w:tcPr>
            <w:tcW w:w="1232" w:type="dxa"/>
            <w:tcBorders>
              <w:top w:val="nil" w:sz="6" w:space="0" w:color="auto"/>
              <w:left w:val="single" w:sz="4" w:space="0" w:color="000000"/>
              <w:bottom w:val="single" w:sz="4" w:space="0" w:color="000000"/>
              <w:right w:val="single" w:sz="4" w:space="0" w:color="000000"/>
            </w:tcBorders>
            <w:shd w:val="clear" w:color="auto" w:fill="D2D2D2"/>
          </w:tcPr>
          <w:p>
            <w:pPr/>
          </w:p>
        </w:tc>
        <w:tc>
          <w:tcPr>
            <w:tcW w:w="33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vMerge/>
            <w:tcBorders>
              <w:left w:val="single" w:sz="4" w:space="0" w:color="000000"/>
              <w:bottom w:val="single" w:sz="4" w:space="0" w:color="000000"/>
              <w:right w:val="single" w:sz="4" w:space="0" w:color="000000"/>
            </w:tcBorders>
            <w:shd w:val="clear" w:color="auto" w:fill="D2D2D2"/>
          </w:tcPr>
          <w:p>
            <w:pPr/>
          </w:p>
        </w:tc>
        <w:tc>
          <w:tcPr>
            <w:tcW w:w="4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92" w:type="dxa"/>
            <w:vMerge/>
            <w:tcBorders>
              <w:left w:val="single" w:sz="4" w:space="0" w:color="000000"/>
              <w:bottom w:val="single" w:sz="4" w:space="0" w:color="000000"/>
              <w:right w:val="single" w:sz="4" w:space="0" w:color="000000"/>
            </w:tcBorders>
            <w:shd w:val="clear" w:color="auto" w:fill="D2D2D2"/>
          </w:tcPr>
          <w:p>
            <w:pPr/>
          </w:p>
        </w:tc>
        <w:tc>
          <w:tcPr>
            <w:tcW w:w="293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922" w:hRule="exact"/>
        </w:trPr>
        <w:tc>
          <w:tcPr>
            <w:tcW w:w="1232" w:type="dxa"/>
            <w:vMerge w:val="restart"/>
            <w:tcBorders>
              <w:top w:val="single" w:sz="4" w:space="0" w:color="000000"/>
              <w:left w:val="single" w:sz="4" w:space="0" w:color="000000"/>
              <w:right w:val="single" w:sz="4" w:space="0" w:color="000000"/>
            </w:tcBorders>
            <w:shd w:val="clear" w:color="auto" w:fill="D2D2D2"/>
          </w:tcPr>
          <w:p>
            <w:pPr/>
          </w:p>
        </w:tc>
        <w:tc>
          <w:tcPr>
            <w:tcW w:w="339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459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2" w:right="22"/>
              <w:jc w:val="both"/>
              <w:rPr>
                <w:rFonts w:ascii="宋体" w:hAnsi="宋体" w:cs="宋体" w:eastAsia="宋体" w:hint="default"/>
                <w:sz w:val="18"/>
                <w:szCs w:val="18"/>
              </w:rPr>
            </w:pPr>
            <w:r>
              <w:rPr>
                <w:rFonts w:ascii="宋体" w:hAnsi="宋体" w:cs="宋体" w:eastAsia="宋体" w:hint="default"/>
                <w:sz w:val="18"/>
                <w:szCs w:val="18"/>
              </w:rPr>
              <w:t>金方式补偿。④补偿义务人承诺，华夏电通</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2016</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年经营活动产生的现金流量净额不能为负，且占 当年净利润比例均不低于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，若未能满足，则承诺向华 夏电通以现金方式支补偿。⑤补偿义务人方向上市公司支 付的补偿总额（包括业绩承诺补偿和资产减值补偿）不超 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563"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2932" w:type="dxa"/>
            <w:tcBorders>
              <w:top w:val="single" w:sz="4" w:space="0" w:color="000000"/>
              <w:left w:val="single" w:sz="4" w:space="0" w:color="000000"/>
              <w:bottom w:val="single" w:sz="4" w:space="0" w:color="000000"/>
              <w:right w:val="single" w:sz="4" w:space="0" w:color="000000"/>
            </w:tcBorders>
          </w:tcPr>
          <w:p>
            <w:pPr/>
          </w:p>
        </w:tc>
      </w:tr>
      <w:tr>
        <w:trPr>
          <w:trHeight w:val="6019" w:hRule="exact"/>
        </w:trPr>
        <w:tc>
          <w:tcPr>
            <w:tcW w:w="1232" w:type="dxa"/>
            <w:vMerge/>
            <w:tcBorders>
              <w:left w:val="single" w:sz="4" w:space="0" w:color="000000"/>
              <w:right w:val="single" w:sz="4" w:space="0" w:color="000000"/>
            </w:tcBorders>
            <w:shd w:val="clear" w:color="auto" w:fill="D2D2D2"/>
          </w:tcPr>
          <w:p>
            <w:pP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栗军、李俊峰、张思必、蒋国兴、贾瑞明 谢泳江、李建、贾高勇、周明浩、夏郁葱 </w:t>
            </w:r>
            <w:r>
              <w:rPr>
                <w:rFonts w:ascii="宋体" w:hAnsi="宋体" w:cs="宋体" w:eastAsia="宋体" w:hint="default"/>
                <w:spacing w:val="-5"/>
                <w:sz w:val="18"/>
                <w:szCs w:val="18"/>
              </w:rPr>
              <w:t>孙莉、赵月军、单衍景、王瑞宾、王平、房</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9"/>
                <w:sz w:val="18"/>
                <w:szCs w:val="18"/>
              </w:rPr>
              <w:t>兰花、杨建军、胡雷、刘枫、曹艳中、李行</w:t>
            </w:r>
            <w:r>
              <w:rPr>
                <w:rFonts w:ascii="宋体" w:hAnsi="宋体" w:cs="宋体" w:eastAsia="宋体" w:hint="default"/>
                <w:sz w:val="18"/>
                <w:szCs w:val="18"/>
              </w:rPr>
              <w:t> 郭武、张锐锋、高翔、杨颖、邹康</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196"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55" w:lineRule="exact"/>
              <w:ind w:left="22" w:right="0"/>
              <w:jc w:val="left"/>
              <w:rPr>
                <w:rFonts w:ascii="宋体" w:hAnsi="宋体" w:cs="宋体" w:eastAsia="宋体" w:hint="default"/>
                <w:sz w:val="18"/>
                <w:szCs w:val="18"/>
              </w:rPr>
            </w:pPr>
            <w:r>
              <w:rPr>
                <w:rFonts w:ascii="宋体" w:hAnsi="宋体" w:cs="宋体" w:eastAsia="宋体" w:hint="default"/>
                <w:sz w:val="18"/>
                <w:szCs w:val="18"/>
              </w:rPr>
              <w:t>关于避</w:t>
            </w:r>
          </w:p>
          <w:p>
            <w:pPr>
              <w:pStyle w:val="TableParagraph"/>
              <w:spacing w:line="155"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免同业</w:t>
            </w:r>
          </w:p>
          <w:p>
            <w:pPr>
              <w:pStyle w:val="TableParagraph"/>
              <w:spacing w:line="196" w:lineRule="exact" w:before="76"/>
              <w:ind w:left="22" w:right="0"/>
              <w:jc w:val="left"/>
              <w:rPr>
                <w:rFonts w:ascii="宋体" w:hAnsi="宋体" w:cs="宋体" w:eastAsia="宋体" w:hint="default"/>
                <w:sz w:val="18"/>
                <w:szCs w:val="18"/>
              </w:rPr>
            </w:pPr>
            <w:r>
              <w:rPr>
                <w:rFonts w:ascii="宋体" w:hAnsi="宋体" w:cs="宋体" w:eastAsia="宋体" w:hint="default"/>
                <w:sz w:val="18"/>
                <w:szCs w:val="18"/>
              </w:rPr>
              <w:t>竞争的</w:t>
            </w:r>
          </w:p>
          <w:p>
            <w:pPr>
              <w:pStyle w:val="TableParagraph"/>
              <w:spacing w:line="157"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3680" w:lineRule="exact"/>
              <w:ind w:right="-3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3"/>
                <w:sz w:val="20"/>
                <w:szCs w:val="20"/>
              </w:rPr>
              <w:pict>
                <v:group style="width:34.6pt;height:184.05pt;mso-position-horizontal-relative:char;mso-position-vertical-relative:line" coordorigin="0,0" coordsize="692,3681">
                  <v:group style="position:absolute;left:0;top:0;width:692;height:2341" coordorigin="0,0" coordsize="692,2341">
                    <v:shape style="position:absolute;left:0;top:0;width:692;height:2341" coordorigin="0,0" coordsize="692,2341" path="m0,2340l691,2340,691,0,0,0,0,2340xe" filled="true" fillcolor="#ffffff" stroked="false">
                      <v:path arrowok="t"/>
                      <v:fill type="solid"/>
                    </v:shape>
                  </v:group>
                  <v:group style="position:absolute;left:11;top:2340;width:2;height:1329" coordorigin="11,2340" coordsize="2,1329">
                    <v:shape style="position:absolute;left:11;top:2340;width:2;height:1329" coordorigin="11,2340" coordsize="0,1329" path="m11,2340l11,3669e" filled="false" stroked="true" strokeweight="1.140pt" strokecolor="#ffffff">
                      <v:path arrowok="t"/>
                    </v:shape>
                  </v:group>
                  <v:group style="position:absolute;left:23;top:2340;width:646;height:352" coordorigin="23,2340" coordsize="646,352">
                    <v:shape style="position:absolute;left:23;top:2340;width:646;height:352" coordorigin="23,2340" coordsize="646,352" path="m23,2692l668,2692,668,2340,23,2340,23,2692xe" filled="true" fillcolor="#ffffff" stroked="false">
                      <v:path arrowok="t"/>
                      <v:fill type="solid"/>
                    </v:shape>
                  </v:group>
                  <v:group style="position:absolute;left:23;top:2692;width:646;height:312" coordorigin="23,2692" coordsize="646,312">
                    <v:shape style="position:absolute;left:23;top:2692;width:646;height:312" coordorigin="23,2692" coordsize="646,312" path="m23,3004l668,3004,668,2692,23,2692,23,3004xe" filled="true" fillcolor="#ffffff" stroked="false">
                      <v:path arrowok="t"/>
                      <v:fill type="solid"/>
                    </v:shape>
                  </v:group>
                  <v:group style="position:absolute;left:23;top:3004;width:646;height:312" coordorigin="23,3004" coordsize="646,312">
                    <v:shape style="position:absolute;left:23;top:3004;width:646;height:312" coordorigin="23,3004" coordsize="646,312" path="m23,3316l668,3316,668,3004,23,3004,23,3316xe" filled="true" fillcolor="#ffffff" stroked="false">
                      <v:path arrowok="t"/>
                      <v:fill type="solid"/>
                    </v:shape>
                  </v:group>
                  <v:group style="position:absolute;left:23;top:3316;width:646;height:353" coordorigin="23,3316" coordsize="646,353">
                    <v:shape style="position:absolute;left:23;top:3316;width:646;height:353" coordorigin="23,3316" coordsize="646,353" path="m23,3669l668,3669,668,3316,23,3316,23,3669xe" filled="true" fillcolor="#ffffff" stroked="false">
                      <v:path arrowok="t"/>
                      <v:fill type="solid"/>
                    </v:shape>
                  </v:group>
                </v:group>
              </w:pict>
            </w:r>
            <w:r>
              <w:rPr>
                <w:rFonts w:ascii="Times New Roman" w:hAnsi="Times New Roman" w:cs="Times New Roman" w:eastAsia="Times New Roman" w:hint="default"/>
                <w:position w:val="-73"/>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2"/>
                <w:szCs w:val="22"/>
              </w:rPr>
            </w:pPr>
          </w:p>
        </w:tc>
        <w:tc>
          <w:tcPr>
            <w:tcW w:w="4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①截至本承诺函签署之日，本人未在，在本函有效期内也 不会在中国境内外以任何方式直接或间接从事或参与任何 与久其软件及其下属子公司、华夏电通及其下属子公司相 同、相似或在商业上构成任何竞争的业务及活动，或拥有 与久其软件及其下属子公司、华夏电通及其下属子公司存 在竞争关系的任何经济实体、机构、经济组织的权益，或 以其他任何形式取得该经济实体、机构、经济组织的控制 权，或者为该等构成同业竞争关系的经济实体、机构、经 济组织以劳务、顾问或咨询等方式提供服务。②若发现本 人及本人控制的其他企业在本函有效期内从事与久其软件 及其下属子公司、华夏电通及其下属子公司的产品或业务 存在竞争的业务，则本人及本人控制的其他企业承诺将以 停止生产经营相竞争的业务或产品的方式，或者将相竞争 的业务无偿转让给久其软件的方式，或者将相竞争的业务 转让给无关联关系的第三方的方式避免同业竞争。③上述 承诺在本人在久其软件及其下属子公司、华夏电通及其下 属子公司任职期间以及离职后两年内，持续有效。④如上 述承诺被证明是不真实的或未被遵守</w:t>
            </w:r>
            <w:r>
              <w:rPr>
                <w:rFonts w:ascii="Times New Roman" w:hAnsi="Times New Roman" w:cs="Times New Roman" w:eastAsia="Times New Roman" w:hint="default"/>
                <w:sz w:val="18"/>
                <w:szCs w:val="18"/>
              </w:rPr>
              <w:t>,</w:t>
            </w:r>
            <w:r>
              <w:rPr>
                <w:rFonts w:ascii="宋体" w:hAnsi="宋体" w:cs="宋体" w:eastAsia="宋体" w:hint="default"/>
                <w:sz w:val="18"/>
                <w:szCs w:val="18"/>
              </w:rPr>
              <w:t>本人愿意承担因违 反上述承诺而给久其软件造成的全部经济损失</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截至报告期末，承诺方严格遵守该承 诺，未有违反该承诺的情况</w:t>
            </w:r>
          </w:p>
        </w:tc>
      </w:tr>
      <w:tr>
        <w:trPr>
          <w:trHeight w:val="714" w:hRule="exact"/>
        </w:trPr>
        <w:tc>
          <w:tcPr>
            <w:tcW w:w="1232" w:type="dxa"/>
            <w:vMerge/>
            <w:tcBorders>
              <w:left w:val="single" w:sz="4" w:space="0" w:color="000000"/>
              <w:bottom w:val="single" w:sz="4" w:space="0" w:color="000000"/>
              <w:right w:val="single" w:sz="4" w:space="0" w:color="000000"/>
            </w:tcBorders>
            <w:shd w:val="clear" w:color="auto" w:fill="D2D2D2"/>
          </w:tcPr>
          <w:p>
            <w:pP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0"/>
              <w:jc w:val="left"/>
              <w:rPr>
                <w:rFonts w:ascii="宋体" w:hAnsi="宋体" w:cs="宋体" w:eastAsia="宋体" w:hint="default"/>
                <w:sz w:val="18"/>
                <w:szCs w:val="18"/>
              </w:rPr>
            </w:pPr>
            <w:r>
              <w:rPr>
                <w:rFonts w:ascii="宋体" w:hAnsi="宋体" w:cs="宋体" w:eastAsia="宋体" w:hint="default"/>
                <w:spacing w:val="-5"/>
                <w:sz w:val="18"/>
                <w:szCs w:val="18"/>
              </w:rPr>
              <w:t>姚立生、陈皞玥、卢昌、白锐、于大泳、仝</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敬明、陈亮、达晨银雷高新（北京）创业投</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26"/>
              <w:jc w:val="left"/>
              <w:rPr>
                <w:rFonts w:ascii="宋体" w:hAnsi="宋体" w:cs="宋体" w:eastAsia="宋体" w:hint="default"/>
                <w:sz w:val="18"/>
                <w:szCs w:val="18"/>
              </w:rPr>
            </w:pPr>
            <w:r>
              <w:rPr>
                <w:rFonts w:ascii="宋体" w:hAnsi="宋体" w:cs="宋体" w:eastAsia="宋体" w:hint="default"/>
                <w:sz w:val="18"/>
                <w:szCs w:val="18"/>
              </w:rPr>
              <w:t>关于规 范关联</w:t>
            </w:r>
          </w:p>
        </w:tc>
        <w:tc>
          <w:tcPr>
            <w:tcW w:w="45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2" w:right="63"/>
              <w:jc w:val="left"/>
              <w:rPr>
                <w:rFonts w:ascii="宋体" w:hAnsi="宋体" w:cs="宋体" w:eastAsia="宋体" w:hint="default"/>
                <w:sz w:val="18"/>
                <w:szCs w:val="18"/>
              </w:rPr>
            </w:pPr>
            <w:r>
              <w:rPr>
                <w:rFonts w:ascii="宋体" w:hAnsi="宋体" w:cs="宋体" w:eastAsia="宋体" w:hint="default"/>
                <w:sz w:val="18"/>
                <w:szCs w:val="18"/>
              </w:rPr>
              <w:t>①本人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本机构承诺将尽量避免或减少与久其软件及其子 公司之间的关联交易。对于久其软件及其控股子公司、华</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截至报告期末，承诺方严格遵守该承 诺，未有违反该承诺的情况</w:t>
            </w:r>
          </w:p>
        </w:tc>
      </w:tr>
    </w:tbl>
    <w:p>
      <w:pPr>
        <w:spacing w:after="0" w:line="316" w:lineRule="auto"/>
        <w:jc w:val="left"/>
        <w:rPr>
          <w:rFonts w:ascii="宋体" w:hAnsi="宋体" w:cs="宋体" w:eastAsia="宋体" w:hint="default"/>
          <w:sz w:val="18"/>
          <w:szCs w:val="18"/>
        </w:rPr>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r>
        <w:rPr/>
        <w:pict>
          <v:group style="position:absolute;margin-left:302.359985pt;margin-top:126.140007pt;width:34.6pt;height:327.650pt;mso-position-horizontal-relative:page;mso-position-vertical-relative:page;z-index:-1045984" coordorigin="6047,2523" coordsize="692,6553">
            <v:shape style="position:absolute;left:6047;top:2523;width:692;height:6553" coordorigin="6047,2523" coordsize="692,6553" path="m6047,9076l6738,9076,6738,2523,6047,2523,6047,9076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1232"/>
        <w:gridCol w:w="3398"/>
        <w:gridCol w:w="701"/>
        <w:gridCol w:w="4598"/>
        <w:gridCol w:w="563"/>
        <w:gridCol w:w="592"/>
        <w:gridCol w:w="2932"/>
      </w:tblGrid>
      <w:tr>
        <w:trPr>
          <w:trHeight w:val="175" w:hRule="exact"/>
        </w:trPr>
        <w:tc>
          <w:tcPr>
            <w:tcW w:w="1232" w:type="dxa"/>
            <w:tcBorders>
              <w:top w:val="single" w:sz="15" w:space="0" w:color="000000"/>
              <w:left w:val="single" w:sz="4" w:space="0" w:color="000000"/>
              <w:bottom w:val="nil" w:sz="6" w:space="0" w:color="auto"/>
              <w:right w:val="single" w:sz="4" w:space="0" w:color="000000"/>
            </w:tcBorders>
            <w:shd w:val="clear" w:color="auto" w:fill="D2D2D2"/>
          </w:tcPr>
          <w:p>
            <w:pPr/>
          </w:p>
        </w:tc>
        <w:tc>
          <w:tcPr>
            <w:tcW w:w="3398" w:type="dxa"/>
            <w:tcBorders>
              <w:top w:val="single" w:sz="15" w:space="0" w:color="000000"/>
              <w:left w:val="single" w:sz="4" w:space="0" w:color="000000"/>
              <w:bottom w:val="nil" w:sz="6" w:space="0" w:color="auto"/>
              <w:right w:val="single" w:sz="4" w:space="0" w:color="000000"/>
            </w:tcBorders>
            <w:shd w:val="clear" w:color="auto" w:fill="D2D2D2"/>
          </w:tcPr>
          <w:p>
            <w:pPr/>
          </w:p>
        </w:tc>
        <w:tc>
          <w:tcPr>
            <w:tcW w:w="701"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255" w:right="73" w:hanging="180"/>
              <w:jc w:val="left"/>
              <w:rPr>
                <w:rFonts w:ascii="宋体" w:hAnsi="宋体" w:cs="宋体" w:eastAsia="宋体" w:hint="default"/>
                <w:sz w:val="18"/>
                <w:szCs w:val="18"/>
              </w:rPr>
            </w:pPr>
            <w:r>
              <w:rPr>
                <w:rFonts w:ascii="宋体" w:hAnsi="宋体" w:cs="宋体" w:eastAsia="宋体" w:hint="default"/>
                <w:sz w:val="18"/>
                <w:szCs w:val="18"/>
              </w:rPr>
              <w:t>承诺类 型</w:t>
            </w:r>
          </w:p>
        </w:tc>
        <w:tc>
          <w:tcPr>
            <w:tcW w:w="4598" w:type="dxa"/>
            <w:tcBorders>
              <w:top w:val="single" w:sz="15"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96" w:right="95"/>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92"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110" w:right="109"/>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2932" w:type="dxa"/>
            <w:tcBorders>
              <w:top w:val="single" w:sz="15"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12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33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701" w:type="dxa"/>
            <w:vMerge/>
            <w:tcBorders>
              <w:left w:val="single" w:sz="4" w:space="0" w:color="000000"/>
              <w:right w:val="single" w:sz="4" w:space="0" w:color="000000"/>
            </w:tcBorders>
            <w:shd w:val="clear" w:color="auto" w:fill="D2D2D2"/>
          </w:tcPr>
          <w:p>
            <w:pPr/>
          </w:p>
        </w:tc>
        <w:tc>
          <w:tcPr>
            <w:tcW w:w="4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63" w:type="dxa"/>
            <w:vMerge/>
            <w:tcBorders>
              <w:left w:val="single" w:sz="4" w:space="0" w:color="000000"/>
              <w:right w:val="single" w:sz="4" w:space="0" w:color="000000"/>
            </w:tcBorders>
            <w:shd w:val="clear" w:color="auto" w:fill="D2D2D2"/>
          </w:tcPr>
          <w:p>
            <w:pPr/>
          </w:p>
        </w:tc>
        <w:tc>
          <w:tcPr>
            <w:tcW w:w="592" w:type="dxa"/>
            <w:vMerge/>
            <w:tcBorders>
              <w:left w:val="single" w:sz="4" w:space="0" w:color="000000"/>
              <w:right w:val="single" w:sz="4" w:space="0" w:color="000000"/>
            </w:tcBorders>
            <w:shd w:val="clear" w:color="auto" w:fill="D2D2D2"/>
          </w:tcPr>
          <w:p>
            <w:pPr/>
          </w:p>
        </w:tc>
        <w:tc>
          <w:tcPr>
            <w:tcW w:w="2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1" w:hRule="exact"/>
        </w:trPr>
        <w:tc>
          <w:tcPr>
            <w:tcW w:w="1232" w:type="dxa"/>
            <w:tcBorders>
              <w:top w:val="nil" w:sz="6" w:space="0" w:color="auto"/>
              <w:left w:val="single" w:sz="4" w:space="0" w:color="000000"/>
              <w:bottom w:val="single" w:sz="4" w:space="0" w:color="000000"/>
              <w:right w:val="single" w:sz="4" w:space="0" w:color="000000"/>
            </w:tcBorders>
            <w:shd w:val="clear" w:color="auto" w:fill="D2D2D2"/>
          </w:tcPr>
          <w:p>
            <w:pPr/>
          </w:p>
        </w:tc>
        <w:tc>
          <w:tcPr>
            <w:tcW w:w="33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vMerge/>
            <w:tcBorders>
              <w:left w:val="single" w:sz="4" w:space="0" w:color="000000"/>
              <w:bottom w:val="single" w:sz="4" w:space="0" w:color="000000"/>
              <w:right w:val="single" w:sz="4" w:space="0" w:color="000000"/>
            </w:tcBorders>
            <w:shd w:val="clear" w:color="auto" w:fill="D2D2D2"/>
          </w:tcPr>
          <w:p>
            <w:pPr/>
          </w:p>
        </w:tc>
        <w:tc>
          <w:tcPr>
            <w:tcW w:w="4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92" w:type="dxa"/>
            <w:vMerge/>
            <w:tcBorders>
              <w:left w:val="single" w:sz="4" w:space="0" w:color="000000"/>
              <w:bottom w:val="single" w:sz="4" w:space="0" w:color="000000"/>
              <w:right w:val="single" w:sz="4" w:space="0" w:color="000000"/>
            </w:tcBorders>
            <w:shd w:val="clear" w:color="auto" w:fill="D2D2D2"/>
          </w:tcPr>
          <w:p>
            <w:pPr/>
          </w:p>
        </w:tc>
        <w:tc>
          <w:tcPr>
            <w:tcW w:w="293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227" w:hRule="exact"/>
        </w:trPr>
        <w:tc>
          <w:tcPr>
            <w:tcW w:w="1232" w:type="dxa"/>
            <w:vMerge w:val="restart"/>
            <w:tcBorders>
              <w:top w:val="single" w:sz="4" w:space="0" w:color="000000"/>
              <w:left w:val="single" w:sz="4" w:space="0" w:color="000000"/>
              <w:right w:val="single" w:sz="4" w:space="0" w:color="000000"/>
            </w:tcBorders>
            <w:shd w:val="clear" w:color="auto" w:fill="D2D2D2"/>
          </w:tcPr>
          <w:p>
            <w:pP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资有限公司、北京辰光致远创业投资中心</w:t>
            </w:r>
          </w:p>
          <w:p>
            <w:pPr>
              <w:pStyle w:val="TableParagraph"/>
              <w:spacing w:line="319" w:lineRule="auto" w:before="76"/>
              <w:ind w:left="22" w:right="33"/>
              <w:jc w:val="left"/>
              <w:rPr>
                <w:rFonts w:ascii="宋体" w:hAnsi="宋体" w:cs="宋体" w:eastAsia="宋体" w:hint="default"/>
                <w:sz w:val="18"/>
                <w:szCs w:val="18"/>
              </w:rPr>
            </w:pPr>
            <w:r>
              <w:rPr>
                <w:rFonts w:ascii="宋体" w:hAnsi="宋体" w:cs="宋体" w:eastAsia="宋体" w:hint="default"/>
                <w:spacing w:val="-5"/>
                <w:sz w:val="18"/>
                <w:szCs w:val="18"/>
              </w:rPr>
              <w:t>（有限合伙）、苏州工业园区易联创业投资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基金有限公司、刘海滨、刘卫国、王邦新 梅志勇、肖冰、杨楠、李悦、郭辉、郭超 张晓丽、夏永强、杨怀兵、陈彪</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6"/>
              <w:jc w:val="left"/>
              <w:rPr>
                <w:rFonts w:ascii="宋体" w:hAnsi="宋体" w:cs="宋体" w:eastAsia="宋体" w:hint="default"/>
                <w:sz w:val="18"/>
                <w:szCs w:val="18"/>
              </w:rPr>
            </w:pPr>
            <w:r>
              <w:rPr>
                <w:rFonts w:ascii="宋体" w:hAnsi="宋体" w:cs="宋体" w:eastAsia="宋体" w:hint="default"/>
                <w:sz w:val="18"/>
                <w:szCs w:val="18"/>
              </w:rPr>
              <w:t>交易的 承诺</w:t>
            </w:r>
          </w:p>
          <w:p>
            <w:pPr>
              <w:pStyle w:val="TableParagraph"/>
              <w:spacing w:line="240" w:lineRule="auto" w:before="16"/>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45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夏电通及其子公司能够通过市场与第三方之间发生的交 易，将由久其软件及其控股子公司、华夏电通及其子公司 </w:t>
            </w:r>
            <w:r>
              <w:rPr>
                <w:rFonts w:ascii="宋体" w:hAnsi="宋体" w:cs="宋体" w:eastAsia="宋体" w:hint="default"/>
                <w:spacing w:val="-3"/>
                <w:sz w:val="18"/>
                <w:szCs w:val="18"/>
              </w:rPr>
              <w:t>独立与第三方进行；对于本人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本机构及本人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本机构控制的</w:t>
            </w:r>
            <w:r>
              <w:rPr>
                <w:rFonts w:ascii="宋体" w:hAnsi="宋体" w:cs="宋体" w:eastAsia="宋体" w:hint="default"/>
                <w:spacing w:val="-69"/>
                <w:sz w:val="18"/>
                <w:szCs w:val="18"/>
              </w:rPr>
              <w:t> </w:t>
            </w:r>
            <w:r>
              <w:rPr>
                <w:rFonts w:ascii="宋体" w:hAnsi="宋体" w:cs="宋体" w:eastAsia="宋体" w:hint="default"/>
                <w:sz w:val="18"/>
                <w:szCs w:val="18"/>
              </w:rPr>
              <w:t>其他企业与久其软件及其控股子公司、华夏电通及其子公 司之间无法避免的关联交易，均将严格遵守市场化原则， 本着平等互利、等价有偿的一般原则，公平合理地进行。</w:t>
            </w:r>
          </w:p>
          <w:p>
            <w:pPr>
              <w:pStyle w:val="TableParagraph"/>
              <w:spacing w:line="312" w:lineRule="auto" w:before="20"/>
              <w:ind w:left="22" w:right="12"/>
              <w:jc w:val="left"/>
              <w:rPr>
                <w:rFonts w:ascii="宋体" w:hAnsi="宋体" w:cs="宋体" w:eastAsia="宋体" w:hint="default"/>
                <w:sz w:val="18"/>
                <w:szCs w:val="18"/>
              </w:rPr>
            </w:pPr>
            <w:r>
              <w:rPr>
                <w:rFonts w:ascii="宋体" w:hAnsi="宋体" w:cs="宋体" w:eastAsia="宋体" w:hint="default"/>
                <w:sz w:val="18"/>
                <w:szCs w:val="18"/>
              </w:rPr>
              <w:t>②本人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本机构特此承诺，本次交易过程中及交易完成后， 除开展正常业务所需备用金外，不会以任何方式占用或使 用久其软件及其子公司、华夏电通及其子公司的资金、资 产或其他资源，也不会要求久其软件及其子公司、华夏电 通及其子公司为本人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本机构及本人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本机构控制的其他企 业代垫款项、代偿债务，本人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本机构不以任何直接或间接 的方式从事损害或可能损害久其软件及其子公司、华夏电 </w:t>
            </w:r>
            <w:r>
              <w:rPr>
                <w:rFonts w:ascii="宋体" w:hAnsi="宋体" w:cs="宋体" w:eastAsia="宋体" w:hint="default"/>
                <w:spacing w:val="-3"/>
                <w:sz w:val="18"/>
                <w:szCs w:val="18"/>
              </w:rPr>
              <w:t>通及其子公司利益的行为；③本人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本机构承诺，本人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本机</w:t>
            </w:r>
            <w:r>
              <w:rPr>
                <w:rFonts w:ascii="宋体" w:hAnsi="宋体" w:cs="宋体" w:eastAsia="宋体" w:hint="default"/>
                <w:spacing w:val="-70"/>
                <w:sz w:val="18"/>
                <w:szCs w:val="18"/>
              </w:rPr>
              <w:t> </w:t>
            </w:r>
            <w:r>
              <w:rPr>
                <w:rFonts w:ascii="宋体" w:hAnsi="宋体" w:cs="宋体" w:eastAsia="宋体" w:hint="default"/>
                <w:sz w:val="18"/>
                <w:szCs w:val="18"/>
              </w:rPr>
              <w:t>构及本人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本机构控制的其他企业与久其软件及其子公司、 华夏电通及其子公司发生关联交易时，将严格按照有关规 定履行审批程序和信息披露义务，保证不通过关联交易损 害久其公司及其子公司、华夏电通及其子公司及广大中小 股东的合法权益。本人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本机构在董事会、或股东大会审议 该等关联交易事项时，主动依法履行回避义务，并在议案 通过后方可实施。④如果因违反上述承诺导致久其软件及 其子公司、华夏电通及其子公司或者久其软件广大中小股 东利益损失的，该等损失由本人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本机构承担</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2" w:type="dxa"/>
            <w:tcBorders>
              <w:top w:val="single" w:sz="4" w:space="0" w:color="000000"/>
              <w:left w:val="single" w:sz="4" w:space="0" w:color="000000"/>
              <w:bottom w:val="single" w:sz="4" w:space="0" w:color="000000"/>
              <w:right w:val="single" w:sz="4" w:space="0" w:color="000000"/>
            </w:tcBorders>
          </w:tcPr>
          <w:p>
            <w:pPr/>
          </w:p>
        </w:tc>
        <w:tc>
          <w:tcPr>
            <w:tcW w:w="293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32" w:type="dxa"/>
            <w:vMerge/>
            <w:tcBorders>
              <w:left w:val="single" w:sz="4" w:space="0" w:color="000000"/>
              <w:bottom w:val="single" w:sz="4" w:space="0" w:color="000000"/>
              <w:right w:val="single" w:sz="4" w:space="0" w:color="000000"/>
            </w:tcBorders>
            <w:shd w:val="clear" w:color="auto" w:fill="D2D2D2"/>
          </w:tcPr>
          <w:p>
            <w:pP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5"/>
                <w:sz w:val="18"/>
                <w:szCs w:val="18"/>
              </w:rPr>
              <w:t>北京久其科技投资有限公司、北京鼎新成长</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9"/>
                <w:sz w:val="18"/>
                <w:szCs w:val="18"/>
              </w:rPr>
              <w:t>创业投资中心（有限合伙）、屈庆超、党毅</w:t>
            </w:r>
            <w:r>
              <w:rPr>
                <w:rFonts w:ascii="宋体" w:hAnsi="宋体" w:cs="宋体" w:eastAsia="宋体" w:hint="default"/>
                <w:sz w:val="18"/>
                <w:szCs w:val="18"/>
              </w:rPr>
              <w:t> 石磊、吴鹏翎、肖兴喜、钱晖、刘文佳</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95" w:lineRule="exact" w:before="156"/>
              <w:ind w:left="22" w:right="0"/>
              <w:jc w:val="left"/>
              <w:rPr>
                <w:rFonts w:ascii="宋体" w:hAnsi="宋体" w:cs="宋体" w:eastAsia="宋体" w:hint="default"/>
                <w:sz w:val="18"/>
                <w:szCs w:val="18"/>
              </w:rPr>
            </w:pPr>
            <w:r>
              <w:rPr>
                <w:rFonts w:ascii="宋体" w:hAnsi="宋体" w:cs="宋体" w:eastAsia="宋体" w:hint="default"/>
                <w:sz w:val="18"/>
                <w:szCs w:val="18"/>
              </w:rPr>
              <w:t>股份限</w:t>
            </w:r>
          </w:p>
          <w:p>
            <w:pPr>
              <w:pStyle w:val="TableParagraph"/>
              <w:spacing w:line="156"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售承诺</w:t>
            </w: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727" w:lineRule="exact"/>
              <w:ind w:right="-15"/>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pict>
                <v:group style="width:33.450pt;height:36.4pt;mso-position-horizontal-relative:char;mso-position-vertical-relative:line" coordorigin="0,0" coordsize="669,728">
                  <v:group style="position:absolute;left:11;top:11;width:2;height:705" coordorigin="11,11" coordsize="2,705">
                    <v:shape style="position:absolute;left:11;top:11;width:2;height:705" coordorigin="11,11" coordsize="0,705" path="m11,11l11,716e" filled="false" stroked="true" strokeweight="1.140pt" strokecolor="#ffffff">
                      <v:path arrowok="t"/>
                    </v:shape>
                  </v:group>
                  <v:group style="position:absolute;left:23;top:11;width:646;height:352" coordorigin="23,11" coordsize="646,352">
                    <v:shape style="position:absolute;left:23;top:11;width:646;height:352" coordorigin="23,11" coordsize="646,352" path="m23,363l668,363,668,11,23,11,23,363xe" filled="true" fillcolor="#ffffff" stroked="false">
                      <v:path arrowok="t"/>
                      <v:fill type="solid"/>
                    </v:shape>
                  </v:group>
                  <v:group style="position:absolute;left:23;top:363;width:646;height:353" coordorigin="23,363" coordsize="646,353">
                    <v:shape style="position:absolute;left:23;top:363;width:646;height:353" coordorigin="23,363" coordsize="646,353" path="m23,716l668,716,668,363,23,363,23,716xe" filled="true" fillcolor="#ffffff" stroked="false">
                      <v:path arrowok="t"/>
                      <v:fill type="solid"/>
                    </v:shape>
                  </v:group>
                </v:group>
              </w:pict>
            </w:r>
            <w:r>
              <w:rPr>
                <w:rFonts w:ascii="Times New Roman" w:hAnsi="Times New Roman" w:cs="Times New Roman" w:eastAsia="Times New Roman" w:hint="default"/>
                <w:position w:val="-14"/>
                <w:sz w:val="20"/>
                <w:szCs w:val="20"/>
              </w:rPr>
            </w:r>
          </w:p>
          <w:p>
            <w:pPr>
              <w:pStyle w:val="TableParagraph"/>
              <w:spacing w:line="240" w:lineRule="auto" w:before="2"/>
              <w:ind w:right="0"/>
              <w:jc w:val="left"/>
              <w:rPr>
                <w:rFonts w:ascii="Times New Roman" w:hAnsi="Times New Roman" w:cs="Times New Roman" w:eastAsia="Times New Roman" w:hint="default"/>
                <w:sz w:val="26"/>
                <w:szCs w:val="26"/>
              </w:rPr>
            </w:pPr>
          </w:p>
        </w:tc>
        <w:tc>
          <w:tcPr>
            <w:tcW w:w="4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63"/>
              <w:jc w:val="left"/>
              <w:rPr>
                <w:rFonts w:ascii="宋体" w:hAnsi="宋体" w:cs="宋体" w:eastAsia="宋体" w:hint="default"/>
                <w:sz w:val="18"/>
                <w:szCs w:val="18"/>
              </w:rPr>
            </w:pPr>
            <w:r>
              <w:rPr>
                <w:rFonts w:ascii="宋体" w:hAnsi="宋体" w:cs="宋体" w:eastAsia="宋体" w:hint="default"/>
                <w:sz w:val="18"/>
                <w:szCs w:val="18"/>
              </w:rPr>
              <w:t>承诺以非公开发行股份方式认购的华夏电通重组项目募集 配套资金对应的股票锁定期为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报告期内，承诺方已履行完毕</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232"/>
        <w:gridCol w:w="3398"/>
        <w:gridCol w:w="701"/>
        <w:gridCol w:w="4598"/>
        <w:gridCol w:w="563"/>
        <w:gridCol w:w="592"/>
        <w:gridCol w:w="2932"/>
      </w:tblGrid>
      <w:tr>
        <w:trPr>
          <w:trHeight w:val="175" w:hRule="exact"/>
        </w:trPr>
        <w:tc>
          <w:tcPr>
            <w:tcW w:w="1232" w:type="dxa"/>
            <w:tcBorders>
              <w:top w:val="single" w:sz="15" w:space="0" w:color="000000"/>
              <w:left w:val="single" w:sz="4" w:space="0" w:color="000000"/>
              <w:bottom w:val="nil" w:sz="6" w:space="0" w:color="auto"/>
              <w:right w:val="single" w:sz="4" w:space="0" w:color="000000"/>
            </w:tcBorders>
            <w:shd w:val="clear" w:color="auto" w:fill="D2D2D2"/>
          </w:tcPr>
          <w:p>
            <w:pPr/>
          </w:p>
        </w:tc>
        <w:tc>
          <w:tcPr>
            <w:tcW w:w="3398" w:type="dxa"/>
            <w:tcBorders>
              <w:top w:val="single" w:sz="15" w:space="0" w:color="000000"/>
              <w:left w:val="single" w:sz="4" w:space="0" w:color="000000"/>
              <w:bottom w:val="nil" w:sz="6" w:space="0" w:color="auto"/>
              <w:right w:val="single" w:sz="4" w:space="0" w:color="000000"/>
            </w:tcBorders>
            <w:shd w:val="clear" w:color="auto" w:fill="D2D2D2"/>
          </w:tcPr>
          <w:p>
            <w:pPr/>
          </w:p>
        </w:tc>
        <w:tc>
          <w:tcPr>
            <w:tcW w:w="701"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255" w:right="73" w:hanging="180"/>
              <w:jc w:val="left"/>
              <w:rPr>
                <w:rFonts w:ascii="宋体" w:hAnsi="宋体" w:cs="宋体" w:eastAsia="宋体" w:hint="default"/>
                <w:sz w:val="18"/>
                <w:szCs w:val="18"/>
              </w:rPr>
            </w:pPr>
            <w:r>
              <w:rPr>
                <w:rFonts w:ascii="宋体" w:hAnsi="宋体" w:cs="宋体" w:eastAsia="宋体" w:hint="default"/>
                <w:sz w:val="18"/>
                <w:szCs w:val="18"/>
              </w:rPr>
              <w:t>承诺类 型</w:t>
            </w:r>
          </w:p>
        </w:tc>
        <w:tc>
          <w:tcPr>
            <w:tcW w:w="4598" w:type="dxa"/>
            <w:tcBorders>
              <w:top w:val="single" w:sz="15"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96" w:right="95"/>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92"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110" w:right="109"/>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2932" w:type="dxa"/>
            <w:tcBorders>
              <w:top w:val="single" w:sz="15"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12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33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701" w:type="dxa"/>
            <w:vMerge/>
            <w:tcBorders>
              <w:left w:val="single" w:sz="4" w:space="0" w:color="000000"/>
              <w:right w:val="single" w:sz="4" w:space="0" w:color="000000"/>
            </w:tcBorders>
            <w:shd w:val="clear" w:color="auto" w:fill="D2D2D2"/>
          </w:tcPr>
          <w:p>
            <w:pPr/>
          </w:p>
        </w:tc>
        <w:tc>
          <w:tcPr>
            <w:tcW w:w="4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63" w:type="dxa"/>
            <w:vMerge/>
            <w:tcBorders>
              <w:left w:val="single" w:sz="4" w:space="0" w:color="000000"/>
              <w:right w:val="single" w:sz="4" w:space="0" w:color="000000"/>
            </w:tcBorders>
            <w:shd w:val="clear" w:color="auto" w:fill="D2D2D2"/>
          </w:tcPr>
          <w:p>
            <w:pPr/>
          </w:p>
        </w:tc>
        <w:tc>
          <w:tcPr>
            <w:tcW w:w="592" w:type="dxa"/>
            <w:vMerge/>
            <w:tcBorders>
              <w:left w:val="single" w:sz="4" w:space="0" w:color="000000"/>
              <w:right w:val="single" w:sz="4" w:space="0" w:color="000000"/>
            </w:tcBorders>
            <w:shd w:val="clear" w:color="auto" w:fill="D2D2D2"/>
          </w:tcPr>
          <w:p>
            <w:pPr/>
          </w:p>
        </w:tc>
        <w:tc>
          <w:tcPr>
            <w:tcW w:w="2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1" w:hRule="exact"/>
        </w:trPr>
        <w:tc>
          <w:tcPr>
            <w:tcW w:w="1232" w:type="dxa"/>
            <w:tcBorders>
              <w:top w:val="nil" w:sz="6" w:space="0" w:color="auto"/>
              <w:left w:val="single" w:sz="4" w:space="0" w:color="000000"/>
              <w:bottom w:val="single" w:sz="4" w:space="0" w:color="000000"/>
              <w:right w:val="single" w:sz="4" w:space="0" w:color="000000"/>
            </w:tcBorders>
            <w:shd w:val="clear" w:color="auto" w:fill="D2D2D2"/>
          </w:tcPr>
          <w:p>
            <w:pPr/>
          </w:p>
        </w:tc>
        <w:tc>
          <w:tcPr>
            <w:tcW w:w="33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vMerge/>
            <w:tcBorders>
              <w:left w:val="single" w:sz="4" w:space="0" w:color="000000"/>
              <w:bottom w:val="single" w:sz="4" w:space="0" w:color="000000"/>
              <w:right w:val="single" w:sz="4" w:space="0" w:color="000000"/>
            </w:tcBorders>
            <w:shd w:val="clear" w:color="auto" w:fill="D2D2D2"/>
          </w:tcPr>
          <w:p>
            <w:pPr/>
          </w:p>
        </w:tc>
        <w:tc>
          <w:tcPr>
            <w:tcW w:w="4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92" w:type="dxa"/>
            <w:vMerge/>
            <w:tcBorders>
              <w:left w:val="single" w:sz="4" w:space="0" w:color="000000"/>
              <w:bottom w:val="single" w:sz="4" w:space="0" w:color="000000"/>
              <w:right w:val="single" w:sz="4" w:space="0" w:color="000000"/>
            </w:tcBorders>
            <w:shd w:val="clear" w:color="auto" w:fill="D2D2D2"/>
          </w:tcPr>
          <w:p>
            <w:pPr/>
          </w:p>
        </w:tc>
        <w:tc>
          <w:tcPr>
            <w:tcW w:w="293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62" w:hRule="exact"/>
        </w:trPr>
        <w:tc>
          <w:tcPr>
            <w:tcW w:w="1232" w:type="dxa"/>
            <w:vMerge w:val="restart"/>
            <w:tcBorders>
              <w:top w:val="single" w:sz="4" w:space="0" w:color="000000"/>
              <w:left w:val="single" w:sz="4" w:space="0" w:color="000000"/>
              <w:right w:val="single" w:sz="4" w:space="0" w:color="000000"/>
            </w:tcBorders>
            <w:shd w:val="clear" w:color="auto" w:fill="D2D2D2"/>
          </w:tcPr>
          <w:p>
            <w:pPr/>
          </w:p>
        </w:tc>
        <w:tc>
          <w:tcPr>
            <w:tcW w:w="339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4598"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932" w:type="dxa"/>
            <w:tcBorders>
              <w:top w:val="single" w:sz="4" w:space="0" w:color="000000"/>
              <w:left w:val="single" w:sz="4" w:space="0" w:color="000000"/>
              <w:bottom w:val="single" w:sz="4" w:space="0" w:color="000000"/>
              <w:right w:val="single" w:sz="4" w:space="0" w:color="000000"/>
            </w:tcBorders>
          </w:tcPr>
          <w:p>
            <w:pPr/>
          </w:p>
        </w:tc>
      </w:tr>
      <w:tr>
        <w:trPr>
          <w:trHeight w:val="6643" w:hRule="exact"/>
        </w:trPr>
        <w:tc>
          <w:tcPr>
            <w:tcW w:w="1232" w:type="dxa"/>
            <w:vMerge/>
            <w:tcBorders>
              <w:left w:val="single" w:sz="4" w:space="0" w:color="000000"/>
              <w:right w:val="single" w:sz="4" w:space="0" w:color="000000"/>
            </w:tcBorders>
            <w:shd w:val="clear" w:color="auto" w:fill="D2D2D2"/>
          </w:tcPr>
          <w:p>
            <w:pP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2" w:right="22"/>
              <w:jc w:val="left"/>
              <w:rPr>
                <w:rFonts w:ascii="宋体" w:hAnsi="宋体" w:cs="宋体" w:eastAsia="宋体" w:hint="default"/>
                <w:sz w:val="18"/>
                <w:szCs w:val="18"/>
              </w:rPr>
            </w:pPr>
            <w:r>
              <w:rPr>
                <w:rFonts w:ascii="宋体" w:hAnsi="宋体" w:cs="宋体" w:eastAsia="宋体" w:hint="default"/>
                <w:spacing w:val="-5"/>
                <w:sz w:val="18"/>
                <w:szCs w:val="18"/>
              </w:rPr>
              <w:t>北京久其科技投资有限公司、董泰湘、赵福</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君</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2" w:right="126"/>
              <w:jc w:val="both"/>
              <w:rPr>
                <w:rFonts w:ascii="宋体" w:hAnsi="宋体" w:cs="宋体" w:eastAsia="宋体" w:hint="default"/>
                <w:sz w:val="18"/>
                <w:szCs w:val="18"/>
              </w:rPr>
            </w:pPr>
            <w:r>
              <w:rPr>
                <w:rFonts w:ascii="宋体" w:hAnsi="宋体" w:cs="宋体" w:eastAsia="宋体" w:hint="default"/>
                <w:sz w:val="18"/>
                <w:szCs w:val="18"/>
              </w:rPr>
              <w:t>关于避 免同业 竞争的 承诺</w:t>
            </w:r>
          </w:p>
        </w:tc>
        <w:tc>
          <w:tcPr>
            <w:tcW w:w="459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①截至本承诺函签署之日，本公司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本人未在，将来也不会 在中国境内外以任何方式直接或间接从事或参与任何与久 其软件及其下属子公司、华夏电通及其下属子公司相同、 相似或在商业上构成任何竞争的业务及活动，或拥有与久 其软件及其下属子公司、华夏电通及其下属子公司存在竞 争关系的任何经济实体、机构、经济组织的权益，或以其 他任何形式取得该经济实体、机构、经济组织的控制权， 或者为该等构成同业竞争关系的经济实体、机构、经济组 织以劳务、顾问或咨询等方式提供服务。②若发现本公司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本人及本公司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本人控制的其他企业在以后任何时间从事 与久其软件及其下属子公司、华夏电通及其下属子公司的 </w:t>
            </w:r>
            <w:r>
              <w:rPr>
                <w:rFonts w:ascii="宋体" w:hAnsi="宋体" w:cs="宋体" w:eastAsia="宋体" w:hint="default"/>
                <w:spacing w:val="-3"/>
                <w:sz w:val="18"/>
                <w:szCs w:val="18"/>
              </w:rPr>
              <w:t>产品或业务存在竞争的业务，则本公司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本人及本公司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w:t>
            </w:r>
            <w:r>
              <w:rPr>
                <w:rFonts w:ascii="宋体" w:hAnsi="宋体" w:cs="宋体" w:eastAsia="宋体" w:hint="default"/>
                <w:spacing w:val="-68"/>
                <w:sz w:val="18"/>
                <w:szCs w:val="18"/>
              </w:rPr>
              <w:t> </w:t>
            </w:r>
            <w:r>
              <w:rPr>
                <w:rFonts w:ascii="宋体" w:hAnsi="宋体" w:cs="宋体" w:eastAsia="宋体" w:hint="default"/>
                <w:sz w:val="18"/>
                <w:szCs w:val="18"/>
              </w:rPr>
              <w:t>控制的其他企业承诺将以停止生产经营相竞争的业务或产 品的方式，或者将相竞争的业务无偿转让给久其软件的方 式，或者将相竞争的业务转让给无关联关系的第三方的方 式避免同业竞争。③在本公司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本人持有久其软件及其下属 子公司、华夏电通及其下属子公司股权（股份）或者本人 在久其软件及其下属子公司、华夏电通及其下属子公司任 职期间，本承诺函持续有效。④如上述承诺被证明是不真 实的或未被遵守</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本人愿意承担因违反上述承诺而 给久其软件造成的全部经济损失</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2" w:right="197"/>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2" w:right="21"/>
              <w:jc w:val="left"/>
              <w:rPr>
                <w:rFonts w:ascii="宋体" w:hAnsi="宋体" w:cs="宋体" w:eastAsia="宋体" w:hint="default"/>
                <w:sz w:val="18"/>
                <w:szCs w:val="18"/>
              </w:rPr>
            </w:pPr>
            <w:r>
              <w:rPr>
                <w:rFonts w:ascii="宋体" w:hAnsi="宋体" w:cs="宋体" w:eastAsia="宋体" w:hint="default"/>
                <w:sz w:val="18"/>
                <w:szCs w:val="18"/>
              </w:rPr>
              <w:t>截至报告期末，承诺方严格遵守该承 诺，未有违反该承诺的情况</w:t>
            </w:r>
          </w:p>
        </w:tc>
      </w:tr>
      <w:tr>
        <w:trPr>
          <w:trHeight w:val="1610" w:hRule="exact"/>
        </w:trPr>
        <w:tc>
          <w:tcPr>
            <w:tcW w:w="1232" w:type="dxa"/>
            <w:vMerge/>
            <w:tcBorders>
              <w:left w:val="single" w:sz="4" w:space="0" w:color="000000"/>
              <w:bottom w:val="single" w:sz="4" w:space="0" w:color="000000"/>
              <w:right w:val="single" w:sz="4" w:space="0" w:color="000000"/>
            </w:tcBorders>
            <w:shd w:val="clear" w:color="auto" w:fill="D2D2D2"/>
          </w:tcPr>
          <w:p>
            <w:pP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5"/>
                <w:sz w:val="18"/>
                <w:szCs w:val="18"/>
              </w:rPr>
              <w:t>北京久其科技投资有限公司、董泰湘、赵福</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君</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26"/>
              <w:jc w:val="both"/>
              <w:rPr>
                <w:rFonts w:ascii="宋体" w:hAnsi="宋体" w:cs="宋体" w:eastAsia="宋体" w:hint="default"/>
                <w:sz w:val="18"/>
                <w:szCs w:val="18"/>
              </w:rPr>
            </w:pPr>
            <w:r>
              <w:rPr>
                <w:rFonts w:ascii="宋体" w:hAnsi="宋体" w:cs="宋体" w:eastAsia="宋体" w:hint="default"/>
                <w:sz w:val="18"/>
                <w:szCs w:val="18"/>
              </w:rPr>
              <w:t>关于规 范关联 交易的 承诺</w:t>
            </w:r>
          </w:p>
        </w:tc>
        <w:tc>
          <w:tcPr>
            <w:tcW w:w="45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①本公司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本人承诺将尽量避免或减少与久其软件及其子 公司、华夏电通及其子公司之间的关联交易。对于久其软 件及其控股子公司、华夏电通及其子公司能够通过市场与 第三方之间发生的交易，将由久其软件及其控股子公司、 </w:t>
            </w:r>
            <w:r>
              <w:rPr>
                <w:rFonts w:ascii="宋体" w:hAnsi="宋体" w:cs="宋体" w:eastAsia="宋体" w:hint="default"/>
                <w:spacing w:val="-1"/>
                <w:sz w:val="18"/>
                <w:szCs w:val="18"/>
              </w:rPr>
              <w:t>华夏电通及其子公司独立与第三方进行；对于本公司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197"/>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z w:val="18"/>
                <w:szCs w:val="18"/>
              </w:rPr>
              <w:t>截至报告期末，承诺方严格遵守该承 诺，未有违反该承诺的情况</w:t>
            </w:r>
          </w:p>
        </w:tc>
      </w:tr>
    </w:tbl>
    <w:p>
      <w:pPr>
        <w:spacing w:after="0" w:line="319" w:lineRule="auto"/>
        <w:jc w:val="left"/>
        <w:rPr>
          <w:rFonts w:ascii="宋体" w:hAnsi="宋体" w:cs="宋体" w:eastAsia="宋体" w:hint="default"/>
          <w:sz w:val="18"/>
          <w:szCs w:val="18"/>
        </w:rPr>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232"/>
        <w:gridCol w:w="3398"/>
        <w:gridCol w:w="701"/>
        <w:gridCol w:w="4598"/>
        <w:gridCol w:w="563"/>
        <w:gridCol w:w="592"/>
        <w:gridCol w:w="2932"/>
      </w:tblGrid>
      <w:tr>
        <w:trPr>
          <w:trHeight w:val="175" w:hRule="exact"/>
        </w:trPr>
        <w:tc>
          <w:tcPr>
            <w:tcW w:w="1232" w:type="dxa"/>
            <w:tcBorders>
              <w:top w:val="single" w:sz="15" w:space="0" w:color="000000"/>
              <w:left w:val="single" w:sz="4" w:space="0" w:color="000000"/>
              <w:bottom w:val="nil" w:sz="6" w:space="0" w:color="auto"/>
              <w:right w:val="single" w:sz="4" w:space="0" w:color="000000"/>
            </w:tcBorders>
            <w:shd w:val="clear" w:color="auto" w:fill="D2D2D2"/>
          </w:tcPr>
          <w:p>
            <w:pPr/>
          </w:p>
        </w:tc>
        <w:tc>
          <w:tcPr>
            <w:tcW w:w="3398" w:type="dxa"/>
            <w:tcBorders>
              <w:top w:val="single" w:sz="15" w:space="0" w:color="000000"/>
              <w:left w:val="single" w:sz="4" w:space="0" w:color="000000"/>
              <w:bottom w:val="nil" w:sz="6" w:space="0" w:color="auto"/>
              <w:right w:val="single" w:sz="4" w:space="0" w:color="000000"/>
            </w:tcBorders>
            <w:shd w:val="clear" w:color="auto" w:fill="D2D2D2"/>
          </w:tcPr>
          <w:p>
            <w:pPr/>
          </w:p>
        </w:tc>
        <w:tc>
          <w:tcPr>
            <w:tcW w:w="701"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255" w:right="73" w:hanging="180"/>
              <w:jc w:val="left"/>
              <w:rPr>
                <w:rFonts w:ascii="宋体" w:hAnsi="宋体" w:cs="宋体" w:eastAsia="宋体" w:hint="default"/>
                <w:sz w:val="18"/>
                <w:szCs w:val="18"/>
              </w:rPr>
            </w:pPr>
            <w:r>
              <w:rPr>
                <w:rFonts w:ascii="宋体" w:hAnsi="宋体" w:cs="宋体" w:eastAsia="宋体" w:hint="default"/>
                <w:sz w:val="18"/>
                <w:szCs w:val="18"/>
              </w:rPr>
              <w:t>承诺类 型</w:t>
            </w:r>
          </w:p>
        </w:tc>
        <w:tc>
          <w:tcPr>
            <w:tcW w:w="4598" w:type="dxa"/>
            <w:tcBorders>
              <w:top w:val="single" w:sz="15"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96" w:right="95"/>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92"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110" w:right="109"/>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2932" w:type="dxa"/>
            <w:tcBorders>
              <w:top w:val="single" w:sz="15"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12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33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701" w:type="dxa"/>
            <w:vMerge/>
            <w:tcBorders>
              <w:left w:val="single" w:sz="4" w:space="0" w:color="000000"/>
              <w:right w:val="single" w:sz="4" w:space="0" w:color="000000"/>
            </w:tcBorders>
            <w:shd w:val="clear" w:color="auto" w:fill="D2D2D2"/>
          </w:tcPr>
          <w:p>
            <w:pPr/>
          </w:p>
        </w:tc>
        <w:tc>
          <w:tcPr>
            <w:tcW w:w="4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63" w:type="dxa"/>
            <w:vMerge/>
            <w:tcBorders>
              <w:left w:val="single" w:sz="4" w:space="0" w:color="000000"/>
              <w:right w:val="single" w:sz="4" w:space="0" w:color="000000"/>
            </w:tcBorders>
            <w:shd w:val="clear" w:color="auto" w:fill="D2D2D2"/>
          </w:tcPr>
          <w:p>
            <w:pPr/>
          </w:p>
        </w:tc>
        <w:tc>
          <w:tcPr>
            <w:tcW w:w="592" w:type="dxa"/>
            <w:vMerge/>
            <w:tcBorders>
              <w:left w:val="single" w:sz="4" w:space="0" w:color="000000"/>
              <w:right w:val="single" w:sz="4" w:space="0" w:color="000000"/>
            </w:tcBorders>
            <w:shd w:val="clear" w:color="auto" w:fill="D2D2D2"/>
          </w:tcPr>
          <w:p>
            <w:pPr/>
          </w:p>
        </w:tc>
        <w:tc>
          <w:tcPr>
            <w:tcW w:w="2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1" w:hRule="exact"/>
        </w:trPr>
        <w:tc>
          <w:tcPr>
            <w:tcW w:w="1232" w:type="dxa"/>
            <w:tcBorders>
              <w:top w:val="nil" w:sz="6" w:space="0" w:color="auto"/>
              <w:left w:val="single" w:sz="4" w:space="0" w:color="000000"/>
              <w:bottom w:val="single" w:sz="4" w:space="0" w:color="000000"/>
              <w:right w:val="single" w:sz="4" w:space="0" w:color="000000"/>
            </w:tcBorders>
            <w:shd w:val="clear" w:color="auto" w:fill="D2D2D2"/>
          </w:tcPr>
          <w:p>
            <w:pPr/>
          </w:p>
        </w:tc>
        <w:tc>
          <w:tcPr>
            <w:tcW w:w="33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vMerge/>
            <w:tcBorders>
              <w:left w:val="single" w:sz="4" w:space="0" w:color="000000"/>
              <w:bottom w:val="single" w:sz="4" w:space="0" w:color="000000"/>
              <w:right w:val="single" w:sz="4" w:space="0" w:color="000000"/>
            </w:tcBorders>
            <w:shd w:val="clear" w:color="auto" w:fill="D2D2D2"/>
          </w:tcPr>
          <w:p>
            <w:pPr/>
          </w:p>
        </w:tc>
        <w:tc>
          <w:tcPr>
            <w:tcW w:w="4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92" w:type="dxa"/>
            <w:vMerge/>
            <w:tcBorders>
              <w:left w:val="single" w:sz="4" w:space="0" w:color="000000"/>
              <w:bottom w:val="single" w:sz="4" w:space="0" w:color="000000"/>
              <w:right w:val="single" w:sz="4" w:space="0" w:color="000000"/>
            </w:tcBorders>
            <w:shd w:val="clear" w:color="auto" w:fill="D2D2D2"/>
          </w:tcPr>
          <w:p>
            <w:pPr/>
          </w:p>
        </w:tc>
        <w:tc>
          <w:tcPr>
            <w:tcW w:w="293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6915" w:hRule="exact"/>
        </w:trPr>
        <w:tc>
          <w:tcPr>
            <w:tcW w:w="1232" w:type="dxa"/>
            <w:vMerge w:val="restart"/>
            <w:tcBorders>
              <w:top w:val="single" w:sz="4" w:space="0" w:color="000000"/>
              <w:left w:val="single" w:sz="4" w:space="0" w:color="000000"/>
              <w:right w:val="single" w:sz="4" w:space="0" w:color="000000"/>
            </w:tcBorders>
            <w:shd w:val="clear" w:color="auto" w:fill="D2D2D2"/>
          </w:tcPr>
          <w:p>
            <w:pPr/>
          </w:p>
        </w:tc>
        <w:tc>
          <w:tcPr>
            <w:tcW w:w="339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459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本人控制的其他企业与久其软件及其控股子公 司、华夏电通及其子公司之间无法避免的关联交易，均将 严格遵守市场化原则，本着平等互利、等价有偿的一般原 </w:t>
            </w:r>
            <w:r>
              <w:rPr>
                <w:rFonts w:ascii="宋体" w:hAnsi="宋体" w:cs="宋体" w:eastAsia="宋体" w:hint="default"/>
                <w:spacing w:val="-1"/>
                <w:sz w:val="18"/>
                <w:szCs w:val="18"/>
              </w:rPr>
              <w:t>则，公平合理地进行。②本公司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本人特此承诺，本次交易</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过程中及交易完成后，除开展正常业务所需备用金外，不 会以任何方式占用或使用久其软件及其子公司、华夏电通 及其子公司的资金、资产或其他资源，也不会要求久其软 </w:t>
            </w:r>
            <w:r>
              <w:rPr>
                <w:rFonts w:ascii="宋体" w:hAnsi="宋体" w:cs="宋体" w:eastAsia="宋体" w:hint="default"/>
                <w:spacing w:val="-1"/>
                <w:sz w:val="18"/>
                <w:szCs w:val="18"/>
              </w:rPr>
              <w:t>件及其子公司、华夏电通及其子公司为本公司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本人及本公</w:t>
            </w:r>
            <w:r>
              <w:rPr>
                <w:rFonts w:ascii="宋体" w:hAnsi="宋体" w:cs="宋体" w:eastAsia="宋体" w:hint="default"/>
                <w:spacing w:val="-74"/>
                <w:sz w:val="18"/>
                <w:szCs w:val="18"/>
              </w:rPr>
              <w:t> </w:t>
            </w:r>
            <w:r>
              <w:rPr>
                <w:rFonts w:ascii="宋体" w:hAnsi="宋体" w:cs="宋体" w:eastAsia="宋体" w:hint="default"/>
                <w:spacing w:val="-3"/>
                <w:sz w:val="18"/>
                <w:szCs w:val="18"/>
              </w:rPr>
              <w:t>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本人控制的其他企业代垫款项、代偿债务，本公司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w:t>
            </w:r>
            <w:r>
              <w:rPr>
                <w:rFonts w:ascii="宋体" w:hAnsi="宋体" w:cs="宋体" w:eastAsia="宋体" w:hint="default"/>
                <w:spacing w:val="-71"/>
                <w:sz w:val="18"/>
                <w:szCs w:val="18"/>
              </w:rPr>
              <w:t> </w:t>
            </w:r>
            <w:r>
              <w:rPr>
                <w:rFonts w:ascii="宋体" w:hAnsi="宋体" w:cs="宋体" w:eastAsia="宋体" w:hint="default"/>
                <w:sz w:val="18"/>
                <w:szCs w:val="18"/>
              </w:rPr>
              <w:t>不会不以任何直接或间接的方式从事损害或可能损害久其 软件及其子公司、华夏电通及其子公司利益的行为。③本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本人承诺，本公司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本人控制的其他企 业与久其软件及其子公司、华夏电通及其子公司发生关联 交易时，将严格按照有关法律、法规、规范性文件及久其 软件《公司章程》等公司治理制度的有关规定履行审批程 序和信息披露义务，保证不通过关联交易损害久其软件及 其子公司、华夏电通及其子公司及广大中小股东的合法权 </w:t>
            </w:r>
            <w:r>
              <w:rPr>
                <w:rFonts w:ascii="宋体" w:hAnsi="宋体" w:cs="宋体" w:eastAsia="宋体" w:hint="default"/>
                <w:spacing w:val="-1"/>
                <w:sz w:val="18"/>
                <w:szCs w:val="18"/>
              </w:rPr>
              <w:t>益。本公司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本人在董事会、或股东大会审议该等关联交易</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事项时，主动依法履行回避义务，并在议案通过后方可实 施。④如果因违反上述承诺导致久其软件及其子公司、华 </w:t>
            </w:r>
            <w:r>
              <w:rPr>
                <w:rFonts w:ascii="宋体" w:hAnsi="宋体" w:cs="宋体" w:eastAsia="宋体" w:hint="default"/>
                <w:spacing w:val="-1"/>
                <w:sz w:val="18"/>
                <w:szCs w:val="18"/>
              </w:rPr>
              <w:t>夏电通及其子公司利益损失的，该等损失由本公司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本人承</w:t>
            </w:r>
            <w:r>
              <w:rPr>
                <w:rFonts w:ascii="宋体" w:hAnsi="宋体" w:cs="宋体" w:eastAsia="宋体" w:hint="default"/>
                <w:spacing w:val="-74"/>
                <w:sz w:val="18"/>
                <w:szCs w:val="18"/>
              </w:rPr>
              <w:t> </w:t>
            </w:r>
            <w:r>
              <w:rPr>
                <w:rFonts w:ascii="宋体" w:hAnsi="宋体" w:cs="宋体" w:eastAsia="宋体" w:hint="default"/>
                <w:sz w:val="18"/>
                <w:szCs w:val="18"/>
              </w:rPr>
              <w:t>担</w:t>
            </w:r>
          </w:p>
        </w:tc>
        <w:tc>
          <w:tcPr>
            <w:tcW w:w="563"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293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232" w:type="dxa"/>
            <w:vMerge/>
            <w:tcBorders>
              <w:left w:val="single" w:sz="4" w:space="0" w:color="000000"/>
              <w:bottom w:val="single" w:sz="4" w:space="0" w:color="000000"/>
              <w:right w:val="single" w:sz="4" w:space="0" w:color="000000"/>
            </w:tcBorders>
            <w:shd w:val="clear" w:color="auto" w:fill="D2D2D2"/>
          </w:tcPr>
          <w:p>
            <w:pP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22"/>
              <w:jc w:val="left"/>
              <w:rPr>
                <w:rFonts w:ascii="宋体" w:hAnsi="宋体" w:cs="宋体" w:eastAsia="宋体" w:hint="default"/>
                <w:sz w:val="18"/>
                <w:szCs w:val="18"/>
              </w:rPr>
            </w:pPr>
            <w:r>
              <w:rPr>
                <w:rFonts w:ascii="宋体" w:hAnsi="宋体" w:cs="宋体" w:eastAsia="宋体" w:hint="default"/>
                <w:spacing w:val="-5"/>
                <w:sz w:val="18"/>
                <w:szCs w:val="18"/>
              </w:rPr>
              <w:t>北京久其科技投资有限公司、董泰湘、赵福</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君</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6"/>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4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7" w:lineRule="auto"/>
              <w:ind w:left="22" w:right="63"/>
              <w:jc w:val="left"/>
              <w:rPr>
                <w:rFonts w:ascii="宋体" w:hAnsi="宋体" w:cs="宋体" w:eastAsia="宋体" w:hint="default"/>
                <w:sz w:val="18"/>
                <w:szCs w:val="18"/>
              </w:rPr>
            </w:pPr>
            <w:r>
              <w:rPr>
                <w:rFonts w:ascii="宋体" w:hAnsi="宋体" w:cs="宋体" w:eastAsia="宋体" w:hint="default"/>
                <w:sz w:val="18"/>
                <w:szCs w:val="18"/>
              </w:rPr>
              <w:t>自亿起联科技重组项目募集配套资金事项对应的上市公司 股票发行完成之日起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本人不转让或通 过二级市场减持本公司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本人已经持有的久其软件的全部 股份</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报告期内，承诺方已履行完毕</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r>
        <w:rPr/>
        <w:pict>
          <v:shape style="position:absolute;margin-left:543.039978pt;margin-top:257.920013pt;width:51.9pt;height:78pt;mso-position-horizontal-relative:page;mso-position-vertical-relative:page;z-index:-10459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2"/>
                      <w:szCs w:val="22"/>
                    </w:rPr>
                  </w:pPr>
                </w:p>
                <w:p>
                  <w:pPr>
                    <w:pStyle w:val="BodyText"/>
                    <w:spacing w:line="240" w:lineRule="auto"/>
                    <w:ind w:left="0" w:right="0"/>
                    <w:jc w:val="left"/>
                  </w:pPr>
                  <w:r>
                    <w:rPr/>
                    <w:t>年度、</w:t>
                  </w:r>
                </w:p>
              </w:txbxContent>
            </v:textbox>
            <w10:wrap type="none"/>
          </v:shape>
        </w:pict>
      </w:r>
    </w:p>
    <w:tbl>
      <w:tblPr>
        <w:tblW w:w="0" w:type="auto"/>
        <w:jc w:val="left"/>
        <w:tblInd w:w="107" w:type="dxa"/>
        <w:tblLayout w:type="fixed"/>
        <w:tblCellMar>
          <w:top w:w="0" w:type="dxa"/>
          <w:left w:w="0" w:type="dxa"/>
          <w:bottom w:w="0" w:type="dxa"/>
          <w:right w:w="0" w:type="dxa"/>
        </w:tblCellMar>
        <w:tblLook w:val="01E0"/>
      </w:tblPr>
      <w:tblGrid>
        <w:gridCol w:w="1232"/>
        <w:gridCol w:w="3398"/>
        <w:gridCol w:w="701"/>
        <w:gridCol w:w="4598"/>
        <w:gridCol w:w="563"/>
        <w:gridCol w:w="592"/>
        <w:gridCol w:w="2932"/>
      </w:tblGrid>
      <w:tr>
        <w:trPr>
          <w:trHeight w:val="175" w:hRule="exact"/>
        </w:trPr>
        <w:tc>
          <w:tcPr>
            <w:tcW w:w="1232" w:type="dxa"/>
            <w:tcBorders>
              <w:top w:val="single" w:sz="15" w:space="0" w:color="000000"/>
              <w:left w:val="single" w:sz="4" w:space="0" w:color="000000"/>
              <w:bottom w:val="nil" w:sz="6" w:space="0" w:color="auto"/>
              <w:right w:val="single" w:sz="4" w:space="0" w:color="000000"/>
            </w:tcBorders>
            <w:shd w:val="clear" w:color="auto" w:fill="D2D2D2"/>
          </w:tcPr>
          <w:p>
            <w:pPr/>
          </w:p>
        </w:tc>
        <w:tc>
          <w:tcPr>
            <w:tcW w:w="3398" w:type="dxa"/>
            <w:tcBorders>
              <w:top w:val="single" w:sz="15" w:space="0" w:color="000000"/>
              <w:left w:val="single" w:sz="4" w:space="0" w:color="000000"/>
              <w:bottom w:val="nil" w:sz="6" w:space="0" w:color="auto"/>
              <w:right w:val="single" w:sz="4" w:space="0" w:color="000000"/>
            </w:tcBorders>
            <w:shd w:val="clear" w:color="auto" w:fill="D2D2D2"/>
          </w:tcPr>
          <w:p>
            <w:pPr/>
          </w:p>
        </w:tc>
        <w:tc>
          <w:tcPr>
            <w:tcW w:w="701"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255" w:right="73" w:hanging="180"/>
              <w:jc w:val="left"/>
              <w:rPr>
                <w:rFonts w:ascii="宋体" w:hAnsi="宋体" w:cs="宋体" w:eastAsia="宋体" w:hint="default"/>
                <w:sz w:val="18"/>
                <w:szCs w:val="18"/>
              </w:rPr>
            </w:pPr>
            <w:r>
              <w:rPr>
                <w:rFonts w:ascii="宋体" w:hAnsi="宋体" w:cs="宋体" w:eastAsia="宋体" w:hint="default"/>
                <w:sz w:val="18"/>
                <w:szCs w:val="18"/>
              </w:rPr>
              <w:t>承诺类 型</w:t>
            </w:r>
          </w:p>
        </w:tc>
        <w:tc>
          <w:tcPr>
            <w:tcW w:w="4598" w:type="dxa"/>
            <w:tcBorders>
              <w:top w:val="single" w:sz="15"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96" w:right="95"/>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92"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110" w:right="109"/>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2932" w:type="dxa"/>
            <w:tcBorders>
              <w:top w:val="single" w:sz="15"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12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33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701" w:type="dxa"/>
            <w:vMerge/>
            <w:tcBorders>
              <w:left w:val="single" w:sz="4" w:space="0" w:color="000000"/>
              <w:right w:val="single" w:sz="4" w:space="0" w:color="000000"/>
            </w:tcBorders>
            <w:shd w:val="clear" w:color="auto" w:fill="D2D2D2"/>
          </w:tcPr>
          <w:p>
            <w:pPr/>
          </w:p>
        </w:tc>
        <w:tc>
          <w:tcPr>
            <w:tcW w:w="4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63" w:type="dxa"/>
            <w:vMerge/>
            <w:tcBorders>
              <w:left w:val="single" w:sz="4" w:space="0" w:color="000000"/>
              <w:right w:val="single" w:sz="4" w:space="0" w:color="000000"/>
            </w:tcBorders>
            <w:shd w:val="clear" w:color="auto" w:fill="D2D2D2"/>
          </w:tcPr>
          <w:p>
            <w:pPr/>
          </w:p>
        </w:tc>
        <w:tc>
          <w:tcPr>
            <w:tcW w:w="592" w:type="dxa"/>
            <w:vMerge/>
            <w:tcBorders>
              <w:left w:val="single" w:sz="4" w:space="0" w:color="000000"/>
              <w:right w:val="single" w:sz="4" w:space="0" w:color="000000"/>
            </w:tcBorders>
            <w:shd w:val="clear" w:color="auto" w:fill="D2D2D2"/>
          </w:tcPr>
          <w:p>
            <w:pPr/>
          </w:p>
        </w:tc>
        <w:tc>
          <w:tcPr>
            <w:tcW w:w="2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1" w:hRule="exact"/>
        </w:trPr>
        <w:tc>
          <w:tcPr>
            <w:tcW w:w="1232" w:type="dxa"/>
            <w:tcBorders>
              <w:top w:val="nil" w:sz="6" w:space="0" w:color="auto"/>
              <w:left w:val="single" w:sz="4" w:space="0" w:color="000000"/>
              <w:bottom w:val="single" w:sz="4" w:space="0" w:color="000000"/>
              <w:right w:val="single" w:sz="4" w:space="0" w:color="000000"/>
            </w:tcBorders>
            <w:shd w:val="clear" w:color="auto" w:fill="D2D2D2"/>
          </w:tcPr>
          <w:p>
            <w:pPr/>
          </w:p>
        </w:tc>
        <w:tc>
          <w:tcPr>
            <w:tcW w:w="33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vMerge/>
            <w:tcBorders>
              <w:left w:val="single" w:sz="4" w:space="0" w:color="000000"/>
              <w:bottom w:val="single" w:sz="4" w:space="0" w:color="000000"/>
              <w:right w:val="single" w:sz="4" w:space="0" w:color="000000"/>
            </w:tcBorders>
            <w:shd w:val="clear" w:color="auto" w:fill="D2D2D2"/>
          </w:tcPr>
          <w:p>
            <w:pPr/>
          </w:p>
        </w:tc>
        <w:tc>
          <w:tcPr>
            <w:tcW w:w="4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92" w:type="dxa"/>
            <w:vMerge/>
            <w:tcBorders>
              <w:left w:val="single" w:sz="4" w:space="0" w:color="000000"/>
              <w:bottom w:val="single" w:sz="4" w:space="0" w:color="000000"/>
              <w:right w:val="single" w:sz="4" w:space="0" w:color="000000"/>
            </w:tcBorders>
            <w:shd w:val="clear" w:color="auto" w:fill="D2D2D2"/>
          </w:tcPr>
          <w:p>
            <w:pPr/>
          </w:p>
        </w:tc>
        <w:tc>
          <w:tcPr>
            <w:tcW w:w="293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50" w:hRule="exact"/>
        </w:trPr>
        <w:tc>
          <w:tcPr>
            <w:tcW w:w="1232" w:type="dxa"/>
            <w:vMerge w:val="restart"/>
            <w:tcBorders>
              <w:top w:val="single" w:sz="4" w:space="0" w:color="000000"/>
              <w:left w:val="single" w:sz="4" w:space="0" w:color="000000"/>
              <w:right w:val="single" w:sz="4" w:space="0" w:color="000000"/>
            </w:tcBorders>
            <w:shd w:val="clear" w:color="auto" w:fill="D2D2D2"/>
          </w:tcPr>
          <w:p>
            <w:pP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北京久其科技投资有限公司</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6"/>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4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62"/>
              <w:jc w:val="left"/>
              <w:rPr>
                <w:rFonts w:ascii="宋体" w:hAnsi="宋体" w:cs="宋体" w:eastAsia="宋体" w:hint="default"/>
                <w:sz w:val="18"/>
                <w:szCs w:val="18"/>
              </w:rPr>
            </w:pPr>
            <w:r>
              <w:rPr>
                <w:rFonts w:ascii="宋体" w:hAnsi="宋体" w:cs="宋体" w:eastAsia="宋体" w:hint="default"/>
                <w:sz w:val="18"/>
                <w:szCs w:val="18"/>
              </w:rPr>
              <w:t>承诺以非公开发行股份方式认购的亿起联科技重组项目募 集配套资金对应的股票锁定期为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报告期内，承诺方已履行完毕</w:t>
            </w:r>
          </w:p>
        </w:tc>
      </w:tr>
      <w:tr>
        <w:trPr>
          <w:trHeight w:val="1650" w:hRule="exact"/>
        </w:trPr>
        <w:tc>
          <w:tcPr>
            <w:tcW w:w="1232" w:type="dxa"/>
            <w:vMerge/>
            <w:tcBorders>
              <w:left w:val="single" w:sz="4" w:space="0" w:color="000000"/>
              <w:right w:val="single" w:sz="4" w:space="0" w:color="000000"/>
            </w:tcBorders>
            <w:shd w:val="clear" w:color="auto" w:fill="D2D2D2"/>
          </w:tcPr>
          <w:p>
            <w:pP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王新、李勇</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6"/>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4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2" w:right="63"/>
              <w:jc w:val="both"/>
              <w:rPr>
                <w:rFonts w:ascii="宋体" w:hAnsi="宋体" w:cs="宋体" w:eastAsia="宋体" w:hint="default"/>
                <w:sz w:val="18"/>
                <w:szCs w:val="18"/>
              </w:rPr>
            </w:pPr>
            <w:r>
              <w:rPr>
                <w:rFonts w:ascii="宋体" w:hAnsi="宋体" w:cs="宋体" w:eastAsia="宋体" w:hint="default"/>
                <w:sz w:val="18"/>
                <w:szCs w:val="18"/>
              </w:rPr>
              <w:t>交易对方王新、李勇承诺，上市公司向王新、李勇发行的 股份，自本次发行上市之日起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后，交易对方在本次交易所取得的上市公司定向发行的股 份分五期按照交易协议的约定解除限售</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21"/>
              <w:jc w:val="left"/>
              <w:rPr>
                <w:rFonts w:ascii="宋体" w:hAnsi="宋体" w:cs="宋体" w:eastAsia="宋体" w:hint="default"/>
                <w:sz w:val="18"/>
                <w:szCs w:val="18"/>
              </w:rPr>
            </w:pPr>
            <w:r>
              <w:rPr>
                <w:rFonts w:ascii="宋体" w:hAnsi="宋体" w:cs="宋体" w:eastAsia="宋体" w:hint="default"/>
                <w:sz w:val="18"/>
                <w:szCs w:val="18"/>
              </w:rPr>
              <w:t>截至报告期末，承诺方严格遵守该承 诺，未有违反该承诺的情况</w:t>
            </w:r>
          </w:p>
        </w:tc>
      </w:tr>
      <w:tr>
        <w:trPr>
          <w:trHeight w:val="4458" w:hRule="exact"/>
        </w:trPr>
        <w:tc>
          <w:tcPr>
            <w:tcW w:w="1232" w:type="dxa"/>
            <w:vMerge/>
            <w:tcBorders>
              <w:left w:val="single" w:sz="4" w:space="0" w:color="000000"/>
              <w:right w:val="single" w:sz="4" w:space="0" w:color="000000"/>
            </w:tcBorders>
            <w:shd w:val="clear" w:color="auto" w:fill="D2D2D2"/>
          </w:tcPr>
          <w:p>
            <w:pP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王新、李勇</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1"/>
              <w:ind w:left="22" w:right="126"/>
              <w:jc w:val="both"/>
              <w:rPr>
                <w:rFonts w:ascii="宋体" w:hAnsi="宋体" w:cs="宋体" w:eastAsia="宋体" w:hint="default"/>
                <w:sz w:val="18"/>
                <w:szCs w:val="18"/>
              </w:rPr>
            </w:pPr>
            <w:r>
              <w:rPr>
                <w:rFonts w:ascii="宋体" w:hAnsi="宋体" w:cs="宋体" w:eastAsia="宋体" w:hint="default"/>
                <w:sz w:val="18"/>
                <w:szCs w:val="18"/>
              </w:rPr>
              <w:t>业绩承 诺及补 偿安排</w:t>
            </w:r>
          </w:p>
        </w:tc>
        <w:tc>
          <w:tcPr>
            <w:tcW w:w="4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2"/>
              <w:jc w:val="both"/>
              <w:rPr>
                <w:rFonts w:ascii="Times New Roman" w:hAnsi="Times New Roman" w:cs="Times New Roman" w:eastAsia="Times New Roman" w:hint="default"/>
                <w:sz w:val="18"/>
                <w:szCs w:val="18"/>
              </w:rPr>
            </w:pPr>
            <w:r>
              <w:rPr>
                <w:rFonts w:ascii="宋体" w:hAnsi="宋体" w:cs="宋体" w:eastAsia="宋体" w:hint="default"/>
                <w:sz w:val="18"/>
                <w:szCs w:val="18"/>
              </w:rPr>
              <w:t>①业绩补偿期内，亿起联科技每年度实现的经审计的合并 报表口径下归属于母公司股东的净利润（以扣除非经常性 损益前后孰低者为准）</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w:t>
            </w:r>
          </w:p>
          <w:p>
            <w:pPr>
              <w:pStyle w:val="TableParagraph"/>
              <w:spacing w:line="248" w:lineRule="exact"/>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年度分别不低于人民币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3,700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万元、</w:t>
            </w:r>
            <w:r>
              <w:rPr>
                <w:rFonts w:ascii="Times New Roman" w:hAnsi="Times New Roman" w:cs="Times New Roman" w:eastAsia="Times New Roman" w:hint="default"/>
                <w:spacing w:val="-7"/>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w:t>
            </w:r>
            <w:r>
              <w:rPr>
                <w:rFonts w:ascii="Times New Roman" w:hAnsi="Times New Roman" w:cs="Times New Roman" w:eastAsia="Times New Roman" w:hint="default"/>
                <w:spacing w:val="-6"/>
                <w:sz w:val="18"/>
                <w:szCs w:val="18"/>
              </w:rPr>
              <w:t>6,750</w:t>
            </w:r>
          </w:p>
          <w:p>
            <w:pPr>
              <w:pStyle w:val="TableParagraph"/>
              <w:spacing w:line="314" w:lineRule="auto" w:before="63"/>
              <w:ind w:left="22" w:right="22"/>
              <w:jc w:val="both"/>
              <w:rPr>
                <w:rFonts w:ascii="宋体" w:hAnsi="宋体" w:cs="宋体" w:eastAsia="宋体" w:hint="default"/>
                <w:sz w:val="18"/>
                <w:szCs w:val="18"/>
              </w:rPr>
            </w:pPr>
            <w:r>
              <w:rPr>
                <w:rFonts w:ascii="宋体" w:hAnsi="宋体" w:cs="宋体" w:eastAsia="宋体" w:hint="default"/>
                <w:sz w:val="18"/>
                <w:szCs w:val="18"/>
              </w:rPr>
              <w:t>万元和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8,430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z w:val="18"/>
                <w:szCs w:val="18"/>
              </w:rPr>
              <w:t> </w:t>
            </w:r>
            <w:r>
              <w:rPr>
                <w:rFonts w:ascii="宋体" w:hAnsi="宋体" w:cs="宋体" w:eastAsia="宋体" w:hint="default"/>
                <w:sz w:val="18"/>
                <w:szCs w:val="18"/>
              </w:rPr>
              <w:t>年度至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pacing w:val="-3"/>
                <w:sz w:val="18"/>
                <w:szCs w:val="18"/>
              </w:rPr>
              <w:t>年度期间，若亿起联</w:t>
            </w:r>
            <w:r>
              <w:rPr>
                <w:rFonts w:ascii="宋体" w:hAnsi="宋体" w:cs="宋体" w:eastAsia="宋体" w:hint="default"/>
                <w:sz w:val="18"/>
                <w:szCs w:val="18"/>
              </w:rPr>
              <w:t> 科技在业绩承诺期任何一个年度未能实现净利润承诺数， 则交易对方同意以上市公司股份及现金对上市公司进行补 偿，交易对方首先进行股份补偿，股份不足的部分用现金 补偿。交易对方向上市公司支付的补偿总额不超过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48,000 </w:t>
            </w:r>
            <w:r>
              <w:rPr>
                <w:rFonts w:ascii="宋体" w:hAnsi="宋体" w:cs="宋体" w:eastAsia="宋体" w:hint="default"/>
                <w:sz w:val="18"/>
                <w:szCs w:val="18"/>
              </w:rPr>
              <w:t>万元。②在业绩承诺期届满时，若期末亿起联科技的减值 额大于交易对方已补偿总额，则交易对方同意除前述补偿 外另行向上市公司作出资产减值补偿。资产减值应补偿股 份数量与业绩承诺应补偿股份数量之和不超过交易对方本 次交易实际认购上市公司股份的总量</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156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
                <w:sz w:val="20"/>
                <w:szCs w:val="20"/>
              </w:rPr>
              <w:pict>
                <v:group style="width:27.7pt;height:78pt;mso-position-horizontal-relative:char;mso-position-vertical-relative:line" coordorigin="0,0" coordsize="554,1560">
                  <v:group style="position:absolute;left:0;top:0;width:554;height:1560" coordorigin="0,0" coordsize="554,1560">
                    <v:shape style="position:absolute;left:0;top:0;width:554;height:1560" coordorigin="0,0" coordsize="554,1560" path="m0,1560l553,1560,553,0,0,0,0,1560xe" filled="true" fillcolor="#ffffff" stroked="false">
                      <v:path arrowok="t"/>
                      <v:fill type="solid"/>
                    </v:shape>
                  </v:group>
                </v:group>
              </w:pict>
            </w:r>
            <w:r>
              <w:rPr>
                <w:rFonts w:ascii="Times New Roman" w:hAnsi="Times New Roman" w:cs="Times New Roman" w:eastAsia="Times New Roman" w:hint="default"/>
                <w:position w:val="-30"/>
                <w:sz w:val="20"/>
                <w:szCs w:val="20"/>
              </w:rPr>
            </w:r>
          </w:p>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6"/>
                <w:szCs w:val="26"/>
              </w:rPr>
            </w:pP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报告期内，承诺方已履行完毕</w:t>
            </w:r>
          </w:p>
        </w:tc>
      </w:tr>
      <w:tr>
        <w:trPr>
          <w:trHeight w:val="986" w:hRule="exact"/>
        </w:trPr>
        <w:tc>
          <w:tcPr>
            <w:tcW w:w="1232" w:type="dxa"/>
            <w:vMerge/>
            <w:tcBorders>
              <w:left w:val="single" w:sz="4" w:space="0" w:color="000000"/>
              <w:bottom w:val="single" w:sz="4" w:space="0" w:color="000000"/>
              <w:right w:val="single" w:sz="4" w:space="0" w:color="000000"/>
            </w:tcBorders>
            <w:shd w:val="clear" w:color="auto" w:fill="D2D2D2"/>
          </w:tcPr>
          <w:p>
            <w:pP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5"/>
                <w:sz w:val="18"/>
                <w:szCs w:val="18"/>
              </w:rPr>
              <w:t>北京久其科技投资有限公司、董泰湘、赵福</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君、王新、李勇</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关于避 免同业 竞争的</w:t>
            </w:r>
          </w:p>
        </w:tc>
        <w:tc>
          <w:tcPr>
            <w:tcW w:w="4598" w:type="dxa"/>
            <w:tcBorders>
              <w:top w:val="single" w:sz="4" w:space="0" w:color="000000"/>
              <w:left w:val="single" w:sz="4" w:space="0" w:color="000000"/>
              <w:bottom w:val="single" w:sz="4" w:space="0" w:color="000000"/>
              <w:right w:val="single" w:sz="13" w:space="0" w:color="FFFFFF"/>
            </w:tcBorders>
          </w:tcPr>
          <w:p>
            <w:pPr>
              <w:pStyle w:val="TableParagraph"/>
              <w:spacing w:line="309" w:lineRule="auto" w:before="51"/>
              <w:ind w:left="22" w:right="-44"/>
              <w:jc w:val="both"/>
              <w:rPr>
                <w:rFonts w:ascii="宋体" w:hAnsi="宋体" w:cs="宋体" w:eastAsia="宋体" w:hint="default"/>
                <w:sz w:val="18"/>
                <w:szCs w:val="18"/>
              </w:rPr>
            </w:pPr>
            <w:r>
              <w:rPr>
                <w:rFonts w:ascii="宋体" w:hAnsi="宋体" w:cs="宋体" w:eastAsia="宋体" w:hint="default"/>
                <w:sz w:val="18"/>
                <w:szCs w:val="18"/>
              </w:rPr>
              <w:t>①截至本承诺函签署之日，本人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本公司未在，将来也不会 在中国境内外以任何方式直接或间接从事或参与任何与久 </w:t>
            </w:r>
            <w:r>
              <w:rPr>
                <w:rFonts w:ascii="宋体" w:hAnsi="宋体" w:cs="宋体" w:eastAsia="宋体" w:hint="default"/>
                <w:spacing w:val="-4"/>
                <w:sz w:val="18"/>
                <w:szCs w:val="18"/>
              </w:rPr>
              <w:t>其软件及其下属子公司、亿起联科技及其下属子公司相同、</w:t>
            </w:r>
            <w:r>
              <w:rPr>
                <w:rFonts w:ascii="宋体" w:hAnsi="宋体" w:cs="宋体" w:eastAsia="宋体" w:hint="default"/>
                <w:sz w:val="18"/>
                <w:szCs w:val="18"/>
              </w:rPr>
            </w:r>
          </w:p>
        </w:tc>
        <w:tc>
          <w:tcPr>
            <w:tcW w:w="5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2" w:lineRule="exact"/>
              <w:ind w:left="11"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25.4pt;height:15.6pt;mso-position-horizontal-relative:char;mso-position-vertical-relative:line" coordorigin="0,0" coordsize="508,312">
                  <v:group style="position:absolute;left:0;top:0;width:508;height:312" coordorigin="0,0" coordsize="508,312">
                    <v:shape style="position:absolute;left:0;top:0;width:508;height:312" coordorigin="0,0" coordsize="508,312" path="m0,312l508,312,508,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截至报告期末，承诺方严格遵守该承 诺，未有违反该承诺的情况</w:t>
            </w:r>
          </w:p>
        </w:tc>
      </w:tr>
    </w:tbl>
    <w:p>
      <w:pPr>
        <w:spacing w:after="0" w:line="316" w:lineRule="auto"/>
        <w:jc w:val="left"/>
        <w:rPr>
          <w:rFonts w:ascii="宋体" w:hAnsi="宋体" w:cs="宋体" w:eastAsia="宋体" w:hint="default"/>
          <w:sz w:val="18"/>
          <w:szCs w:val="18"/>
        </w:rPr>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r>
        <w:rPr/>
        <w:pict>
          <v:shape style="position:absolute;margin-left:507.083008pt;margin-top:110.540009pt;width:87.9pt;height:265.25pt;mso-position-horizontal-relative:page;mso-position-vertical-relative:page;z-index:-10458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5"/>
                      <w:szCs w:val="15"/>
                    </w:rPr>
                  </w:pPr>
                </w:p>
                <w:p>
                  <w:pPr>
                    <w:pStyle w:val="BodyText"/>
                    <w:spacing w:line="240" w:lineRule="auto"/>
                    <w:ind w:left="0" w:right="0"/>
                    <w:jc w:val="left"/>
                  </w:pPr>
                  <w:r>
                    <w:rPr/>
                    <w:t>组织的控制权，</w:t>
                  </w:r>
                </w:p>
              </w:txbxContent>
            </v:textbox>
            <w10:wrap type="none"/>
          </v:shape>
        </w:pict>
      </w:r>
    </w:p>
    <w:tbl>
      <w:tblPr>
        <w:tblW w:w="0" w:type="auto"/>
        <w:jc w:val="left"/>
        <w:tblInd w:w="107" w:type="dxa"/>
        <w:tblLayout w:type="fixed"/>
        <w:tblCellMar>
          <w:top w:w="0" w:type="dxa"/>
          <w:left w:w="0" w:type="dxa"/>
          <w:bottom w:w="0" w:type="dxa"/>
          <w:right w:w="0" w:type="dxa"/>
        </w:tblCellMar>
        <w:tblLook w:val="01E0"/>
      </w:tblPr>
      <w:tblGrid>
        <w:gridCol w:w="1232"/>
        <w:gridCol w:w="3398"/>
        <w:gridCol w:w="701"/>
        <w:gridCol w:w="4598"/>
        <w:gridCol w:w="563"/>
        <w:gridCol w:w="592"/>
        <w:gridCol w:w="2932"/>
      </w:tblGrid>
      <w:tr>
        <w:trPr>
          <w:trHeight w:val="175" w:hRule="exact"/>
        </w:trPr>
        <w:tc>
          <w:tcPr>
            <w:tcW w:w="1232" w:type="dxa"/>
            <w:tcBorders>
              <w:top w:val="single" w:sz="15" w:space="0" w:color="000000"/>
              <w:left w:val="single" w:sz="4" w:space="0" w:color="000000"/>
              <w:bottom w:val="nil" w:sz="6" w:space="0" w:color="auto"/>
              <w:right w:val="single" w:sz="4" w:space="0" w:color="000000"/>
            </w:tcBorders>
            <w:shd w:val="clear" w:color="auto" w:fill="D2D2D2"/>
          </w:tcPr>
          <w:p>
            <w:pPr/>
          </w:p>
        </w:tc>
        <w:tc>
          <w:tcPr>
            <w:tcW w:w="3398" w:type="dxa"/>
            <w:tcBorders>
              <w:top w:val="single" w:sz="15" w:space="0" w:color="000000"/>
              <w:left w:val="single" w:sz="4" w:space="0" w:color="000000"/>
              <w:bottom w:val="nil" w:sz="6" w:space="0" w:color="auto"/>
              <w:right w:val="single" w:sz="4" w:space="0" w:color="000000"/>
            </w:tcBorders>
            <w:shd w:val="clear" w:color="auto" w:fill="D2D2D2"/>
          </w:tcPr>
          <w:p>
            <w:pPr/>
          </w:p>
        </w:tc>
        <w:tc>
          <w:tcPr>
            <w:tcW w:w="701"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255" w:right="73" w:hanging="180"/>
              <w:jc w:val="left"/>
              <w:rPr>
                <w:rFonts w:ascii="宋体" w:hAnsi="宋体" w:cs="宋体" w:eastAsia="宋体" w:hint="default"/>
                <w:sz w:val="18"/>
                <w:szCs w:val="18"/>
              </w:rPr>
            </w:pPr>
            <w:r>
              <w:rPr>
                <w:rFonts w:ascii="宋体" w:hAnsi="宋体" w:cs="宋体" w:eastAsia="宋体" w:hint="default"/>
                <w:sz w:val="18"/>
                <w:szCs w:val="18"/>
              </w:rPr>
              <w:t>承诺类 型</w:t>
            </w:r>
          </w:p>
        </w:tc>
        <w:tc>
          <w:tcPr>
            <w:tcW w:w="4598" w:type="dxa"/>
            <w:tcBorders>
              <w:top w:val="single" w:sz="15"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96" w:right="95"/>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92"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110" w:right="109"/>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2932" w:type="dxa"/>
            <w:tcBorders>
              <w:top w:val="single" w:sz="15"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12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33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701" w:type="dxa"/>
            <w:vMerge/>
            <w:tcBorders>
              <w:left w:val="single" w:sz="4" w:space="0" w:color="000000"/>
              <w:right w:val="single" w:sz="4" w:space="0" w:color="000000"/>
            </w:tcBorders>
            <w:shd w:val="clear" w:color="auto" w:fill="D2D2D2"/>
          </w:tcPr>
          <w:p>
            <w:pPr/>
          </w:p>
        </w:tc>
        <w:tc>
          <w:tcPr>
            <w:tcW w:w="4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63" w:type="dxa"/>
            <w:vMerge/>
            <w:tcBorders>
              <w:left w:val="single" w:sz="4" w:space="0" w:color="000000"/>
              <w:right w:val="single" w:sz="4" w:space="0" w:color="000000"/>
            </w:tcBorders>
            <w:shd w:val="clear" w:color="auto" w:fill="D2D2D2"/>
          </w:tcPr>
          <w:p>
            <w:pPr/>
          </w:p>
        </w:tc>
        <w:tc>
          <w:tcPr>
            <w:tcW w:w="592" w:type="dxa"/>
            <w:vMerge/>
            <w:tcBorders>
              <w:left w:val="single" w:sz="4" w:space="0" w:color="000000"/>
              <w:right w:val="single" w:sz="4" w:space="0" w:color="000000"/>
            </w:tcBorders>
            <w:shd w:val="clear" w:color="auto" w:fill="D2D2D2"/>
          </w:tcPr>
          <w:p>
            <w:pPr/>
          </w:p>
        </w:tc>
        <w:tc>
          <w:tcPr>
            <w:tcW w:w="2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1" w:hRule="exact"/>
        </w:trPr>
        <w:tc>
          <w:tcPr>
            <w:tcW w:w="1232" w:type="dxa"/>
            <w:tcBorders>
              <w:top w:val="nil" w:sz="6" w:space="0" w:color="auto"/>
              <w:left w:val="single" w:sz="4" w:space="0" w:color="000000"/>
              <w:bottom w:val="single" w:sz="4" w:space="0" w:color="000000"/>
              <w:right w:val="single" w:sz="4" w:space="0" w:color="000000"/>
            </w:tcBorders>
            <w:shd w:val="clear" w:color="auto" w:fill="D2D2D2"/>
          </w:tcPr>
          <w:p>
            <w:pPr/>
          </w:p>
        </w:tc>
        <w:tc>
          <w:tcPr>
            <w:tcW w:w="33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vMerge/>
            <w:tcBorders>
              <w:left w:val="single" w:sz="4" w:space="0" w:color="000000"/>
              <w:bottom w:val="single" w:sz="4" w:space="0" w:color="000000"/>
              <w:right w:val="single" w:sz="4" w:space="0" w:color="000000"/>
            </w:tcBorders>
            <w:shd w:val="clear" w:color="auto" w:fill="D2D2D2"/>
          </w:tcPr>
          <w:p>
            <w:pPr/>
          </w:p>
        </w:tc>
        <w:tc>
          <w:tcPr>
            <w:tcW w:w="4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92" w:type="dxa"/>
            <w:vMerge/>
            <w:tcBorders>
              <w:left w:val="single" w:sz="4" w:space="0" w:color="000000"/>
              <w:bottom w:val="single" w:sz="4" w:space="0" w:color="000000"/>
              <w:right w:val="single" w:sz="4" w:space="0" w:color="000000"/>
            </w:tcBorders>
            <w:shd w:val="clear" w:color="auto" w:fill="D2D2D2"/>
          </w:tcPr>
          <w:p>
            <w:pPr/>
          </w:p>
        </w:tc>
        <w:tc>
          <w:tcPr>
            <w:tcW w:w="293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5667" w:hRule="exact"/>
        </w:trPr>
        <w:tc>
          <w:tcPr>
            <w:tcW w:w="1232" w:type="dxa"/>
            <w:vMerge w:val="restart"/>
            <w:tcBorders>
              <w:top w:val="single" w:sz="4" w:space="0" w:color="000000"/>
              <w:left w:val="single" w:sz="4" w:space="0" w:color="000000"/>
              <w:right w:val="single" w:sz="4" w:space="0" w:color="000000"/>
            </w:tcBorders>
            <w:shd w:val="clear" w:color="auto" w:fill="D2D2D2"/>
          </w:tcPr>
          <w:p>
            <w:pPr/>
          </w:p>
        </w:tc>
        <w:tc>
          <w:tcPr>
            <w:tcW w:w="339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459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相似或在商业上构成任何竞争的业务及活动，或拥有与久 其软件及其下属子公司、亿起联科技及其下属子公司存在 竞争关系的任何经济实体、机构、经济组织的权益，或以 </w:t>
            </w:r>
            <w:r>
              <w:rPr>
                <w:rFonts w:ascii="宋体" w:hAnsi="宋体" w:cs="宋体" w:eastAsia="宋体" w:hint="default"/>
                <w:spacing w:val="-3"/>
                <w:sz w:val="18"/>
                <w:szCs w:val="18"/>
              </w:rPr>
              <w:t>其他任何形式取得该经济实体、机构、经济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或者为该等构成同业竞争关系的经济实体、机构、经济组 </w:t>
            </w:r>
            <w:r>
              <w:rPr>
                <w:rFonts w:ascii="宋体" w:hAnsi="宋体" w:cs="宋体" w:eastAsia="宋体" w:hint="default"/>
                <w:spacing w:val="-1"/>
                <w:sz w:val="18"/>
                <w:szCs w:val="18"/>
              </w:rPr>
              <w:t>织以劳务、顾问或咨询等方式提供服务。②若发现本人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w:t>
            </w:r>
            <w:r>
              <w:rPr>
                <w:rFonts w:ascii="宋体" w:hAnsi="宋体" w:cs="宋体" w:eastAsia="宋体" w:hint="default"/>
                <w:spacing w:val="-74"/>
                <w:sz w:val="18"/>
                <w:szCs w:val="18"/>
              </w:rPr>
              <w:t> </w:t>
            </w:r>
            <w:r>
              <w:rPr>
                <w:rFonts w:ascii="宋体" w:hAnsi="宋体" w:cs="宋体" w:eastAsia="宋体" w:hint="default"/>
                <w:sz w:val="18"/>
                <w:szCs w:val="18"/>
              </w:rPr>
              <w:t>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本公司控制的其他企业在以后任何时间从事 与久其软件及其下属子公司、亿起联科技及其下属子公司 的产品或业务存在竞争的业务，则本人及本人控制的其他 企业承诺将以停止生产经营相竞争的业务或产品的方式， 或者将相竞争的业务无偿转让给久其软件的方式，或者将 相竞争的业务转让给无关联关系的第三方的方式避免同业 </w:t>
            </w:r>
            <w:r>
              <w:rPr>
                <w:rFonts w:ascii="宋体" w:hAnsi="宋体" w:cs="宋体" w:eastAsia="宋体" w:hint="default"/>
                <w:spacing w:val="-1"/>
                <w:sz w:val="18"/>
                <w:szCs w:val="18"/>
              </w:rPr>
              <w:t>竞争。③在本人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本公司持有久其软件及其下属子公司、亿</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起联科技及其下属子公司股权或者本人在久其软件及其下 属子公司、亿起联科技及其下属子公司任职期间，本承诺 函持续有效。④如上述承诺被证明是不真实的或未被遵守</w:t>
            </w:r>
            <w:r>
              <w:rPr>
                <w:rFonts w:ascii="Times New Roman" w:hAnsi="Times New Roman" w:cs="Times New Roman" w:eastAsia="Times New Roman" w:hint="default"/>
                <w:sz w:val="18"/>
                <w:szCs w:val="18"/>
              </w:rPr>
              <w:t>, </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本公司愿意承担因违反上述承诺而给久其软件造成 的全部经济损失</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0"/>
                <w:szCs w:val="10"/>
              </w:rPr>
            </w:pPr>
          </w:p>
          <w:p>
            <w:pPr>
              <w:pStyle w:val="TableParagraph"/>
              <w:spacing w:line="530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5"/>
                <w:sz w:val="20"/>
                <w:szCs w:val="20"/>
              </w:rPr>
              <w:pict>
                <v:group style="width:27.7pt;height:265.25pt;mso-position-horizontal-relative:char;mso-position-vertical-relative:line" coordorigin="0,0" coordsize="554,5305">
                  <v:group style="position:absolute;left:0;top:0;width:554;height:5305" coordorigin="0,0" coordsize="554,5305">
                    <v:shape style="position:absolute;left:0;top:0;width:554;height:5305" coordorigin="0,0" coordsize="554,5305" path="m0,5304l553,5304,553,0,0,0,0,5304xe" filled="true" fillcolor="#ffffff" stroked="false">
                      <v:path arrowok="t"/>
                      <v:fill type="solid"/>
                    </v:shape>
                  </v:group>
                </v:group>
              </w:pict>
            </w:r>
            <w:r>
              <w:rPr>
                <w:rFonts w:ascii="Times New Roman" w:hAnsi="Times New Roman" w:cs="Times New Roman" w:eastAsia="Times New Roman" w:hint="default"/>
                <w:position w:val="-105"/>
                <w:sz w:val="20"/>
                <w:szCs w:val="20"/>
              </w:rPr>
            </w:r>
          </w:p>
        </w:tc>
        <w:tc>
          <w:tcPr>
            <w:tcW w:w="592" w:type="dxa"/>
            <w:tcBorders>
              <w:top w:val="single" w:sz="4" w:space="0" w:color="000000"/>
              <w:left w:val="single" w:sz="4" w:space="0" w:color="000000"/>
              <w:bottom w:val="single" w:sz="4" w:space="0" w:color="000000"/>
              <w:right w:val="single" w:sz="4" w:space="0" w:color="000000"/>
            </w:tcBorders>
          </w:tcPr>
          <w:p>
            <w:pPr/>
          </w:p>
        </w:tc>
        <w:tc>
          <w:tcPr>
            <w:tcW w:w="2932" w:type="dxa"/>
            <w:tcBorders>
              <w:top w:val="single" w:sz="4" w:space="0" w:color="000000"/>
              <w:left w:val="single" w:sz="4" w:space="0" w:color="000000"/>
              <w:bottom w:val="single" w:sz="4" w:space="0" w:color="000000"/>
              <w:right w:val="single" w:sz="4" w:space="0" w:color="000000"/>
            </w:tcBorders>
          </w:tcPr>
          <w:p>
            <w:pPr/>
          </w:p>
        </w:tc>
      </w:tr>
      <w:tr>
        <w:trPr>
          <w:trHeight w:val="3171" w:hRule="exact"/>
        </w:trPr>
        <w:tc>
          <w:tcPr>
            <w:tcW w:w="1232" w:type="dxa"/>
            <w:vMerge/>
            <w:tcBorders>
              <w:left w:val="single" w:sz="4" w:space="0" w:color="000000"/>
              <w:bottom w:val="single" w:sz="4" w:space="0" w:color="000000"/>
              <w:right w:val="single" w:sz="4" w:space="0" w:color="000000"/>
            </w:tcBorders>
            <w:shd w:val="clear" w:color="auto" w:fill="D2D2D2"/>
          </w:tcPr>
          <w:p>
            <w:pP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5"/>
                <w:sz w:val="18"/>
                <w:szCs w:val="18"/>
              </w:rPr>
              <w:t>北京久其科技投资有限公司、董泰湘、赵福</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君、王新、李勇</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26"/>
              <w:jc w:val="both"/>
              <w:rPr>
                <w:rFonts w:ascii="宋体" w:hAnsi="宋体" w:cs="宋体" w:eastAsia="宋体" w:hint="default"/>
                <w:sz w:val="18"/>
                <w:szCs w:val="18"/>
              </w:rPr>
            </w:pPr>
            <w:r>
              <w:rPr>
                <w:rFonts w:ascii="宋体" w:hAnsi="宋体" w:cs="宋体" w:eastAsia="宋体" w:hint="default"/>
                <w:sz w:val="18"/>
                <w:szCs w:val="18"/>
              </w:rPr>
              <w:t>关于规 范关联 交易的 承诺</w:t>
            </w:r>
          </w:p>
        </w:tc>
        <w:tc>
          <w:tcPr>
            <w:tcW w:w="45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①本公司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本人承诺将尽量避免或减少与久其软件及其子 公司、亿起联科技及其子公司之间的关联交易。对于久其 软件及其控股子公司、亿起联科技及其子公司能够通过市 场与第三方之间发生的交易，将由久其软件及其控股子公 司、亿起联科技及其子公司独立与第三方进行；对于本公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本人控制的其他企业与久其软件及其控 股子公司、亿起联科技及其子公司之间无法避免的关联交 易，均将严格遵守市场化原则，本着平等互利、等价有偿 的一般原则，公平合理地进行。②本公司特此承诺，本次 交易过程中及交易完成后，不会以任何方式占用或使用久</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197"/>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z w:val="18"/>
                <w:szCs w:val="18"/>
              </w:rPr>
              <w:t>截至报告期末，承诺方严格遵守该承 诺，未有违反该承诺的情况</w:t>
            </w:r>
          </w:p>
        </w:tc>
      </w:tr>
    </w:tbl>
    <w:p>
      <w:pPr>
        <w:spacing w:after="0" w:line="319" w:lineRule="auto"/>
        <w:jc w:val="left"/>
        <w:rPr>
          <w:rFonts w:ascii="宋体" w:hAnsi="宋体" w:cs="宋体" w:eastAsia="宋体" w:hint="default"/>
          <w:sz w:val="18"/>
          <w:szCs w:val="18"/>
        </w:rPr>
        <w:sectPr>
          <w:pgSz w:w="16840" w:h="11910" w:orient="landscape"/>
          <w:pgMar w:header="867" w:footer="979" w:top="1060" w:bottom="1200" w:left="1300" w:right="1300"/>
        </w:sectPr>
      </w:pPr>
    </w:p>
    <w:p>
      <w:pPr>
        <w:spacing w:line="240" w:lineRule="auto" w:before="4"/>
        <w:rPr>
          <w:rFonts w:ascii="Times New Roman" w:hAnsi="Times New Roman" w:cs="Times New Roman" w:eastAsia="Times New Roman" w:hint="default"/>
          <w:sz w:val="2"/>
          <w:szCs w:val="2"/>
        </w:rPr>
      </w:pPr>
      <w:r>
        <w:rPr/>
        <w:pict>
          <v:group style="position:absolute;margin-left:303.5pt;margin-top:416.279999pt;width:32.3pt;height:31.2pt;mso-position-horizontal-relative:page;mso-position-vertical-relative:page;z-index:-1045840" coordorigin="6070,8326" coordsize="646,624">
            <v:group style="position:absolute;left:6070;top:8326;width:646;height:312" coordorigin="6070,8326" coordsize="646,312">
              <v:shape style="position:absolute;left:6070;top:8326;width:646;height:312" coordorigin="6070,8326" coordsize="646,312" path="m6070,8638l6716,8638,6716,8326,6070,8326,6070,8638xe" filled="true" fillcolor="#ffffff" stroked="false">
                <v:path arrowok="t"/>
                <v:fill type="solid"/>
              </v:shape>
            </v:group>
            <v:group style="position:absolute;left:6070;top:8638;width:646;height:312" coordorigin="6070,8638" coordsize="646,312">
              <v:shape style="position:absolute;left:6070;top:8638;width:646;height:312" coordorigin="6070,8638" coordsize="646,312" path="m6070,8950l6716,8950,6716,8638,6070,8638,6070,8950xe" filled="true" fillcolor="#ffffff" stroked="false">
                <v:path arrowok="t"/>
                <v:fill type="solid"/>
              </v:shape>
            </v:group>
            <w10:wrap type="none"/>
          </v:group>
        </w:pict>
      </w:r>
    </w:p>
    <w:tbl>
      <w:tblPr>
        <w:tblW w:w="0" w:type="auto"/>
        <w:jc w:val="left"/>
        <w:tblInd w:w="107" w:type="dxa"/>
        <w:tblLayout w:type="fixed"/>
        <w:tblCellMar>
          <w:top w:w="0" w:type="dxa"/>
          <w:left w:w="0" w:type="dxa"/>
          <w:bottom w:w="0" w:type="dxa"/>
          <w:right w:w="0" w:type="dxa"/>
        </w:tblCellMar>
        <w:tblLook w:val="01E0"/>
      </w:tblPr>
      <w:tblGrid>
        <w:gridCol w:w="1232"/>
        <w:gridCol w:w="3398"/>
        <w:gridCol w:w="701"/>
        <w:gridCol w:w="4598"/>
        <w:gridCol w:w="563"/>
        <w:gridCol w:w="592"/>
        <w:gridCol w:w="2932"/>
      </w:tblGrid>
      <w:tr>
        <w:trPr>
          <w:trHeight w:val="175" w:hRule="exact"/>
        </w:trPr>
        <w:tc>
          <w:tcPr>
            <w:tcW w:w="1232" w:type="dxa"/>
            <w:tcBorders>
              <w:top w:val="single" w:sz="15" w:space="0" w:color="000000"/>
              <w:left w:val="single" w:sz="4" w:space="0" w:color="000000"/>
              <w:bottom w:val="nil" w:sz="6" w:space="0" w:color="auto"/>
              <w:right w:val="single" w:sz="4" w:space="0" w:color="000000"/>
            </w:tcBorders>
            <w:shd w:val="clear" w:color="auto" w:fill="D2D2D2"/>
          </w:tcPr>
          <w:p>
            <w:pPr/>
          </w:p>
        </w:tc>
        <w:tc>
          <w:tcPr>
            <w:tcW w:w="3398" w:type="dxa"/>
            <w:tcBorders>
              <w:top w:val="single" w:sz="15" w:space="0" w:color="000000"/>
              <w:left w:val="single" w:sz="4" w:space="0" w:color="000000"/>
              <w:bottom w:val="nil" w:sz="6" w:space="0" w:color="auto"/>
              <w:right w:val="single" w:sz="4" w:space="0" w:color="000000"/>
            </w:tcBorders>
            <w:shd w:val="clear" w:color="auto" w:fill="D2D2D2"/>
          </w:tcPr>
          <w:p>
            <w:pPr/>
          </w:p>
        </w:tc>
        <w:tc>
          <w:tcPr>
            <w:tcW w:w="701"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62"/>
              <w:ind w:left="255" w:right="73" w:hanging="180"/>
              <w:jc w:val="left"/>
              <w:rPr>
                <w:rFonts w:ascii="宋体" w:hAnsi="宋体" w:cs="宋体" w:eastAsia="宋体" w:hint="default"/>
                <w:sz w:val="18"/>
                <w:szCs w:val="18"/>
              </w:rPr>
            </w:pPr>
            <w:r>
              <w:rPr>
                <w:rFonts w:ascii="宋体" w:hAnsi="宋体" w:cs="宋体" w:eastAsia="宋体" w:hint="default"/>
                <w:sz w:val="18"/>
                <w:szCs w:val="18"/>
              </w:rPr>
              <w:t>承诺类 型</w:t>
            </w:r>
          </w:p>
        </w:tc>
        <w:tc>
          <w:tcPr>
            <w:tcW w:w="4598" w:type="dxa"/>
            <w:tcBorders>
              <w:top w:val="single" w:sz="15"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62"/>
              <w:ind w:left="96" w:right="95"/>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92"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62"/>
              <w:ind w:left="110" w:right="109"/>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2932" w:type="dxa"/>
            <w:tcBorders>
              <w:top w:val="single" w:sz="15"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12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2"/>
              <w:ind w:left="250"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33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701" w:type="dxa"/>
            <w:vMerge/>
            <w:tcBorders>
              <w:left w:val="single" w:sz="4" w:space="0" w:color="000000"/>
              <w:right w:val="single" w:sz="4" w:space="0" w:color="000000"/>
            </w:tcBorders>
            <w:shd w:val="clear" w:color="auto" w:fill="D2D2D2"/>
          </w:tcPr>
          <w:p>
            <w:pPr/>
          </w:p>
        </w:tc>
        <w:tc>
          <w:tcPr>
            <w:tcW w:w="4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63" w:type="dxa"/>
            <w:vMerge/>
            <w:tcBorders>
              <w:left w:val="single" w:sz="4" w:space="0" w:color="000000"/>
              <w:right w:val="single" w:sz="4" w:space="0" w:color="000000"/>
            </w:tcBorders>
            <w:shd w:val="clear" w:color="auto" w:fill="D2D2D2"/>
          </w:tcPr>
          <w:p>
            <w:pPr/>
          </w:p>
        </w:tc>
        <w:tc>
          <w:tcPr>
            <w:tcW w:w="592" w:type="dxa"/>
            <w:vMerge/>
            <w:tcBorders>
              <w:left w:val="single" w:sz="4" w:space="0" w:color="000000"/>
              <w:right w:val="single" w:sz="4" w:space="0" w:color="000000"/>
            </w:tcBorders>
            <w:shd w:val="clear" w:color="auto" w:fill="D2D2D2"/>
          </w:tcPr>
          <w:p>
            <w:pPr/>
          </w:p>
        </w:tc>
        <w:tc>
          <w:tcPr>
            <w:tcW w:w="2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1" w:hRule="exact"/>
        </w:trPr>
        <w:tc>
          <w:tcPr>
            <w:tcW w:w="1232" w:type="dxa"/>
            <w:tcBorders>
              <w:top w:val="nil" w:sz="6" w:space="0" w:color="auto"/>
              <w:left w:val="single" w:sz="4" w:space="0" w:color="000000"/>
              <w:bottom w:val="single" w:sz="4" w:space="0" w:color="000000"/>
              <w:right w:val="single" w:sz="4" w:space="0" w:color="000000"/>
            </w:tcBorders>
            <w:shd w:val="clear" w:color="auto" w:fill="D2D2D2"/>
          </w:tcPr>
          <w:p>
            <w:pPr/>
          </w:p>
        </w:tc>
        <w:tc>
          <w:tcPr>
            <w:tcW w:w="33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vMerge/>
            <w:tcBorders>
              <w:left w:val="single" w:sz="4" w:space="0" w:color="000000"/>
              <w:bottom w:val="single" w:sz="4" w:space="0" w:color="000000"/>
              <w:right w:val="single" w:sz="4" w:space="0" w:color="000000"/>
            </w:tcBorders>
            <w:shd w:val="clear" w:color="auto" w:fill="D2D2D2"/>
          </w:tcPr>
          <w:p>
            <w:pPr/>
          </w:p>
        </w:tc>
        <w:tc>
          <w:tcPr>
            <w:tcW w:w="4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92" w:type="dxa"/>
            <w:vMerge/>
            <w:tcBorders>
              <w:left w:val="single" w:sz="4" w:space="0" w:color="000000"/>
              <w:bottom w:val="single" w:sz="4" w:space="0" w:color="000000"/>
              <w:right w:val="single" w:sz="4" w:space="0" w:color="000000"/>
            </w:tcBorders>
            <w:shd w:val="clear" w:color="auto" w:fill="D2D2D2"/>
          </w:tcPr>
          <w:p>
            <w:pPr/>
          </w:p>
        </w:tc>
        <w:tc>
          <w:tcPr>
            <w:tcW w:w="293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5043"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9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45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21"/>
              <w:ind w:left="22" w:right="22"/>
              <w:jc w:val="left"/>
              <w:rPr>
                <w:rFonts w:ascii="宋体" w:hAnsi="宋体" w:cs="宋体" w:eastAsia="宋体" w:hint="default"/>
                <w:sz w:val="18"/>
                <w:szCs w:val="18"/>
              </w:rPr>
            </w:pPr>
            <w:r>
              <w:rPr>
                <w:rFonts w:ascii="宋体" w:hAnsi="宋体" w:cs="宋体" w:eastAsia="宋体" w:hint="default"/>
                <w:sz w:val="18"/>
                <w:szCs w:val="18"/>
              </w:rPr>
              <w:t>其软件及其子公司、亿起联科技及其子公司的资金、资产 或其他资源，也不会要求久其软件及其子公司、亿起联科 技及其子公司为本公司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本人控制的其他企 业代垫款项、代偿债务，本公司不会不以任何直接或间接 的方式从事损害或可能损害久其软件及其子公司、亿起联 </w:t>
            </w:r>
            <w:r>
              <w:rPr>
                <w:rFonts w:ascii="宋体" w:hAnsi="宋体" w:cs="宋体" w:eastAsia="宋体" w:hint="default"/>
                <w:spacing w:val="-1"/>
                <w:sz w:val="18"/>
                <w:szCs w:val="18"/>
              </w:rPr>
              <w:t>科技及其子公司利益的行为。③本公司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本人承诺，本公司</w:t>
            </w:r>
          </w:p>
          <w:p>
            <w:pPr>
              <w:pStyle w:val="TableParagraph"/>
              <w:spacing w:line="314" w:lineRule="auto" w:before="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本人及本公司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本人控制的其他企业与久其软件及其子公 司、亿起联科技及其子公司发生关联交易时，将严格按照 有关法律、法规、规范性文件及久其软件《公司章程》等 公司治理制度的有关规定履行审批程序和信息披露义务， 保证不通过关联交易损害久其软件及其子公司、亿起联科 </w:t>
            </w:r>
            <w:r>
              <w:rPr>
                <w:rFonts w:ascii="宋体" w:hAnsi="宋体" w:cs="宋体" w:eastAsia="宋体" w:hint="default"/>
                <w:spacing w:val="-1"/>
                <w:sz w:val="18"/>
                <w:szCs w:val="18"/>
              </w:rPr>
              <w:t>技及其子公司及广大中小股东的合法权益。本公司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本人在</w:t>
            </w:r>
            <w:r>
              <w:rPr>
                <w:rFonts w:ascii="宋体" w:hAnsi="宋体" w:cs="宋体" w:eastAsia="宋体" w:hint="default"/>
                <w:spacing w:val="-74"/>
                <w:sz w:val="18"/>
                <w:szCs w:val="18"/>
              </w:rPr>
              <w:t> </w:t>
            </w:r>
            <w:r>
              <w:rPr>
                <w:rFonts w:ascii="宋体" w:hAnsi="宋体" w:cs="宋体" w:eastAsia="宋体" w:hint="default"/>
                <w:sz w:val="18"/>
                <w:szCs w:val="18"/>
              </w:rPr>
              <w:t>股东大会审议该等关联交易事项时，主动依法履行回避义 务，并在议案通过后方可实施。④如果因违反上述承诺导 致久其软件及其子公司、亿起联科技及其子公司利益损失 的，该等损失由本公司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本人承担</w:t>
            </w:r>
          </w:p>
        </w:tc>
        <w:tc>
          <w:tcPr>
            <w:tcW w:w="563"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2932" w:type="dxa"/>
            <w:tcBorders>
              <w:top w:val="single" w:sz="4" w:space="0" w:color="000000"/>
              <w:left w:val="single" w:sz="4" w:space="0" w:color="000000"/>
              <w:bottom w:val="single" w:sz="4" w:space="0" w:color="000000"/>
              <w:right w:val="single" w:sz="4" w:space="0" w:color="000000"/>
            </w:tcBorders>
          </w:tcPr>
          <w:p>
            <w:pPr/>
          </w:p>
        </w:tc>
      </w:tr>
      <w:tr>
        <w:trPr>
          <w:trHeight w:val="1389" w:hRule="exact"/>
        </w:trPr>
        <w:tc>
          <w:tcPr>
            <w:tcW w:w="1232" w:type="dxa"/>
            <w:tcBorders>
              <w:top w:val="single" w:sz="4" w:space="0" w:color="000000"/>
              <w:left w:val="single" w:sz="4" w:space="0" w:color="000000"/>
              <w:bottom w:val="nil" w:sz="6" w:space="0" w:color="auto"/>
              <w:right w:val="single" w:sz="4" w:space="0" w:color="000000"/>
            </w:tcBorders>
            <w:shd w:val="clear" w:color="auto" w:fill="D2D2D2"/>
          </w:tcPr>
          <w:p>
            <w:pPr/>
          </w:p>
        </w:tc>
        <w:tc>
          <w:tcPr>
            <w:tcW w:w="3398" w:type="dxa"/>
            <w:vMerge w:val="restart"/>
            <w:tcBorders>
              <w:top w:val="single" w:sz="4" w:space="0" w:color="000000"/>
              <w:left w:val="single" w:sz="9" w:space="0" w:color="D2D2D2"/>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6" w:right="-40"/>
              <w:jc w:val="both"/>
              <w:rPr>
                <w:rFonts w:ascii="宋体" w:hAnsi="宋体" w:cs="宋体" w:eastAsia="宋体" w:hint="default"/>
                <w:sz w:val="18"/>
                <w:szCs w:val="18"/>
              </w:rPr>
            </w:pPr>
            <w:r>
              <w:rPr>
                <w:rFonts w:ascii="宋体" w:hAnsi="宋体" w:cs="宋体" w:eastAsia="宋体" w:hint="default"/>
                <w:spacing w:val="-2"/>
                <w:sz w:val="18"/>
                <w:szCs w:val="18"/>
              </w:rPr>
              <w:t>赵福君、施瑞丰、欧阳曜、邱安超、栗军、</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王新、韩凤岐、王元京、戴金平、刘文圣、</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朱晓钧、王海霞</w:t>
            </w:r>
          </w:p>
        </w:tc>
        <w:tc>
          <w:tcPr>
            <w:tcW w:w="701"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319" w:lineRule="auto"/>
              <w:ind w:left="16" w:right="126"/>
              <w:jc w:val="both"/>
              <w:rPr>
                <w:rFonts w:ascii="宋体" w:hAnsi="宋体" w:cs="宋体" w:eastAsia="宋体" w:hint="default"/>
                <w:sz w:val="18"/>
                <w:szCs w:val="18"/>
              </w:rPr>
            </w:pPr>
            <w:r>
              <w:rPr>
                <w:rFonts w:ascii="宋体" w:hAnsi="宋体" w:cs="宋体" w:eastAsia="宋体" w:hint="default"/>
                <w:sz w:val="18"/>
                <w:szCs w:val="18"/>
              </w:rPr>
              <w:t>关于填 补即期 回报措 施能够 得到切 实履行 的承诺</w:t>
            </w:r>
          </w:p>
        </w:tc>
        <w:tc>
          <w:tcPr>
            <w:tcW w:w="4598" w:type="dxa"/>
            <w:vMerge w:val="restart"/>
            <w:tcBorders>
              <w:top w:val="single" w:sz="4" w:space="0" w:color="000000"/>
              <w:left w:val="single" w:sz="4" w:space="0" w:color="000000"/>
              <w:right w:val="single" w:sz="4" w:space="0" w:color="000000"/>
            </w:tcBorders>
          </w:tcPr>
          <w:p>
            <w:pPr>
              <w:pStyle w:val="TableParagraph"/>
              <w:spacing w:line="316" w:lineRule="auto" w:before="62"/>
              <w:ind w:left="22" w:right="62"/>
              <w:jc w:val="both"/>
              <w:rPr>
                <w:rFonts w:ascii="宋体" w:hAnsi="宋体" w:cs="宋体" w:eastAsia="宋体" w:hint="default"/>
                <w:sz w:val="18"/>
                <w:szCs w:val="18"/>
              </w:rPr>
            </w:pPr>
            <w:r>
              <w:rPr>
                <w:rFonts w:ascii="宋体" w:hAnsi="宋体" w:cs="宋体" w:eastAsia="宋体" w:hint="default"/>
                <w:sz w:val="18"/>
                <w:szCs w:val="18"/>
              </w:rPr>
              <w:t>①本人承诺不无偿或以不公平条件向其他单位或者个人输 送利益，也不采用其他方式损害公司利益。②本人承诺对 本人的职务消费行为进行约束。③本人承诺不动用公司资 产从事与其履行职责无关的投资、消费活动。④本人承诺 由董事会或薪酬委员会制定的薪酬制度与公司填补回报措 施的执行情况相挂钩。⑤若公司后续推出公司股权激励政 策，本人承诺拟公布的公司股权激励的行权条件与公司填 补回报措施的执行情况相挂钩。⑥本承诺出具日后至公司 本次公开发行可转换公司债券实施完毕前，若中国证监会 作出关于填补回报措施及其承诺的其他新的监管规定的， 且上述承诺不能满足中国证监会该等规定时，本人承诺届 时将按照中国证监会的最新规定出具补充承诺。⑦本人承</w:t>
            </w:r>
          </w:p>
        </w:tc>
        <w:tc>
          <w:tcPr>
            <w:tcW w:w="5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3"/>
              <w:ind w:left="22" w:right="197"/>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2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3"/>
              <w:ind w:left="22" w:right="21"/>
              <w:jc w:val="left"/>
              <w:rPr>
                <w:rFonts w:ascii="宋体" w:hAnsi="宋体" w:cs="宋体" w:eastAsia="宋体" w:hint="default"/>
                <w:sz w:val="18"/>
                <w:szCs w:val="18"/>
              </w:rPr>
            </w:pPr>
            <w:r>
              <w:rPr>
                <w:rFonts w:ascii="宋体" w:hAnsi="宋体" w:cs="宋体" w:eastAsia="宋体" w:hint="default"/>
                <w:sz w:val="18"/>
                <w:szCs w:val="18"/>
              </w:rPr>
              <w:t>截至报告期末，承诺方严格遵守该承 诺，未有违反该承诺的情况</w:t>
            </w:r>
          </w:p>
        </w:tc>
      </w:tr>
      <w:tr>
        <w:trPr>
          <w:trHeight w:val="1016" w:hRule="exact"/>
        </w:trPr>
        <w:tc>
          <w:tcPr>
            <w:tcW w:w="12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62"/>
              <w:ind w:left="22" w:right="119"/>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3398" w:type="dxa"/>
            <w:vMerge/>
            <w:tcBorders>
              <w:left w:val="single" w:sz="9" w:space="0" w:color="D2D2D2"/>
              <w:right w:val="single" w:sz="9" w:space="0" w:color="FFFFFF"/>
            </w:tcBorders>
          </w:tcPr>
          <w:p>
            <w:pPr/>
          </w:p>
        </w:tc>
        <w:tc>
          <w:tcPr>
            <w:tcW w:w="701" w:type="dxa"/>
            <w:vMerge/>
            <w:tcBorders>
              <w:left w:val="single" w:sz="9" w:space="0" w:color="FFFFFF"/>
              <w:right w:val="single" w:sz="4" w:space="0" w:color="000000"/>
            </w:tcBorders>
          </w:tcPr>
          <w:p>
            <w:pPr/>
          </w:p>
        </w:tc>
        <w:tc>
          <w:tcPr>
            <w:tcW w:w="4598" w:type="dxa"/>
            <w:vMerge/>
            <w:tcBorders>
              <w:left w:val="single" w:sz="4" w:space="0" w:color="000000"/>
              <w:right w:val="single" w:sz="4" w:space="0" w:color="000000"/>
            </w:tcBorders>
          </w:tcPr>
          <w:p>
            <w:pPr/>
          </w:p>
        </w:tc>
        <w:tc>
          <w:tcPr>
            <w:tcW w:w="563"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2932" w:type="dxa"/>
            <w:vMerge/>
            <w:tcBorders>
              <w:left w:val="single" w:sz="4" w:space="0" w:color="000000"/>
              <w:right w:val="single" w:sz="4" w:space="0" w:color="000000"/>
            </w:tcBorders>
          </w:tcPr>
          <w:p>
            <w:pPr/>
          </w:p>
        </w:tc>
      </w:tr>
      <w:tr>
        <w:trPr>
          <w:trHeight w:val="1390" w:hRule="exact"/>
        </w:trPr>
        <w:tc>
          <w:tcPr>
            <w:tcW w:w="1232" w:type="dxa"/>
            <w:tcBorders>
              <w:top w:val="nil" w:sz="6" w:space="0" w:color="auto"/>
              <w:left w:val="single" w:sz="4" w:space="0" w:color="000000"/>
              <w:bottom w:val="single" w:sz="4" w:space="0" w:color="000000"/>
              <w:right w:val="single" w:sz="4" w:space="0" w:color="000000"/>
            </w:tcBorders>
            <w:shd w:val="clear" w:color="auto" w:fill="D2D2D2"/>
          </w:tcPr>
          <w:p>
            <w:pPr/>
          </w:p>
        </w:tc>
        <w:tc>
          <w:tcPr>
            <w:tcW w:w="3398" w:type="dxa"/>
            <w:vMerge/>
            <w:tcBorders>
              <w:left w:val="single" w:sz="9" w:space="0" w:color="D2D2D2"/>
              <w:bottom w:val="single" w:sz="4" w:space="0" w:color="000000"/>
              <w:right w:val="single" w:sz="9" w:space="0" w:color="FFFFFF"/>
            </w:tcBorders>
          </w:tcPr>
          <w:p>
            <w:pPr/>
          </w:p>
        </w:tc>
        <w:tc>
          <w:tcPr>
            <w:tcW w:w="701" w:type="dxa"/>
            <w:vMerge/>
            <w:tcBorders>
              <w:left w:val="single" w:sz="9" w:space="0" w:color="FFFFFF"/>
              <w:bottom w:val="single" w:sz="4" w:space="0" w:color="000000"/>
              <w:right w:val="single" w:sz="4" w:space="0" w:color="000000"/>
            </w:tcBorders>
          </w:tcPr>
          <w:p>
            <w:pPr/>
          </w:p>
        </w:tc>
        <w:tc>
          <w:tcPr>
            <w:tcW w:w="4598" w:type="dxa"/>
            <w:vMerge/>
            <w:tcBorders>
              <w:left w:val="single" w:sz="4" w:space="0" w:color="000000"/>
              <w:bottom w:val="single" w:sz="4" w:space="0" w:color="000000"/>
              <w:right w:val="single" w:sz="4" w:space="0" w:color="000000"/>
            </w:tcBorders>
          </w:tcPr>
          <w:p>
            <w:pPr/>
          </w:p>
        </w:tc>
        <w:tc>
          <w:tcPr>
            <w:tcW w:w="563" w:type="dxa"/>
            <w:vMerge/>
            <w:tcBorders>
              <w:left w:val="single" w:sz="4" w:space="0" w:color="000000"/>
              <w:bottom w:val="single" w:sz="4" w:space="0" w:color="000000"/>
              <w:right w:val="single" w:sz="4" w:space="0" w:color="000000"/>
            </w:tcBorders>
          </w:tcPr>
          <w:p>
            <w:pPr/>
          </w:p>
        </w:tc>
        <w:tc>
          <w:tcPr>
            <w:tcW w:w="592" w:type="dxa"/>
            <w:vMerge/>
            <w:tcBorders>
              <w:left w:val="single" w:sz="4" w:space="0" w:color="000000"/>
              <w:bottom w:val="single" w:sz="4" w:space="0" w:color="000000"/>
              <w:right w:val="single" w:sz="4" w:space="0" w:color="000000"/>
            </w:tcBorders>
          </w:tcPr>
          <w:p>
            <w:pPr/>
          </w:p>
        </w:tc>
        <w:tc>
          <w:tcPr>
            <w:tcW w:w="2932"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220" w:left="1300" w:right="1300"/>
        </w:sectPr>
      </w:pPr>
    </w:p>
    <w:p>
      <w:pPr>
        <w:spacing w:line="240" w:lineRule="auto" w:before="4"/>
        <w:rPr>
          <w:rFonts w:ascii="Times New Roman" w:hAnsi="Times New Roman" w:cs="Times New Roman" w:eastAsia="Times New Roman" w:hint="default"/>
          <w:sz w:val="3"/>
          <w:szCs w:val="3"/>
        </w:rPr>
      </w:pPr>
      <w:r>
        <w:rPr/>
        <w:pict>
          <v:group style="position:absolute;margin-left:303.5pt;margin-top:499.980011pt;width:32.3pt;height:17.6pt;mso-position-horizontal-relative:page;mso-position-vertical-relative:page;z-index:-1045768" coordorigin="6070,10000" coordsize="646,352">
            <v:shape style="position:absolute;left:6070;top:10000;width:646;height:352" coordorigin="6070,10000" coordsize="646,352" path="m6070,10351l6716,10351,6716,10000,6070,10000,6070,10351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1232"/>
        <w:gridCol w:w="3398"/>
        <w:gridCol w:w="701"/>
        <w:gridCol w:w="4598"/>
        <w:gridCol w:w="563"/>
        <w:gridCol w:w="592"/>
        <w:gridCol w:w="2932"/>
      </w:tblGrid>
      <w:tr>
        <w:trPr>
          <w:trHeight w:val="175" w:hRule="exact"/>
        </w:trPr>
        <w:tc>
          <w:tcPr>
            <w:tcW w:w="1232" w:type="dxa"/>
            <w:tcBorders>
              <w:top w:val="single" w:sz="15" w:space="0" w:color="000000"/>
              <w:left w:val="single" w:sz="4" w:space="0" w:color="000000"/>
              <w:bottom w:val="nil" w:sz="6" w:space="0" w:color="auto"/>
              <w:right w:val="single" w:sz="4" w:space="0" w:color="000000"/>
            </w:tcBorders>
            <w:shd w:val="clear" w:color="auto" w:fill="D2D2D2"/>
          </w:tcPr>
          <w:p>
            <w:pPr/>
          </w:p>
        </w:tc>
        <w:tc>
          <w:tcPr>
            <w:tcW w:w="3398" w:type="dxa"/>
            <w:tcBorders>
              <w:top w:val="single" w:sz="15" w:space="0" w:color="000000"/>
              <w:left w:val="single" w:sz="4" w:space="0" w:color="000000"/>
              <w:bottom w:val="nil" w:sz="6" w:space="0" w:color="auto"/>
              <w:right w:val="single" w:sz="4" w:space="0" w:color="000000"/>
            </w:tcBorders>
            <w:shd w:val="clear" w:color="auto" w:fill="D2D2D2"/>
          </w:tcPr>
          <w:p>
            <w:pPr/>
          </w:p>
        </w:tc>
        <w:tc>
          <w:tcPr>
            <w:tcW w:w="701"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255" w:right="73" w:hanging="180"/>
              <w:jc w:val="left"/>
              <w:rPr>
                <w:rFonts w:ascii="宋体" w:hAnsi="宋体" w:cs="宋体" w:eastAsia="宋体" w:hint="default"/>
                <w:sz w:val="18"/>
                <w:szCs w:val="18"/>
              </w:rPr>
            </w:pPr>
            <w:r>
              <w:rPr>
                <w:rFonts w:ascii="宋体" w:hAnsi="宋体" w:cs="宋体" w:eastAsia="宋体" w:hint="default"/>
                <w:sz w:val="18"/>
                <w:szCs w:val="18"/>
              </w:rPr>
              <w:t>承诺类 型</w:t>
            </w:r>
          </w:p>
        </w:tc>
        <w:tc>
          <w:tcPr>
            <w:tcW w:w="4598" w:type="dxa"/>
            <w:tcBorders>
              <w:top w:val="single" w:sz="15"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96" w:right="95"/>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92"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110" w:right="109"/>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2932" w:type="dxa"/>
            <w:tcBorders>
              <w:top w:val="single" w:sz="15"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12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33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701" w:type="dxa"/>
            <w:vMerge/>
            <w:tcBorders>
              <w:left w:val="single" w:sz="4" w:space="0" w:color="000000"/>
              <w:right w:val="single" w:sz="4" w:space="0" w:color="000000"/>
            </w:tcBorders>
            <w:shd w:val="clear" w:color="auto" w:fill="D2D2D2"/>
          </w:tcPr>
          <w:p>
            <w:pPr/>
          </w:p>
        </w:tc>
        <w:tc>
          <w:tcPr>
            <w:tcW w:w="4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63" w:type="dxa"/>
            <w:vMerge/>
            <w:tcBorders>
              <w:left w:val="single" w:sz="4" w:space="0" w:color="000000"/>
              <w:right w:val="single" w:sz="4" w:space="0" w:color="000000"/>
            </w:tcBorders>
            <w:shd w:val="clear" w:color="auto" w:fill="D2D2D2"/>
          </w:tcPr>
          <w:p>
            <w:pPr/>
          </w:p>
        </w:tc>
        <w:tc>
          <w:tcPr>
            <w:tcW w:w="592" w:type="dxa"/>
            <w:vMerge/>
            <w:tcBorders>
              <w:left w:val="single" w:sz="4" w:space="0" w:color="000000"/>
              <w:right w:val="single" w:sz="4" w:space="0" w:color="000000"/>
            </w:tcBorders>
            <w:shd w:val="clear" w:color="auto" w:fill="D2D2D2"/>
          </w:tcPr>
          <w:p>
            <w:pPr/>
          </w:p>
        </w:tc>
        <w:tc>
          <w:tcPr>
            <w:tcW w:w="2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1" w:hRule="exact"/>
        </w:trPr>
        <w:tc>
          <w:tcPr>
            <w:tcW w:w="1232" w:type="dxa"/>
            <w:tcBorders>
              <w:top w:val="nil" w:sz="6" w:space="0" w:color="auto"/>
              <w:left w:val="single" w:sz="4" w:space="0" w:color="000000"/>
              <w:bottom w:val="single" w:sz="4" w:space="0" w:color="000000"/>
              <w:right w:val="single" w:sz="4" w:space="0" w:color="000000"/>
            </w:tcBorders>
            <w:shd w:val="clear" w:color="auto" w:fill="D2D2D2"/>
          </w:tcPr>
          <w:p>
            <w:pPr/>
          </w:p>
        </w:tc>
        <w:tc>
          <w:tcPr>
            <w:tcW w:w="33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vMerge/>
            <w:tcBorders>
              <w:left w:val="single" w:sz="4" w:space="0" w:color="000000"/>
              <w:bottom w:val="single" w:sz="4" w:space="0" w:color="000000"/>
              <w:right w:val="single" w:sz="4" w:space="0" w:color="000000"/>
            </w:tcBorders>
            <w:shd w:val="clear" w:color="auto" w:fill="D2D2D2"/>
          </w:tcPr>
          <w:p>
            <w:pPr/>
          </w:p>
        </w:tc>
        <w:tc>
          <w:tcPr>
            <w:tcW w:w="4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92" w:type="dxa"/>
            <w:vMerge/>
            <w:tcBorders>
              <w:left w:val="single" w:sz="4" w:space="0" w:color="000000"/>
              <w:bottom w:val="single" w:sz="4" w:space="0" w:color="000000"/>
              <w:right w:val="single" w:sz="4" w:space="0" w:color="000000"/>
            </w:tcBorders>
            <w:shd w:val="clear" w:color="auto" w:fill="D2D2D2"/>
          </w:tcPr>
          <w:p>
            <w:pPr/>
          </w:p>
        </w:tc>
        <w:tc>
          <w:tcPr>
            <w:tcW w:w="293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234" w:hRule="exact"/>
        </w:trPr>
        <w:tc>
          <w:tcPr>
            <w:tcW w:w="1232" w:type="dxa"/>
            <w:vMerge w:val="restart"/>
            <w:tcBorders>
              <w:top w:val="single" w:sz="4" w:space="0" w:color="000000"/>
              <w:left w:val="single" w:sz="4" w:space="0" w:color="000000"/>
              <w:right w:val="single" w:sz="4" w:space="0" w:color="000000"/>
            </w:tcBorders>
            <w:shd w:val="clear" w:color="auto" w:fill="D2D2D2"/>
          </w:tcPr>
          <w:p>
            <w:pPr/>
          </w:p>
        </w:tc>
        <w:tc>
          <w:tcPr>
            <w:tcW w:w="339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45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2"/>
              <w:jc w:val="both"/>
              <w:rPr>
                <w:rFonts w:ascii="宋体" w:hAnsi="宋体" w:cs="宋体" w:eastAsia="宋体" w:hint="default"/>
                <w:sz w:val="18"/>
                <w:szCs w:val="18"/>
              </w:rPr>
            </w:pPr>
            <w:r>
              <w:rPr>
                <w:rFonts w:ascii="宋体" w:hAnsi="宋体" w:cs="宋体" w:eastAsia="宋体" w:hint="default"/>
                <w:sz w:val="18"/>
                <w:szCs w:val="18"/>
              </w:rPr>
              <w:t>诺切实履行公司制定的有关填补回报措施以及本人对此作 出的任何有关填补回报措施的承诺，若本人违反该等承诺 并给公司或者投资者造成损失的，本人愿意依法承担对公 司或者投资者的补偿责任。本人若违反上述承诺或拒不履 行上述承诺，本人同意按照中国证监会和深圳证券交易所 等证券监管机构按照其制定或发布的有关规定、规则，对 本人作出相关处罚或采取相关管理措施</w:t>
            </w:r>
          </w:p>
        </w:tc>
        <w:tc>
          <w:tcPr>
            <w:tcW w:w="563"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2932"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232" w:type="dxa"/>
            <w:vMerge/>
            <w:tcBorders>
              <w:left w:val="single" w:sz="4" w:space="0" w:color="000000"/>
              <w:right w:val="single" w:sz="4" w:space="0" w:color="000000"/>
            </w:tcBorders>
            <w:shd w:val="clear" w:color="auto" w:fill="D2D2D2"/>
          </w:tcPr>
          <w:p>
            <w:pP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5"/>
                <w:sz w:val="18"/>
                <w:szCs w:val="18"/>
              </w:rPr>
              <w:t>北京久其科技投资有限公司、董泰湘、赵福</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君</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关于填 补即期 回报措 施能够 得到切 实履行 的承诺</w:t>
            </w:r>
          </w:p>
        </w:tc>
        <w:tc>
          <w:tcPr>
            <w:tcW w:w="4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00" w:lineRule="auto"/>
              <w:ind w:left="22" w:right="22"/>
              <w:jc w:val="left"/>
              <w:rPr>
                <w:rFonts w:ascii="宋体" w:hAnsi="宋体" w:cs="宋体" w:eastAsia="宋体" w:hint="default"/>
                <w:sz w:val="18"/>
                <w:szCs w:val="18"/>
              </w:rPr>
            </w:pPr>
            <w:r>
              <w:rPr>
                <w:rFonts w:ascii="宋体" w:hAnsi="宋体" w:cs="宋体" w:eastAsia="宋体" w:hint="default"/>
                <w:spacing w:val="-1"/>
                <w:sz w:val="18"/>
                <w:szCs w:val="18"/>
              </w:rPr>
              <w:t>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本人不越权干预公司经营管理活动，不侵占公司利</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截至报告期末，承诺方严格遵守该承 诺，未有违反该承诺的情况</w:t>
            </w:r>
          </w:p>
        </w:tc>
      </w:tr>
      <w:tr>
        <w:trPr>
          <w:trHeight w:val="1650" w:hRule="exact"/>
        </w:trPr>
        <w:tc>
          <w:tcPr>
            <w:tcW w:w="1232" w:type="dxa"/>
            <w:vMerge/>
            <w:tcBorders>
              <w:left w:val="single" w:sz="4" w:space="0" w:color="000000"/>
              <w:right w:val="single" w:sz="4" w:space="0" w:color="000000"/>
            </w:tcBorders>
            <w:shd w:val="clear" w:color="auto" w:fill="D2D2D2"/>
          </w:tcPr>
          <w:p>
            <w:pP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北京久其科技投资有限公司</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6"/>
              <w:jc w:val="both"/>
              <w:rPr>
                <w:rFonts w:ascii="宋体" w:hAnsi="宋体" w:cs="宋体" w:eastAsia="宋体" w:hint="default"/>
                <w:sz w:val="18"/>
                <w:szCs w:val="18"/>
              </w:rPr>
            </w:pPr>
            <w:r>
              <w:rPr>
                <w:rFonts w:ascii="宋体" w:hAnsi="宋体" w:cs="宋体" w:eastAsia="宋体" w:hint="default"/>
                <w:sz w:val="18"/>
                <w:szCs w:val="18"/>
              </w:rPr>
              <w:t>关于避 免同业 竞争的 承诺</w:t>
            </w:r>
          </w:p>
        </w:tc>
        <w:tc>
          <w:tcPr>
            <w:tcW w:w="459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将不在中国境内外以任何方式直接或间接从事或参与任何 与发行人相同、相似或在商业上构成任何竞争的业务及活 动，或拥有与发行人存在竞争关系的任何经济实体、机构 经济组织的权益，或以其他任何形式取得该经济实体、机 构、经济组织的控制权</w:t>
            </w:r>
          </w:p>
        </w:tc>
        <w:tc>
          <w:tcPr>
            <w:tcW w:w="5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2009</w:t>
            </w:r>
          </w:p>
          <w:p>
            <w:pPr>
              <w:pStyle w:val="TableParagraph"/>
              <w:spacing w:line="203" w:lineRule="exact" w:before="64"/>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149"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624" w:lineRule="exact"/>
              <w:ind w:left="11"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25.4pt;height:31.2pt;mso-position-horizontal-relative:char;mso-position-vertical-relative:line" coordorigin="0,0" coordsize="508,624">
                  <v:group style="position:absolute;left:0;top:0;width:508;height:312" coordorigin="0,0" coordsize="508,312">
                    <v:shape style="position:absolute;left:0;top:0;width:508;height:312" coordorigin="0,0" coordsize="508,312" path="m0,312l508,312,508,0,0,0,0,312xe" filled="true" fillcolor="#ffffff" stroked="false">
                      <v:path arrowok="t"/>
                      <v:fill type="solid"/>
                    </v:shape>
                  </v:group>
                  <v:group style="position:absolute;left:0;top:312;width:508;height:312" coordorigin="0,312" coordsize="508,312">
                    <v:shape style="position:absolute;left:0;top:312;width:508;height:312" coordorigin="0,312" coordsize="508,312" path="m0,624l508,624,508,312,0,312,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97"/>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21"/>
              <w:jc w:val="left"/>
              <w:rPr>
                <w:rFonts w:ascii="宋体" w:hAnsi="宋体" w:cs="宋体" w:eastAsia="宋体" w:hint="default"/>
                <w:sz w:val="18"/>
                <w:szCs w:val="18"/>
              </w:rPr>
            </w:pPr>
            <w:r>
              <w:rPr>
                <w:rFonts w:ascii="宋体" w:hAnsi="宋体" w:cs="宋体" w:eastAsia="宋体" w:hint="default"/>
                <w:sz w:val="18"/>
                <w:szCs w:val="18"/>
              </w:rPr>
              <w:t>截至报告期末，承诺方严格遵守该承 诺，未有违反该承诺的情况</w:t>
            </w:r>
          </w:p>
        </w:tc>
      </w:tr>
      <w:tr>
        <w:trPr>
          <w:trHeight w:val="1962" w:hRule="exact"/>
        </w:trPr>
        <w:tc>
          <w:tcPr>
            <w:tcW w:w="1232" w:type="dxa"/>
            <w:vMerge/>
            <w:tcBorders>
              <w:left w:val="single" w:sz="4" w:space="0" w:color="000000"/>
              <w:right w:val="single" w:sz="4" w:space="0" w:color="000000"/>
            </w:tcBorders>
            <w:shd w:val="clear" w:color="auto" w:fill="D2D2D2"/>
          </w:tcPr>
          <w:p>
            <w:pP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董泰湘、赵福君</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6"/>
              <w:jc w:val="both"/>
              <w:rPr>
                <w:rFonts w:ascii="宋体" w:hAnsi="宋体" w:cs="宋体" w:eastAsia="宋体" w:hint="default"/>
                <w:sz w:val="18"/>
                <w:szCs w:val="18"/>
              </w:rPr>
            </w:pPr>
            <w:r>
              <w:rPr>
                <w:rFonts w:ascii="宋体" w:hAnsi="宋体" w:cs="宋体" w:eastAsia="宋体" w:hint="default"/>
                <w:sz w:val="18"/>
                <w:szCs w:val="18"/>
              </w:rPr>
              <w:t>关于避 免同业 竞争的 承诺</w:t>
            </w:r>
          </w:p>
        </w:tc>
        <w:tc>
          <w:tcPr>
            <w:tcW w:w="459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将不在中国境内外以任何方式直接或间接从事或参与任何 与发行人相同、相似或在商业上构成任何竞争的业务及活 </w:t>
            </w:r>
            <w:r>
              <w:rPr>
                <w:rFonts w:ascii="宋体" w:hAnsi="宋体" w:cs="宋体" w:eastAsia="宋体" w:hint="default"/>
                <w:spacing w:val="-4"/>
                <w:sz w:val="18"/>
                <w:szCs w:val="18"/>
              </w:rPr>
              <w:t>动，或拥有与发行人存在竞争关系的任何经济实体、机构、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经济组织的权益，或以其他任何形式取得该经济实体、机</w:t>
            </w:r>
            <w:r>
              <w:rPr>
                <w:rFonts w:ascii="宋体" w:hAnsi="宋体" w:cs="宋体" w:eastAsia="宋体" w:hint="default"/>
                <w:sz w:val="18"/>
                <w:szCs w:val="18"/>
              </w:rPr>
              <w:t> 构、经济组织的控制权，或在该经济实体、机构、经济组 织中担任高级管理人员或核心技术人员</w:t>
            </w:r>
          </w:p>
        </w:tc>
        <w:tc>
          <w:tcPr>
            <w:tcW w:w="5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2009</w:t>
            </w:r>
          </w:p>
          <w:p>
            <w:pPr>
              <w:pStyle w:val="TableParagraph"/>
              <w:spacing w:line="240" w:lineRule="auto" w:before="64"/>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2" w:lineRule="exact"/>
              <w:ind w:left="11"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25.4pt;height:15.6pt;mso-position-horizontal-relative:char;mso-position-vertical-relative:line" coordorigin="0,0" coordsize="508,312">
                  <v:group style="position:absolute;left:0;top:0;width:508;height:312" coordorigin="0,0" coordsize="508,312">
                    <v:shape style="position:absolute;left:0;top:0;width:508;height:312" coordorigin="0,0" coordsize="508,312" path="m0,312l508,312,508,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截至报告期末，承诺方严格遵守该承 诺，未有违反该承诺的情况</w:t>
            </w:r>
          </w:p>
        </w:tc>
      </w:tr>
      <w:tr>
        <w:trPr>
          <w:trHeight w:val="714" w:hRule="exact"/>
        </w:trPr>
        <w:tc>
          <w:tcPr>
            <w:tcW w:w="1232" w:type="dxa"/>
            <w:vMerge/>
            <w:tcBorders>
              <w:left w:val="single" w:sz="4" w:space="0" w:color="000000"/>
              <w:bottom w:val="single" w:sz="4" w:space="0" w:color="000000"/>
              <w:right w:val="single" w:sz="4" w:space="0" w:color="000000"/>
            </w:tcBorders>
            <w:shd w:val="clear" w:color="auto" w:fill="D2D2D2"/>
          </w:tcPr>
          <w:p>
            <w:pPr/>
          </w:p>
        </w:tc>
        <w:tc>
          <w:tcPr>
            <w:tcW w:w="339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44"/>
              <w:jc w:val="left"/>
              <w:rPr>
                <w:rFonts w:ascii="宋体" w:hAnsi="宋体" w:cs="宋体" w:eastAsia="宋体" w:hint="default"/>
                <w:sz w:val="18"/>
                <w:szCs w:val="18"/>
              </w:rPr>
            </w:pPr>
            <w:r>
              <w:rPr>
                <w:rFonts w:ascii="宋体" w:hAnsi="宋体" w:cs="宋体" w:eastAsia="宋体" w:hint="default"/>
                <w:spacing w:val="-2"/>
                <w:sz w:val="18"/>
                <w:szCs w:val="18"/>
              </w:rPr>
              <w:t>赵福君、蒋硕、刘文圣、欧阳曜、邱安超、</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施瑞丰、王海霞、王劲岩、曾超、朱晓钧</w:t>
            </w:r>
          </w:p>
        </w:tc>
        <w:tc>
          <w:tcPr>
            <w:tcW w:w="701"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71"/>
              <w:ind w:left="11" w:right="126"/>
              <w:jc w:val="left"/>
              <w:rPr>
                <w:rFonts w:ascii="宋体" w:hAnsi="宋体" w:cs="宋体" w:eastAsia="宋体" w:hint="default"/>
                <w:sz w:val="18"/>
                <w:szCs w:val="18"/>
              </w:rPr>
            </w:pPr>
            <w:r>
              <w:rPr>
                <w:rFonts w:ascii="宋体" w:hAnsi="宋体" w:cs="宋体" w:eastAsia="宋体" w:hint="default"/>
                <w:sz w:val="18"/>
                <w:szCs w:val="18"/>
              </w:rPr>
              <w:t>关于避 免同业</w:t>
            </w:r>
          </w:p>
        </w:tc>
        <w:tc>
          <w:tcPr>
            <w:tcW w:w="4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63"/>
              <w:jc w:val="left"/>
              <w:rPr>
                <w:rFonts w:ascii="宋体" w:hAnsi="宋体" w:cs="宋体" w:eastAsia="宋体" w:hint="default"/>
                <w:sz w:val="18"/>
                <w:szCs w:val="18"/>
              </w:rPr>
            </w:pPr>
            <w:r>
              <w:rPr>
                <w:rFonts w:ascii="宋体" w:hAnsi="宋体" w:cs="宋体" w:eastAsia="宋体" w:hint="default"/>
                <w:sz w:val="18"/>
                <w:szCs w:val="18"/>
              </w:rPr>
              <w:t>本人及近亲属在本人任职期间及离职后半年内，不从事自 营或为他人经营与公司同类的业务，也不从事与公司利益</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2009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截至报告期末，承诺方严格遵守该承 诺，未有违反该承诺的情况</w:t>
            </w:r>
          </w:p>
        </w:tc>
      </w:tr>
    </w:tbl>
    <w:p>
      <w:pPr>
        <w:spacing w:after="0" w:line="316" w:lineRule="auto"/>
        <w:jc w:val="left"/>
        <w:rPr>
          <w:rFonts w:ascii="宋体" w:hAnsi="宋体" w:cs="宋体" w:eastAsia="宋体" w:hint="default"/>
          <w:sz w:val="18"/>
          <w:szCs w:val="18"/>
        </w:rPr>
        <w:sectPr>
          <w:pgSz w:w="16840" w:h="11910" w:orient="landscape"/>
          <w:pgMar w:header="867" w:footer="979" w:top="1060" w:bottom="120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1210"/>
        <w:gridCol w:w="3409"/>
        <w:gridCol w:w="701"/>
        <w:gridCol w:w="4598"/>
        <w:gridCol w:w="563"/>
        <w:gridCol w:w="592"/>
        <w:gridCol w:w="2932"/>
      </w:tblGrid>
      <w:tr>
        <w:trPr>
          <w:trHeight w:val="175" w:hRule="exact"/>
        </w:trPr>
        <w:tc>
          <w:tcPr>
            <w:tcW w:w="1210" w:type="dxa"/>
            <w:tcBorders>
              <w:top w:val="single" w:sz="15" w:space="0" w:color="000000"/>
              <w:left w:val="single" w:sz="4" w:space="0" w:color="000000"/>
              <w:bottom w:val="nil" w:sz="6" w:space="0" w:color="auto"/>
              <w:right w:val="single" w:sz="4" w:space="0" w:color="000000"/>
            </w:tcBorders>
            <w:shd w:val="clear" w:color="auto" w:fill="D2D2D2"/>
          </w:tcPr>
          <w:p>
            <w:pPr/>
          </w:p>
        </w:tc>
        <w:tc>
          <w:tcPr>
            <w:tcW w:w="3409" w:type="dxa"/>
            <w:tcBorders>
              <w:top w:val="single" w:sz="15" w:space="0" w:color="000000"/>
              <w:left w:val="single" w:sz="4" w:space="0" w:color="000000"/>
              <w:bottom w:val="nil" w:sz="6" w:space="0" w:color="auto"/>
              <w:right w:val="single" w:sz="4" w:space="0" w:color="000000"/>
            </w:tcBorders>
            <w:shd w:val="clear" w:color="auto" w:fill="D2D2D2"/>
          </w:tcPr>
          <w:p>
            <w:pPr/>
          </w:p>
        </w:tc>
        <w:tc>
          <w:tcPr>
            <w:tcW w:w="701"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255" w:right="73" w:hanging="180"/>
              <w:jc w:val="left"/>
              <w:rPr>
                <w:rFonts w:ascii="宋体" w:hAnsi="宋体" w:cs="宋体" w:eastAsia="宋体" w:hint="default"/>
                <w:sz w:val="18"/>
                <w:szCs w:val="18"/>
              </w:rPr>
            </w:pPr>
            <w:r>
              <w:rPr>
                <w:rFonts w:ascii="宋体" w:hAnsi="宋体" w:cs="宋体" w:eastAsia="宋体" w:hint="default"/>
                <w:sz w:val="18"/>
                <w:szCs w:val="18"/>
              </w:rPr>
              <w:t>承诺类 型</w:t>
            </w:r>
          </w:p>
        </w:tc>
        <w:tc>
          <w:tcPr>
            <w:tcW w:w="4598" w:type="dxa"/>
            <w:tcBorders>
              <w:top w:val="single" w:sz="15"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96" w:right="95"/>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92"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110" w:right="109"/>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2932" w:type="dxa"/>
            <w:tcBorders>
              <w:top w:val="single" w:sz="15"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12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34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701" w:type="dxa"/>
            <w:vMerge/>
            <w:tcBorders>
              <w:left w:val="single" w:sz="4" w:space="0" w:color="000000"/>
              <w:right w:val="single" w:sz="4" w:space="0" w:color="000000"/>
            </w:tcBorders>
            <w:shd w:val="clear" w:color="auto" w:fill="D2D2D2"/>
          </w:tcPr>
          <w:p>
            <w:pPr/>
          </w:p>
        </w:tc>
        <w:tc>
          <w:tcPr>
            <w:tcW w:w="4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63" w:type="dxa"/>
            <w:vMerge/>
            <w:tcBorders>
              <w:left w:val="single" w:sz="4" w:space="0" w:color="000000"/>
              <w:right w:val="single" w:sz="4" w:space="0" w:color="000000"/>
            </w:tcBorders>
            <w:shd w:val="clear" w:color="auto" w:fill="D2D2D2"/>
          </w:tcPr>
          <w:p>
            <w:pPr/>
          </w:p>
        </w:tc>
        <w:tc>
          <w:tcPr>
            <w:tcW w:w="592" w:type="dxa"/>
            <w:vMerge/>
            <w:tcBorders>
              <w:left w:val="single" w:sz="4" w:space="0" w:color="000000"/>
              <w:right w:val="single" w:sz="4" w:space="0" w:color="000000"/>
            </w:tcBorders>
            <w:shd w:val="clear" w:color="auto" w:fill="D2D2D2"/>
          </w:tcPr>
          <w:p>
            <w:pPr/>
          </w:p>
        </w:tc>
        <w:tc>
          <w:tcPr>
            <w:tcW w:w="2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1" w:hRule="exact"/>
        </w:trPr>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34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vMerge/>
            <w:tcBorders>
              <w:left w:val="single" w:sz="4" w:space="0" w:color="000000"/>
              <w:bottom w:val="single" w:sz="4" w:space="0" w:color="000000"/>
              <w:right w:val="single" w:sz="4" w:space="0" w:color="000000"/>
            </w:tcBorders>
            <w:shd w:val="clear" w:color="auto" w:fill="D2D2D2"/>
          </w:tcPr>
          <w:p>
            <w:pPr/>
          </w:p>
        </w:tc>
        <w:tc>
          <w:tcPr>
            <w:tcW w:w="4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92" w:type="dxa"/>
            <w:vMerge/>
            <w:tcBorders>
              <w:left w:val="single" w:sz="4" w:space="0" w:color="000000"/>
              <w:bottom w:val="single" w:sz="4" w:space="0" w:color="000000"/>
              <w:right w:val="single" w:sz="4" w:space="0" w:color="000000"/>
            </w:tcBorders>
            <w:shd w:val="clear" w:color="auto" w:fill="D2D2D2"/>
          </w:tcPr>
          <w:p>
            <w:pPr/>
          </w:p>
        </w:tc>
        <w:tc>
          <w:tcPr>
            <w:tcW w:w="293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674"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40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6"/>
              <w:jc w:val="left"/>
              <w:rPr>
                <w:rFonts w:ascii="宋体" w:hAnsi="宋体" w:cs="宋体" w:eastAsia="宋体" w:hint="default"/>
                <w:sz w:val="18"/>
                <w:szCs w:val="18"/>
              </w:rPr>
            </w:pPr>
            <w:r>
              <w:rPr>
                <w:rFonts w:ascii="宋体" w:hAnsi="宋体" w:cs="宋体" w:eastAsia="宋体" w:hint="default"/>
                <w:sz w:val="18"/>
                <w:szCs w:val="18"/>
              </w:rPr>
              <w:t>竞争的 承诺</w:t>
            </w:r>
          </w:p>
        </w:tc>
        <w:tc>
          <w:tcPr>
            <w:tcW w:w="4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发生冲突的对外投资</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2" w:type="dxa"/>
            <w:tcBorders>
              <w:top w:val="single" w:sz="4" w:space="0" w:color="000000"/>
              <w:left w:val="single" w:sz="4" w:space="0" w:color="000000"/>
              <w:bottom w:val="single" w:sz="4" w:space="0" w:color="000000"/>
              <w:right w:val="single" w:sz="4" w:space="0" w:color="000000"/>
            </w:tcBorders>
          </w:tcPr>
          <w:p>
            <w:pPr/>
          </w:p>
        </w:tc>
        <w:tc>
          <w:tcPr>
            <w:tcW w:w="2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6"/>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12794"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62"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如承诺超期未 </w:t>
            </w:r>
            <w:r>
              <w:rPr>
                <w:rFonts w:ascii="宋体" w:hAnsi="宋体" w:cs="宋体" w:eastAsia="宋体" w:hint="default"/>
                <w:spacing w:val="-12"/>
                <w:sz w:val="18"/>
                <w:szCs w:val="18"/>
              </w:rPr>
              <w:t>履行完毕的，应</w:t>
            </w:r>
            <w:r>
              <w:rPr>
                <w:rFonts w:ascii="宋体" w:hAnsi="宋体" w:cs="宋体" w:eastAsia="宋体" w:hint="default"/>
                <w:sz w:val="18"/>
                <w:szCs w:val="18"/>
              </w:rPr>
              <w:t> 当详细说明未 完成履行的具 体原因及下一 步的工作计划</w:t>
            </w:r>
          </w:p>
        </w:tc>
        <w:tc>
          <w:tcPr>
            <w:tcW w:w="12794"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40" w:right="0"/>
        <w:jc w:val="left"/>
        <w:rPr>
          <w:b w:val="0"/>
          <w:bCs w:val="0"/>
        </w:rPr>
      </w:pPr>
      <w:bookmarkStart w:name="2、公司资产或项目存在盈利预测，且报告期仍处在盈利预测期间，公司就资产或项目达到" w:id="69"/>
      <w:bookmarkEnd w:id="69"/>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、公司资产或项目存在盈利预测，且报告期仍处在盈利预测期间，公司就资产或项目达到原盈利预测及其原因做出说明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026"/>
        <w:gridCol w:w="911"/>
        <w:gridCol w:w="911"/>
        <w:gridCol w:w="1124"/>
        <w:gridCol w:w="1201"/>
        <w:gridCol w:w="1920"/>
        <w:gridCol w:w="912"/>
        <w:gridCol w:w="6009"/>
      </w:tblGrid>
      <w:tr>
        <w:trPr>
          <w:trHeight w:val="1025" w:hRule="exact"/>
        </w:trPr>
        <w:tc>
          <w:tcPr>
            <w:tcW w:w="1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7" w:right="56"/>
              <w:jc w:val="center"/>
              <w:rPr>
                <w:rFonts w:ascii="宋体" w:hAnsi="宋体" w:cs="宋体" w:eastAsia="宋体" w:hint="default"/>
                <w:sz w:val="18"/>
                <w:szCs w:val="18"/>
              </w:rPr>
            </w:pPr>
            <w:r>
              <w:rPr>
                <w:rFonts w:ascii="宋体" w:hAnsi="宋体" w:cs="宋体" w:eastAsia="宋体" w:hint="default"/>
                <w:sz w:val="18"/>
                <w:szCs w:val="18"/>
              </w:rPr>
              <w:t>盈利预测资 产或项目名 称</w:t>
            </w:r>
          </w:p>
        </w:tc>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69" w:right="89" w:hanging="180"/>
              <w:jc w:val="left"/>
              <w:rPr>
                <w:rFonts w:ascii="宋体" w:hAnsi="宋体" w:cs="宋体" w:eastAsia="宋体" w:hint="default"/>
                <w:sz w:val="18"/>
                <w:szCs w:val="18"/>
              </w:rPr>
            </w:pPr>
            <w:r>
              <w:rPr>
                <w:rFonts w:ascii="宋体" w:hAnsi="宋体" w:cs="宋体" w:eastAsia="宋体" w:hint="default"/>
                <w:sz w:val="18"/>
                <w:szCs w:val="18"/>
              </w:rPr>
              <w:t>预测起始 时间</w:t>
            </w:r>
          </w:p>
        </w:tc>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69" w:right="89" w:hanging="180"/>
              <w:jc w:val="left"/>
              <w:rPr>
                <w:rFonts w:ascii="宋体" w:hAnsi="宋体" w:cs="宋体" w:eastAsia="宋体" w:hint="default"/>
                <w:sz w:val="18"/>
                <w:szCs w:val="18"/>
              </w:rPr>
            </w:pPr>
            <w:r>
              <w:rPr>
                <w:rFonts w:ascii="宋体" w:hAnsi="宋体" w:cs="宋体" w:eastAsia="宋体" w:hint="default"/>
                <w:sz w:val="18"/>
                <w:szCs w:val="18"/>
              </w:rPr>
              <w:t>预测终止 时间</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6" w:right="107"/>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75" w:right="53" w:hanging="720"/>
              <w:jc w:val="left"/>
              <w:rPr>
                <w:rFonts w:ascii="宋体" w:hAnsi="宋体" w:cs="宋体" w:eastAsia="宋体" w:hint="default"/>
                <w:sz w:val="18"/>
                <w:szCs w:val="18"/>
              </w:rPr>
            </w:pPr>
            <w:r>
              <w:rPr>
                <w:rFonts w:ascii="宋体" w:hAnsi="宋体" w:cs="宋体" w:eastAsia="宋体" w:hint="default"/>
                <w:sz w:val="18"/>
                <w:szCs w:val="18"/>
              </w:rPr>
              <w:t>未达预测的原因（如适 用）</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1" w:right="89" w:hanging="90"/>
              <w:jc w:val="left"/>
              <w:rPr>
                <w:rFonts w:ascii="宋体" w:hAnsi="宋体" w:cs="宋体" w:eastAsia="宋体" w:hint="default"/>
                <w:sz w:val="18"/>
                <w:szCs w:val="18"/>
              </w:rPr>
            </w:pPr>
            <w:r>
              <w:rPr>
                <w:rFonts w:ascii="宋体" w:hAnsi="宋体" w:cs="宋体" w:eastAsia="宋体" w:hint="default"/>
                <w:sz w:val="18"/>
                <w:szCs w:val="18"/>
              </w:rPr>
              <w:t>原预测披 露日期</w:t>
            </w:r>
          </w:p>
        </w:tc>
        <w:tc>
          <w:tcPr>
            <w:tcW w:w="6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714" w:hRule="exact"/>
        </w:trPr>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瑞意恒动</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2,535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2,616.69</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00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11"/>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《关于以现金方式购买北京瑞意恒动科技有限公司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股权并对其增资的 </w:t>
            </w:r>
            <w:r>
              <w:rPr>
                <w:rFonts w:ascii="宋体" w:hAnsi="宋体" w:cs="宋体" w:eastAsia="宋体" w:hint="default"/>
                <w:spacing w:val="-12"/>
                <w:sz w:val="18"/>
                <w:szCs w:val="18"/>
              </w:rPr>
              <w:t>公告》（公告编号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2016-042</w:t>
            </w:r>
            <w:r>
              <w:rPr>
                <w:rFonts w:ascii="宋体" w:hAnsi="宋体" w:cs="宋体" w:eastAsia="宋体" w:hint="default"/>
                <w:sz w:val="18"/>
                <w:szCs w:val="18"/>
              </w:rPr>
              <w:t>）披露于巨潮资讯网</w:t>
            </w:r>
            <w:r>
              <w:rPr>
                <w:rFonts w:ascii="宋体" w:hAnsi="宋体" w:cs="宋体" w:eastAsia="宋体" w:hint="default"/>
                <w:spacing w:val="-42"/>
                <w:sz w:val="18"/>
                <w:szCs w:val="18"/>
              </w:rPr>
              <w:t> </w:t>
            </w:r>
            <w:hyperlink r:id="rId13">
              <w:r>
                <w:rPr>
                  <w:rFonts w:ascii="Times New Roman" w:hAnsi="Times New Roman" w:cs="Times New Roman" w:eastAsia="Times New Roman" w:hint="default"/>
                  <w:spacing w:val="-1"/>
                  <w:w w:val="99"/>
                  <w:sz w:val="18"/>
                  <w:szCs w:val="18"/>
                </w:rPr>
                <w:t>www.cninfo.com.cn</w:t>
              </w:r>
            </w:hyperlink>
          </w:p>
        </w:tc>
      </w:tr>
      <w:tr>
        <w:trPr>
          <w:trHeight w:val="1027" w:hRule="exact"/>
        </w:trPr>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上海移通</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4,933.45</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84"/>
              <w:jc w:val="left"/>
              <w:rPr>
                <w:rFonts w:ascii="宋体" w:hAnsi="宋体" w:cs="宋体" w:eastAsia="宋体" w:hint="default"/>
                <w:sz w:val="18"/>
                <w:szCs w:val="18"/>
              </w:rPr>
            </w:pPr>
            <w:r>
              <w:rPr>
                <w:rFonts w:ascii="宋体" w:hAnsi="宋体" w:cs="宋体" w:eastAsia="宋体" w:hint="default"/>
                <w:sz w:val="18"/>
                <w:szCs w:val="18"/>
              </w:rPr>
              <w:t>上海移通存在经营风 险，大额计提资产减值 损失</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34"/>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《关于现金收购上海移通网络有限公司、上海恒瑞网络信息有限公司暨关联 </w:t>
            </w:r>
            <w:r>
              <w:rPr>
                <w:rFonts w:ascii="宋体" w:hAnsi="宋体" w:cs="宋体" w:eastAsia="宋体" w:hint="default"/>
                <w:spacing w:val="-9"/>
                <w:sz w:val="18"/>
                <w:szCs w:val="18"/>
              </w:rPr>
              <w:t>交易的公告》（公告编号</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2017-006</w:t>
            </w:r>
            <w:r>
              <w:rPr>
                <w:rFonts w:ascii="宋体" w:hAnsi="宋体" w:cs="宋体" w:eastAsia="宋体" w:hint="default"/>
                <w:sz w:val="18"/>
                <w:szCs w:val="18"/>
              </w:rPr>
              <w:t>）披露于巨潮资讯网</w:t>
            </w:r>
            <w:r>
              <w:rPr>
                <w:rFonts w:ascii="宋体" w:hAnsi="宋体" w:cs="宋体" w:eastAsia="宋体" w:hint="default"/>
                <w:spacing w:val="-40"/>
                <w:sz w:val="18"/>
                <w:szCs w:val="18"/>
              </w:rPr>
              <w:t> </w:t>
            </w:r>
            <w:hyperlink r:id="rId13">
              <w:r>
                <w:rPr>
                  <w:rFonts w:ascii="Times New Roman" w:hAnsi="Times New Roman" w:cs="Times New Roman" w:eastAsia="Times New Roman" w:hint="default"/>
                  <w:spacing w:val="-1"/>
                  <w:w w:val="99"/>
                  <w:sz w:val="18"/>
                  <w:szCs w:val="18"/>
                </w:rPr>
                <w:t>www.cninfo.com.cn</w:t>
              </w:r>
            </w:hyperlink>
          </w:p>
        </w:tc>
      </w:tr>
    </w:tbl>
    <w:p>
      <w:pPr>
        <w:pStyle w:val="BodyText"/>
        <w:spacing w:line="240" w:lineRule="auto" w:before="51"/>
        <w:ind w:left="140" w:right="0"/>
        <w:jc w:val="left"/>
      </w:pPr>
      <w:r>
        <w:rPr/>
        <w:t>公司股东、交易对手方在报告年度经营业绩做出的承诺情况</w:t>
      </w:r>
    </w:p>
    <w:p>
      <w:pPr>
        <w:pStyle w:val="BodyText"/>
        <w:spacing w:line="338" w:lineRule="auto" w:before="116"/>
        <w:ind w:left="140" w:right="63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关于交易对手方对上述标的公司就</w:t>
      </w:r>
      <w:r>
        <w:rPr>
          <w:rFonts w:ascii="Times New Roman" w:hAnsi="Times New Roman" w:cs="Times New Roman" w:eastAsia="Times New Roman" w:hint="default"/>
        </w:rPr>
        <w:t>2018</w:t>
      </w:r>
      <w:r>
        <w:rPr/>
        <w:t>年度经营业绩所做承诺详见本节</w:t>
      </w:r>
      <w:r>
        <w:rPr>
          <w:rFonts w:ascii="Times New Roman" w:hAnsi="Times New Roman" w:cs="Times New Roman" w:eastAsia="Times New Roman" w:hint="default"/>
        </w:rPr>
        <w:t>“</w:t>
      </w:r>
      <w:r>
        <w:rPr/>
        <w:t>三、承诺事项履行情况</w:t>
      </w:r>
      <w:r>
        <w:rPr>
          <w:rFonts w:ascii="Times New Roman" w:hAnsi="Times New Roman" w:cs="Times New Roman" w:eastAsia="Times New Roman" w:hint="default"/>
        </w:rPr>
        <w:t>”</w:t>
      </w:r>
      <w:r>
        <w:rPr/>
        <w:t>。</w:t>
      </w:r>
    </w:p>
    <w:p>
      <w:pPr>
        <w:spacing w:after="0" w:line="338" w:lineRule="auto"/>
        <w:jc w:val="left"/>
        <w:sectPr>
          <w:pgSz w:w="16840" w:h="11910" w:orient="landscape"/>
          <w:pgMar w:header="867" w:footer="979" w:top="1060" w:bottom="1160" w:left="1300" w:right="130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业绩承诺的完成情况及其对商誉减值测试的影响</w:t>
      </w:r>
    </w:p>
    <w:p>
      <w:pPr>
        <w:pStyle w:val="BodyText"/>
        <w:spacing w:line="302" w:lineRule="auto" w:before="115"/>
        <w:ind w:right="1122"/>
        <w:jc w:val="left"/>
      </w:pPr>
      <w:r>
        <w:rPr>
          <w:rFonts w:ascii="Times New Roman" w:hAnsi="Times New Roman" w:cs="Times New Roman" w:eastAsia="Times New Roman" w:hint="default"/>
        </w:rPr>
        <w:t>1</w:t>
      </w:r>
      <w:r>
        <w:rPr/>
        <w:t>、尽管瑞意恒动完成业绩承诺，但由于其所处行业毛利率逐年下滑以及人工费用不断增长，根据立信会计师事务所（特殊</w:t>
      </w:r>
      <w:r>
        <w:rPr>
          <w:spacing w:val="-83"/>
        </w:rPr>
        <w:t> </w:t>
      </w:r>
      <w:r>
        <w:rPr>
          <w:spacing w:val="-83"/>
        </w:rPr>
      </w:r>
      <w:r>
        <w:rPr>
          <w:spacing w:val="2"/>
        </w:rPr>
        <w:t>普通合伙）出具的减值测试专项审核报告（信会师报字</w:t>
      </w:r>
      <w:r>
        <w:rPr>
          <w:rFonts w:ascii="Times New Roman" w:hAnsi="Times New Roman" w:cs="Times New Roman" w:eastAsia="Times New Roman" w:hint="default"/>
          <w:spacing w:val="2"/>
        </w:rPr>
        <w:t>[2019]</w:t>
      </w:r>
      <w:r>
        <w:rPr>
          <w:spacing w:val="2"/>
        </w:rPr>
        <w:t>第</w:t>
      </w:r>
      <w:r>
        <w:rPr>
          <w:rFonts w:ascii="Times New Roman" w:hAnsi="Times New Roman" w:cs="Times New Roman" w:eastAsia="Times New Roman" w:hint="default"/>
          <w:spacing w:val="2"/>
        </w:rPr>
        <w:t>ZG11454</w:t>
      </w:r>
      <w:r>
        <w:rPr>
          <w:spacing w:val="2"/>
        </w:rPr>
        <w:t>号），公司因收购瑞意恒动产生的商誉发生减值</w:t>
      </w:r>
      <w:r>
        <w:rPr>
          <w:spacing w:val="-49"/>
        </w:rPr>
        <w:t> </w:t>
      </w:r>
      <w:r>
        <w:rPr>
          <w:spacing w:val="-49"/>
        </w:rPr>
      </w:r>
      <w:r>
        <w:rPr>
          <w:rFonts w:ascii="Times New Roman" w:hAnsi="Times New Roman" w:cs="Times New Roman" w:eastAsia="Times New Roman" w:hint="default"/>
        </w:rPr>
        <w:t>2,036.58</w:t>
      </w:r>
      <w:r>
        <w:rPr>
          <w:rFonts w:ascii="Times New Roman" w:hAnsi="Times New Roman" w:cs="Times New Roman" w:eastAsia="Times New Roman" w:hint="default"/>
          <w:spacing w:val="13"/>
        </w:rPr>
        <w:t> </w:t>
      </w:r>
      <w:r>
        <w:rPr>
          <w:spacing w:val="-2"/>
        </w:rPr>
        <w:t>万元。基于对瑞意恒动未来发展的信心，作为瑞意恒动董事长及总经理，交易对手方沈栋梁已与公司签订协议，愿</w:t>
      </w:r>
      <w:r>
        <w:rPr>
          <w:spacing w:val="-87"/>
        </w:rPr>
        <w:t> </w:t>
      </w:r>
      <w:r>
        <w:rPr>
          <w:spacing w:val="-87"/>
        </w:rPr>
      </w:r>
      <w:r>
        <w:rPr>
          <w:spacing w:val="-2"/>
        </w:rPr>
        <w:t>意延长一年业绩承诺期，即承诺瑞意恒动</w:t>
      </w:r>
      <w:r>
        <w:rPr>
          <w:rFonts w:ascii="Times New Roman" w:hAnsi="Times New Roman" w:cs="Times New Roman" w:eastAsia="Times New Roman" w:hint="default"/>
          <w:spacing w:val="-2"/>
        </w:rPr>
        <w:t>2019</w:t>
      </w:r>
      <w:r>
        <w:rPr>
          <w:spacing w:val="-2"/>
        </w:rPr>
        <w:t>年度净利润（指扣除非经常性损益后归属于母公司所有者的净利润与归属于母</w:t>
      </w:r>
      <w:r>
        <w:rPr>
          <w:spacing w:val="-60"/>
        </w:rPr>
        <w:t> </w:t>
      </w:r>
      <w:r>
        <w:rPr>
          <w:spacing w:val="-60"/>
        </w:rPr>
      </w:r>
      <w:r>
        <w:rPr/>
        <w:t>公司所有者的净利润孰低者）不低于</w:t>
      </w:r>
      <w:r>
        <w:rPr>
          <w:rFonts w:ascii="Times New Roman" w:hAnsi="Times New Roman" w:cs="Times New Roman" w:eastAsia="Times New Roman" w:hint="default"/>
        </w:rPr>
        <w:t>2,600</w:t>
      </w:r>
      <w:r>
        <w:rPr/>
        <w:t>万元。若</w:t>
      </w:r>
      <w:r>
        <w:rPr>
          <w:rFonts w:ascii="Times New Roman" w:hAnsi="Times New Roman" w:cs="Times New Roman" w:eastAsia="Times New Roman" w:hint="default"/>
        </w:rPr>
        <w:t>2019</w:t>
      </w:r>
      <w:r>
        <w:rPr/>
        <w:t>年瑞意恒动实现的实际净利润低于承诺净利润，则沈栋梁将以现金</w:t>
      </w:r>
      <w:r>
        <w:rPr>
          <w:spacing w:val="-46"/>
        </w:rPr>
        <w:t> </w:t>
      </w:r>
      <w:r>
        <w:rPr>
          <w:spacing w:val="-46"/>
        </w:rPr>
      </w:r>
      <w:r>
        <w:rPr/>
        <w:t>方式向公司支付净利润差额部分的补偿。 </w:t>
      </w:r>
      <w:r>
        <w:rPr>
          <w:rFonts w:ascii="Times New Roman" w:hAnsi="Times New Roman" w:cs="Times New Roman" w:eastAsia="Times New Roman" w:hint="default"/>
        </w:rPr>
        <w:t>2</w:t>
      </w:r>
      <w:r>
        <w:rPr/>
        <w:t>、基于上海移通未完成承诺业绩，以及存在的重大经营风险问题，根据立信会计师事务所（特殊普通合伙）出具的减值测 试专项审核报告（信会师报字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ZG11235</w:t>
      </w:r>
      <w:r>
        <w:rPr/>
        <w:t>号），公司因收购上海移通产生的商誉发生减值</w:t>
      </w:r>
      <w:r>
        <w:rPr>
          <w:rFonts w:ascii="Times New Roman" w:hAnsi="Times New Roman" w:cs="Times New Roman" w:eastAsia="Times New Roman" w:hint="default"/>
        </w:rPr>
        <w:t>64,766.04</w:t>
      </w:r>
      <w:r>
        <w:rPr/>
        <w:t>万元。</w:t>
      </w:r>
    </w:p>
    <w:p>
      <w:pPr>
        <w:spacing w:line="240" w:lineRule="auto" w:before="2"/>
        <w:rPr>
          <w:rFonts w:ascii="宋体" w:hAnsi="宋体" w:cs="宋体" w:eastAsia="宋体" w:hint="default"/>
          <w:sz w:val="20"/>
          <w:szCs w:val="20"/>
        </w:rPr>
      </w:pPr>
    </w:p>
    <w:p>
      <w:pPr>
        <w:pStyle w:val="Heading2"/>
        <w:spacing w:line="240" w:lineRule="auto"/>
        <w:ind w:right="0"/>
        <w:jc w:val="left"/>
        <w:rPr>
          <w:b w:val="0"/>
          <w:bCs w:val="0"/>
        </w:rPr>
      </w:pPr>
      <w:bookmarkStart w:name="四、控股股东及其关联方对上市公司的非经营性占用资金情况" w:id="70"/>
      <w:bookmarkEnd w:id="70"/>
      <w:r>
        <w:rPr>
          <w:b w:val="0"/>
          <w:bCs w:val="0"/>
        </w:rPr>
      </w: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71"/>
      <w:bookmarkEnd w:id="71"/>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319"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4"/>
        </w:rPr>
        <w:t>立信会计师事务所（特殊普通合伙）（以下简称“立信会计师事务所”）于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26</w:t>
      </w:r>
      <w:r>
        <w:rPr>
          <w:spacing w:val="-4"/>
        </w:rPr>
        <w:t>日对北京久其软件股份有限公司（以</w:t>
      </w:r>
      <w:r>
        <w:rPr>
          <w:spacing w:val="-35"/>
        </w:rPr>
        <w:t> </w:t>
      </w:r>
      <w:r>
        <w:rPr>
          <w:spacing w:val="-35"/>
        </w:rPr>
      </w:r>
      <w:r>
        <w:rPr>
          <w:spacing w:val="-3"/>
        </w:rPr>
        <w:t>下简称“公司”“久其软件”）</w:t>
      </w:r>
      <w:r>
        <w:rPr>
          <w:rFonts w:ascii="Times New Roman" w:hAnsi="Times New Roman" w:cs="Times New Roman" w:eastAsia="Times New Roman" w:hint="default"/>
          <w:spacing w:val="-3"/>
        </w:rPr>
        <w:t>2018</w:t>
      </w:r>
      <w:r>
        <w:rPr>
          <w:spacing w:val="-3"/>
        </w:rPr>
        <w:t>年度财务报告出具了保留意见的审计报告（信会师报字</w:t>
      </w:r>
      <w:r>
        <w:rPr>
          <w:rFonts w:ascii="Times New Roman" w:hAnsi="Times New Roman" w:cs="Times New Roman" w:eastAsia="Times New Roman" w:hint="default"/>
          <w:spacing w:val="-3"/>
        </w:rPr>
        <w:t>[2019]</w:t>
      </w:r>
      <w:r>
        <w:rPr>
          <w:spacing w:val="-3"/>
        </w:rPr>
        <w:t>第</w:t>
      </w:r>
      <w:r>
        <w:rPr>
          <w:rFonts w:ascii="Times New Roman" w:hAnsi="Times New Roman" w:cs="Times New Roman" w:eastAsia="Times New Roman" w:hint="default"/>
          <w:spacing w:val="-3"/>
        </w:rPr>
        <w:t>ZG11458</w:t>
      </w:r>
      <w:r>
        <w:rPr>
          <w:spacing w:val="-3"/>
        </w:rPr>
        <w:t>号）。根据《深</w:t>
      </w:r>
    </w:p>
    <w:p>
      <w:pPr>
        <w:pStyle w:val="BodyText"/>
        <w:spacing w:line="300" w:lineRule="auto"/>
        <w:ind w:right="1032"/>
        <w:jc w:val="left"/>
      </w:pPr>
      <w:r>
        <w:rPr/>
        <w:t>圳证券交易所股票上市规则》和《公开发行证券的公司信息披露编报规则第</w:t>
      </w:r>
      <w:r>
        <w:rPr>
          <w:rFonts w:ascii="Times New Roman" w:hAnsi="Times New Roman" w:cs="Times New Roman" w:eastAsia="Times New Roman" w:hint="default"/>
        </w:rPr>
        <w:t>14</w:t>
      </w:r>
      <w:r>
        <w:rPr/>
        <w:t>号——非标准审计意见及其涉及事项的处理》</w:t>
      </w:r>
      <w:r>
        <w:rPr>
          <w:spacing w:val="-84"/>
        </w:rPr>
        <w:t> </w:t>
      </w:r>
      <w:r>
        <w:rPr>
          <w:spacing w:val="-84"/>
        </w:rPr>
      </w:r>
      <w:r>
        <w:rPr/>
        <w:t>等有关规定的要求，公司董事会对该保留意见审计报告涉及事项作如下说明：</w:t>
      </w:r>
    </w:p>
    <w:p>
      <w:pPr>
        <w:pStyle w:val="BodyText"/>
        <w:spacing w:line="240" w:lineRule="auto" w:before="32"/>
        <w:ind w:right="0"/>
        <w:jc w:val="left"/>
      </w:pPr>
      <w:r>
        <w:rPr/>
        <w:t>一、保留意见涉及事项的详细情况</w:t>
      </w:r>
    </w:p>
    <w:p>
      <w:pPr>
        <w:pStyle w:val="BodyText"/>
        <w:spacing w:line="307" w:lineRule="auto" w:before="76"/>
        <w:ind w:right="0"/>
        <w:jc w:val="left"/>
      </w:pPr>
      <w:r>
        <w:rPr>
          <w:rFonts w:ascii="Times New Roman" w:hAnsi="Times New Roman" w:cs="Times New Roman" w:eastAsia="Times New Roman" w:hint="default"/>
        </w:rPr>
        <w:t>1</w:t>
      </w:r>
      <w:r>
        <w:rPr/>
        <w:t>、审计报告中形成保留意见的基础 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日，久其软件下属子公司上海移通网络有限公司（以下简称“上海移通”）考虑了如</w:t>
      </w:r>
      <w:r>
        <w:rPr>
          <w:rFonts w:ascii="Times New Roman" w:hAnsi="Times New Roman" w:cs="Times New Roman" w:eastAsia="Times New Roman" w:hint="default"/>
        </w:rPr>
        <w:t>2018</w:t>
      </w:r>
      <w:r>
        <w:rPr/>
        <w:t>年度财务报表附 注五（三）、（五）所述相关款项回收的不确定性，对中云通科技股份有限公司等两家单位的往来款项合计</w:t>
      </w:r>
      <w:r>
        <w:rPr>
          <w:rFonts w:ascii="Times New Roman" w:hAnsi="Times New Roman" w:cs="Times New Roman" w:eastAsia="Times New Roman" w:hint="default"/>
        </w:rPr>
        <w:t>3,400.00</w:t>
      </w:r>
      <w:r>
        <w:rPr/>
        <w:t>万元全</w:t>
      </w:r>
      <w:r>
        <w:rPr>
          <w:spacing w:val="-82"/>
        </w:rPr>
        <w:t> </w:t>
      </w:r>
      <w:r>
        <w:rPr/>
        <w:t>额计提了坏账准备。同时，如财务报表附注五（二十三）所披露，上海移通在其他应付款中列示了北京凌渡科技有限公司等</w:t>
      </w:r>
      <w:r>
        <w:rPr/>
        <w:t> </w:t>
      </w:r>
      <w:r>
        <w:rPr>
          <w:rFonts w:ascii="Times New Roman" w:hAnsi="Times New Roman" w:cs="Times New Roman" w:eastAsia="Times New Roman" w:hint="default"/>
        </w:rPr>
        <w:t>7</w:t>
      </w:r>
      <w:r>
        <w:rPr/>
        <w:t>家单位的往来余额合计</w:t>
      </w:r>
      <w:r>
        <w:rPr>
          <w:rFonts w:ascii="Times New Roman" w:hAnsi="Times New Roman" w:cs="Times New Roman" w:eastAsia="Times New Roman" w:hint="default"/>
        </w:rPr>
        <w:t>4,612.95</w:t>
      </w:r>
      <w:r>
        <w:rPr/>
        <w:t>万元。在审计过程中，我们无法获取充分、适当的审计证据以判断与上述单位资金往来的款 项性质及目的。因此，我们无法确定上述款项的列报是否正确，是否有必要对相应的余额及坏账准备项目做出调整。 </w:t>
      </w:r>
      <w:r>
        <w:rPr>
          <w:rFonts w:ascii="Times New Roman" w:hAnsi="Times New Roman" w:cs="Times New Roman" w:eastAsia="Times New Roman" w:hint="default"/>
        </w:rPr>
        <w:t>2</w:t>
      </w:r>
      <w:r>
        <w:rPr/>
        <w:t>、审计报告中强调事项段的内容 我们提醒财务报表使用者关注，</w:t>
      </w:r>
      <w:r>
        <w:rPr>
          <w:rFonts w:ascii="Times New Roman" w:hAnsi="Times New Roman" w:cs="Times New Roman" w:eastAsia="Times New Roman" w:hint="default"/>
        </w:rPr>
        <w:t>2018</w:t>
      </w:r>
      <w:r>
        <w:rPr/>
        <w:t>年度财务报表附注十五（其他重要事项）描述了</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月初，久其软件对下属子公司</w:t>
      </w:r>
      <w:r>
        <w:rPr>
          <w:spacing w:val="-83"/>
        </w:rPr>
        <w:t> </w:t>
      </w:r>
      <w:r>
        <w:rPr>
          <w:spacing w:val="-83"/>
        </w:rPr>
      </w:r>
      <w:r>
        <w:rPr/>
        <w:t>上海移通派驻工作小组实施子公司业务审计，发现上海移通三名员工存在伪造、私刻客户单位公章的不法行为，并于</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日向公安机关报案。截至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日，久其软件已收到上海与北京两地公安机关出具的立案通知文件，分别对久 其软件举报伪造公章一案和被合同诈骗一案立案，目前案件侦查工作正在进行中，案件情况存在不确定性。 </w:t>
      </w:r>
      <w:r>
        <w:rPr>
          <w:spacing w:val="-2"/>
        </w:rPr>
        <w:t>根据久其软件与上海移通原实际控制人签署的收购协议约定，业绩补偿承诺方应于</w:t>
      </w:r>
      <w:r>
        <w:rPr>
          <w:rFonts w:ascii="Times New Roman" w:hAnsi="Times New Roman" w:cs="Times New Roman" w:eastAsia="Times New Roman" w:hint="default"/>
          <w:spacing w:val="-2"/>
        </w:rPr>
        <w:t>2018</w:t>
      </w:r>
      <w:r>
        <w:rPr>
          <w:spacing w:val="-2"/>
        </w:rPr>
        <w:t>年度上海移通专项审计报告出具后一</w:t>
      </w:r>
      <w:r>
        <w:rPr>
          <w:spacing w:val="-60"/>
        </w:rPr>
        <w:t> </w:t>
      </w:r>
      <w:r>
        <w:rPr>
          <w:spacing w:val="-5"/>
        </w:rPr>
        <w:t>个月内向公司支付业绩补偿款。但可能受公安机关案件调查、债权债务纠纷、业绩补偿承诺方履约意愿及履约能力等的影响，</w:t>
      </w:r>
      <w:r>
        <w:rPr>
          <w:spacing w:val="-79"/>
        </w:rPr>
        <w:t> </w:t>
      </w:r>
      <w:r>
        <w:rPr>
          <w:spacing w:val="-79"/>
        </w:rPr>
      </w:r>
      <w:r>
        <w:rPr>
          <w:spacing w:val="-2"/>
        </w:rPr>
        <w:t>可能存在久其软件主张的业绩补偿款不能按期足额获得业绩对赌补偿款的风险，上述事项对财务报表相关确认存在不确定性。</w:t>
      </w:r>
      <w:r>
        <w:rPr>
          <w:spacing w:val="-62"/>
        </w:rPr>
        <w:t> </w:t>
      </w:r>
      <w:r>
        <w:rPr>
          <w:spacing w:val="-62"/>
        </w:rPr>
      </w:r>
      <w:r>
        <w:rPr/>
        <w:t>本段内容不影响已发表的审计意见。</w:t>
      </w:r>
    </w:p>
    <w:p>
      <w:pPr>
        <w:pStyle w:val="BodyText"/>
        <w:spacing w:line="304" w:lineRule="auto" w:before="26"/>
        <w:ind w:right="1042"/>
        <w:jc w:val="left"/>
      </w:pPr>
      <w:r>
        <w:rPr>
          <w:rFonts w:ascii="Times New Roman" w:hAnsi="Times New Roman" w:cs="Times New Roman" w:eastAsia="Times New Roman" w:hint="default"/>
        </w:rPr>
        <w:t>3</w:t>
      </w:r>
      <w:r>
        <w:rPr/>
        <w:t>、保留意见的理由和依据 </w:t>
      </w:r>
      <w:r>
        <w:rPr>
          <w:spacing w:val="-2"/>
        </w:rPr>
        <w:t>如上述“审计报告中形成保留意见的基础”及“审计报告中强调事项段的内容”部分所述，我们无法就这些事项涉及的</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17"/>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日久其软件的预付账款、其他应收款、其他应付款、资产减值损失账面价值等获取充分、适当的审计证据。同时，</w:t>
      </w:r>
      <w:r>
        <w:rPr>
          <w:spacing w:val="-85"/>
        </w:rPr>
        <w:t> </w:t>
      </w:r>
      <w:r>
        <w:rPr>
          <w:spacing w:val="-85"/>
        </w:rPr>
      </w:r>
      <w:r>
        <w:rPr/>
        <w:t>我们无法确定与该事项相关的其他信息是否存在重大错报。因此，我们依据《中国注册会计师审计准则第</w:t>
      </w:r>
      <w:r>
        <w:rPr>
          <w:rFonts w:ascii="Times New Roman" w:hAnsi="Times New Roman" w:cs="Times New Roman" w:eastAsia="Times New Roman" w:hint="default"/>
        </w:rPr>
        <w:t>1502</w:t>
      </w:r>
      <w:r>
        <w:rPr/>
        <w:t>号</w:t>
      </w:r>
      <w:r>
        <w:rPr>
          <w:rFonts w:ascii="Times New Roman" w:hAnsi="Times New Roman" w:cs="Times New Roman" w:eastAsia="Times New Roman" w:hint="default"/>
        </w:rPr>
        <w:t>-</w:t>
      </w:r>
      <w:r>
        <w:rPr/>
        <w:t>在审计报</w:t>
      </w:r>
      <w:r>
        <w:rPr>
          <w:spacing w:val="-52"/>
        </w:rPr>
        <w:t> </w:t>
      </w:r>
      <w:r>
        <w:rPr>
          <w:spacing w:val="-52"/>
        </w:rPr>
      </w:r>
      <w:r>
        <w:rPr/>
        <w:t>告中发表非无保留意见》的规定，在审计报告中发表了保留加强调事项段意见。 二、保留意见及强调事项对报告期公司财务报表的影响金额</w:t>
      </w:r>
    </w:p>
    <w:p>
      <w:pPr>
        <w:spacing w:after="0" w:line="304" w:lineRule="auto"/>
        <w:jc w:val="left"/>
        <w:sectPr>
          <w:headerReference w:type="default" r:id="rId21"/>
          <w:footerReference w:type="default" r:id="rId22"/>
          <w:pgSz w:w="11910" w:h="16840"/>
          <w:pgMar w:header="877" w:footer="979" w:top="1100" w:bottom="1160" w:left="980" w:right="0"/>
          <w:pgNumType w:start="49"/>
        </w:sectPr>
      </w:pPr>
    </w:p>
    <w:p>
      <w:pPr>
        <w:spacing w:line="240" w:lineRule="auto" w:before="12"/>
        <w:rPr>
          <w:rFonts w:ascii="宋体" w:hAnsi="宋体" w:cs="宋体" w:eastAsia="宋体" w:hint="default"/>
          <w:sz w:val="21"/>
          <w:szCs w:val="21"/>
        </w:rPr>
      </w:pPr>
    </w:p>
    <w:p>
      <w:pPr>
        <w:pStyle w:val="BodyText"/>
        <w:spacing w:line="316" w:lineRule="auto" w:before="44"/>
        <w:ind w:right="0"/>
        <w:jc w:val="left"/>
      </w:pPr>
      <w:r>
        <w:rPr>
          <w:spacing w:val="-2"/>
        </w:rPr>
        <w:t>因客观原因导致审计范围受限制，我们无法确定保留意见涉及事项对久其软件报告期财务状况可能产生的影响。保留意见中</w:t>
      </w:r>
      <w:r>
        <w:rPr>
          <w:spacing w:val="-64"/>
        </w:rPr>
        <w:t> </w:t>
      </w:r>
      <w:r>
        <w:rPr>
          <w:spacing w:val="-64"/>
        </w:rPr>
      </w:r>
      <w:r>
        <w:rPr/>
        <w:t>涉及事项不存在明显违反会计准则、制度及相关信息披露规范的情形。</w:t>
      </w:r>
    </w:p>
    <w:p>
      <w:pPr>
        <w:pStyle w:val="BodyText"/>
        <w:spacing w:line="312" w:lineRule="auto" w:before="19"/>
        <w:ind w:right="0"/>
        <w:jc w:val="left"/>
      </w:pPr>
      <w:r>
        <w:rPr/>
        <w:t>三、董事会意见 </w:t>
      </w:r>
      <w:r>
        <w:rPr>
          <w:spacing w:val="-2"/>
        </w:rPr>
        <w:t>立信会计师事务所依据相关情况，本着严格、谨慎的原则，对上述事项出具保留意见，符合《企业会计准则》等相关法律法</w:t>
      </w:r>
      <w:r>
        <w:rPr>
          <w:spacing w:val="-68"/>
        </w:rPr>
        <w:t> </w:t>
      </w:r>
      <w:r>
        <w:rPr>
          <w:spacing w:val="-68"/>
        </w:rPr>
      </w:r>
      <w:r>
        <w:rPr>
          <w:spacing w:val="-2"/>
        </w:rPr>
        <w:t>规，除此之外，公司财务报表在所有重大方面按照《企业会计准则》的规定编制，公允反映了公司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w:t>
      </w:r>
      <w:r>
        <w:rPr>
          <w:spacing w:val="-57"/>
        </w:rPr>
        <w:t> </w:t>
      </w:r>
      <w:r>
        <w:rPr/>
        <w:t>母公司财务状况以及</w:t>
      </w:r>
      <w:r>
        <w:rPr>
          <w:rFonts w:ascii="Times New Roman" w:hAnsi="Times New Roman" w:cs="Times New Roman" w:eastAsia="Times New Roman" w:hint="default"/>
        </w:rPr>
        <w:t>2018</w:t>
      </w:r>
      <w:r>
        <w:rPr/>
        <w:t>年度的合并及母公司经营成果和现金流量。</w:t>
      </w:r>
    </w:p>
    <w:p>
      <w:pPr>
        <w:pStyle w:val="BodyText"/>
        <w:spacing w:line="312" w:lineRule="auto" w:before="3"/>
        <w:ind w:right="0"/>
        <w:jc w:val="left"/>
      </w:pPr>
      <w:r>
        <w:rPr/>
        <w:t>四、独立董事意见 </w:t>
      </w:r>
      <w:r>
        <w:rPr>
          <w:spacing w:val="-2"/>
        </w:rPr>
        <w:t>经过与董事会和年审会计师充分沟通，独立董事认为：立信会计师事务所（特殊普通合伙）依据相关情况，本着严格、谨慎</w:t>
      </w:r>
      <w:r>
        <w:rPr>
          <w:spacing w:val="-68"/>
        </w:rPr>
        <w:t> </w:t>
      </w:r>
      <w:r>
        <w:rPr>
          <w:spacing w:val="-68"/>
        </w:rPr>
      </w:r>
      <w:r>
        <w:rPr>
          <w:spacing w:val="-2"/>
        </w:rPr>
        <w:t>的原则，对公司</w:t>
      </w:r>
      <w:r>
        <w:rPr>
          <w:rFonts w:ascii="Times New Roman" w:hAnsi="Times New Roman" w:cs="Times New Roman" w:eastAsia="Times New Roman" w:hint="default"/>
          <w:spacing w:val="-2"/>
        </w:rPr>
        <w:t>2018</w:t>
      </w:r>
      <w:r>
        <w:rPr>
          <w:spacing w:val="-2"/>
        </w:rPr>
        <w:t>年度财务报告出具保留意见的审计报告，符合《企业会计准则》等相关法律法规，除此之外，公司财务</w:t>
      </w:r>
      <w:r>
        <w:rPr>
          <w:spacing w:val="-64"/>
        </w:rPr>
        <w:t> </w:t>
      </w:r>
      <w:r>
        <w:rPr>
          <w:spacing w:val="-64"/>
        </w:rPr>
      </w:r>
      <w:r>
        <w:rPr>
          <w:spacing w:val="-2"/>
        </w:rPr>
        <w:t>报表在所有重大方面按照企业会计准则的规定编制，公允反映了公司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日的合并及母公司财务状况以及</w:t>
      </w:r>
      <w:r>
        <w:rPr>
          <w:rFonts w:ascii="Times New Roman" w:hAnsi="Times New Roman" w:cs="Times New Roman" w:eastAsia="Times New Roman" w:hint="default"/>
          <w:spacing w:val="-2"/>
        </w:rPr>
        <w:t>2018</w:t>
      </w:r>
      <w:r>
        <w:rPr>
          <w:spacing w:val="-2"/>
        </w:rPr>
        <w:t>年度</w:t>
      </w:r>
      <w:r>
        <w:rPr>
          <w:spacing w:val="-52"/>
        </w:rPr>
        <w:t> </w:t>
      </w:r>
      <w:r>
        <w:rPr>
          <w:spacing w:val="-2"/>
        </w:rPr>
        <w:t>的合并及母公司经营成果和现金流量。公司董事会对审计意见所涉及事项的说明客观、真实，符合公司的实际情况，我们同</w:t>
      </w:r>
      <w:r>
        <w:rPr>
          <w:spacing w:val="-66"/>
        </w:rPr>
        <w:t> </w:t>
      </w:r>
      <w:r>
        <w:rPr>
          <w:spacing w:val="-66"/>
        </w:rPr>
      </w:r>
      <w:r>
        <w:rPr/>
        <w:t>意公司董事会《关于公司</w:t>
      </w:r>
      <w:r>
        <w:rPr>
          <w:rFonts w:ascii="Times New Roman" w:hAnsi="Times New Roman" w:cs="Times New Roman" w:eastAsia="Times New Roman" w:hint="default"/>
        </w:rPr>
        <w:t>2018</w:t>
      </w:r>
      <w:r>
        <w:rPr/>
        <w:t>年度保留意见审计报告涉及事项的专项说明》。</w:t>
      </w:r>
    </w:p>
    <w:p>
      <w:pPr>
        <w:pStyle w:val="BodyText"/>
        <w:spacing w:line="307" w:lineRule="auto" w:before="3"/>
        <w:ind w:right="1122"/>
        <w:jc w:val="left"/>
      </w:pPr>
      <w:r>
        <w:rPr/>
        <w:t>五、监事会意见 </w:t>
      </w:r>
      <w:r>
        <w:rPr>
          <w:spacing w:val="-2"/>
        </w:rPr>
        <w:t>监事会对《董事会关于公司</w:t>
      </w:r>
      <w:r>
        <w:rPr>
          <w:rFonts w:ascii="Times New Roman" w:hAnsi="Times New Roman" w:cs="Times New Roman" w:eastAsia="Times New Roman" w:hint="default"/>
          <w:spacing w:val="-2"/>
        </w:rPr>
        <w:t>2018</w:t>
      </w:r>
      <w:r>
        <w:rPr>
          <w:spacing w:val="-2"/>
        </w:rPr>
        <w:t>年度保留意见审计报告涉及事项的专项说明》发表了审核意见，认为：公司董事会对保留意</w:t>
      </w:r>
      <w:r>
        <w:rPr>
          <w:spacing w:val="-62"/>
        </w:rPr>
        <w:t> </w:t>
      </w:r>
      <w:r>
        <w:rPr>
          <w:spacing w:val="-62"/>
        </w:rPr>
      </w:r>
      <w:r>
        <w:rPr>
          <w:spacing w:val="-2"/>
        </w:rPr>
        <w:t>见审计报告所涉及事项所做出的专项说明符合中国证监会、深圳证券交易所相关规定的要求，客观反映了公司截至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12"/>
        </w:rPr>
        <w:t> </w:t>
      </w:r>
      <w:r>
        <w:rPr>
          <w:spacing w:val="-2"/>
        </w:rPr>
        <w:t>月</w:t>
      </w:r>
      <w:r>
        <w:rPr>
          <w:rFonts w:ascii="Times New Roman" w:hAnsi="Times New Roman" w:cs="Times New Roman" w:eastAsia="Times New Roman" w:hint="default"/>
          <w:spacing w:val="-2"/>
        </w:rPr>
        <w:t>31</w:t>
      </w:r>
      <w:r>
        <w:rPr>
          <w:spacing w:val="-2"/>
        </w:rPr>
        <w:t>日的财务状况和经营成果，我们对此表示认可。监事会将全力支持公司董事会和管理层采取切实有效的措施，尽快化解</w:t>
      </w:r>
      <w:r>
        <w:rPr>
          <w:spacing w:val="-64"/>
        </w:rPr>
        <w:t> </w:t>
      </w:r>
      <w:r>
        <w:rPr>
          <w:spacing w:val="-64"/>
        </w:rPr>
      </w:r>
      <w:r>
        <w:rPr/>
        <w:t>本次审计报告保留意见涉及事项，并督促董事会和经营层不断提升规范运作水平，切实维护公司及全体股东利益。 六、公司消除该事项及其影响的具体措施、预期消除影响的可能性及时间 </w:t>
      </w:r>
      <w:r>
        <w:rPr>
          <w:rFonts w:ascii="Times New Roman" w:hAnsi="Times New Roman" w:cs="Times New Roman" w:eastAsia="Times New Roman" w:hint="default"/>
        </w:rPr>
        <w:t>1</w:t>
      </w:r>
      <w:r>
        <w:rPr/>
        <w:t>、公司已采取法律手段维护自身合法权益，截至本公告披露之日，公司已收到公安机关立案通知书，具体详见公司于</w:t>
      </w:r>
      <w:r>
        <w:rPr>
          <w:rFonts w:ascii="Times New Roman" w:hAnsi="Times New Roman" w:cs="Times New Roman" w:eastAsia="Times New Roman" w:hint="default"/>
        </w:rPr>
        <w:t>2019</w:t>
      </w:r>
      <w:r>
        <w:rPr>
          <w:rFonts w:ascii="Times New Roman" w:hAnsi="Times New Roman" w:cs="Times New Roman" w:eastAsia="Times New Roman" w:hint="default"/>
          <w:spacing w:val="-37"/>
        </w:rPr>
        <w:t>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日发布的《关于收到公安机关立案通知的公告》，目前案件相关调查工作尚在推进过程中，公司将继续积极配合有</w:t>
      </w:r>
      <w:r>
        <w:rPr>
          <w:spacing w:val="-83"/>
        </w:rPr>
        <w:t> </w:t>
      </w:r>
      <w:r>
        <w:rPr>
          <w:spacing w:val="-83"/>
        </w:rPr>
      </w:r>
      <w:r>
        <w:rPr/>
        <w:t>关部门的调查。 </w:t>
      </w:r>
      <w:r>
        <w:rPr>
          <w:rFonts w:ascii="Times New Roman" w:hAnsi="Times New Roman" w:cs="Times New Roman" w:eastAsia="Times New Roman" w:hint="default"/>
        </w:rPr>
        <w:t>2</w:t>
      </w:r>
      <w:r>
        <w:rPr/>
        <w:t>、公司董事会和管理层将进一步提升规范运作水平，强化内部管理与风险控制，加强对被投资主体的有效管理与监督。</w:t>
      </w:r>
    </w:p>
    <w:p>
      <w:pPr>
        <w:pStyle w:val="BodyText"/>
        <w:spacing w:line="307" w:lineRule="auto" w:before="7"/>
        <w:ind w:right="1122"/>
        <w:jc w:val="left"/>
      </w:pPr>
      <w:r>
        <w:rPr>
          <w:rFonts w:ascii="Times New Roman" w:hAnsi="Times New Roman" w:cs="Times New Roman" w:eastAsia="Times New Roman" w:hint="default"/>
        </w:rPr>
        <w:t>3</w:t>
      </w:r>
      <w:r>
        <w:rPr/>
        <w:t>、公司已着手对上海移通的治理架构进行调整优化，委派执行董事并更换法定代表人，同时派驻管理和技术人员，进行员</w:t>
      </w:r>
      <w:r>
        <w:rPr>
          <w:spacing w:val="-83"/>
        </w:rPr>
        <w:t> </w:t>
      </w:r>
      <w:r>
        <w:rPr>
          <w:spacing w:val="-83"/>
        </w:rPr>
      </w:r>
      <w:r>
        <w:rPr>
          <w:spacing w:val="-2"/>
        </w:rPr>
        <w:t>工安抚、客户及供应商拜访等工作，努力推进上海移通运维体系和经营的正常运转。此外，公司已对上海移通的资金和资产</w:t>
      </w:r>
      <w:r>
        <w:rPr>
          <w:spacing w:val="-66"/>
        </w:rPr>
        <w:t> </w:t>
      </w:r>
      <w:r>
        <w:rPr>
          <w:spacing w:val="-66"/>
        </w:rPr>
      </w:r>
      <w:r>
        <w:rPr/>
        <w:t>实施有效控制，以防进一步损失。 </w:t>
      </w:r>
      <w:r>
        <w:rPr>
          <w:rFonts w:ascii="Times New Roman" w:hAnsi="Times New Roman" w:cs="Times New Roman" w:eastAsia="Times New Roman" w:hint="default"/>
        </w:rPr>
        <w:t>4</w:t>
      </w:r>
      <w:r>
        <w:rPr/>
        <w:t>、考虑到解决上海移通问题的复杂性，以及可能需要较长的时间周期，公司或将择机采取合法方式处置上海移通股权。并</w:t>
      </w:r>
      <w:r>
        <w:rPr>
          <w:spacing w:val="-83"/>
        </w:rPr>
        <w:t> </w:t>
      </w:r>
      <w:r>
        <w:rPr>
          <w:spacing w:val="-83"/>
        </w:rPr>
      </w:r>
      <w:r>
        <w:rPr>
          <w:spacing w:val="-2"/>
        </w:rPr>
        <w:t>且后期根据司法判定结果，若在相关司法判决生效后</w:t>
      </w:r>
      <w:r>
        <w:rPr>
          <w:rFonts w:ascii="Times New Roman" w:hAnsi="Times New Roman" w:cs="Times New Roman" w:eastAsia="Times New Roman" w:hint="default"/>
          <w:spacing w:val="-2"/>
        </w:rPr>
        <w:t>12</w:t>
      </w:r>
      <w:r>
        <w:rPr>
          <w:spacing w:val="-2"/>
        </w:rPr>
        <w:t>个月内，上海移通的原股东仍无法足额赔偿久其软件之损失的，久其</w:t>
      </w:r>
      <w:r>
        <w:rPr>
          <w:spacing w:val="-64"/>
        </w:rPr>
        <w:t> </w:t>
      </w:r>
      <w:r>
        <w:rPr>
          <w:spacing w:val="-64"/>
        </w:rPr>
      </w:r>
      <w:r>
        <w:rPr/>
        <w:t>科投愿意补偿久其软件，补偿金额为</w:t>
      </w:r>
      <w:r>
        <w:rPr>
          <w:rFonts w:ascii="Times New Roman" w:hAnsi="Times New Roman" w:cs="Times New Roman" w:eastAsia="Times New Roman" w:hint="default"/>
        </w:rPr>
        <w:t>49%</w:t>
      </w:r>
      <w:r>
        <w:rPr/>
        <w:t>股权的交易对价</w:t>
      </w:r>
      <w:r>
        <w:rPr>
          <w:rFonts w:ascii="Times New Roman" w:hAnsi="Times New Roman" w:cs="Times New Roman" w:eastAsia="Times New Roman" w:hint="default"/>
        </w:rPr>
        <w:t>8</w:t>
      </w:r>
      <w:r>
        <w:rPr/>
        <w:t>亿元减去久其软件已实际获得的对应</w:t>
      </w:r>
      <w:r>
        <w:rPr>
          <w:rFonts w:ascii="Times New Roman" w:hAnsi="Times New Roman" w:cs="Times New Roman" w:eastAsia="Times New Roman" w:hint="default"/>
        </w:rPr>
        <w:t>49%</w:t>
      </w:r>
      <w:r>
        <w:rPr/>
        <w:t>股权部分的赔偿金（包</w:t>
      </w:r>
      <w:r>
        <w:rPr>
          <w:spacing w:val="-28"/>
        </w:rPr>
        <w:t> </w:t>
      </w:r>
      <w:r>
        <w:rPr>
          <w:spacing w:val="-28"/>
        </w:rPr>
      </w:r>
      <w:r>
        <w:rPr/>
        <w:t>含但不限于退还的股权款、追偿的其他损失等），以减少对上市公司的不利影响。 </w:t>
      </w:r>
      <w:r>
        <w:rPr>
          <w:rFonts w:ascii="Times New Roman" w:hAnsi="Times New Roman" w:cs="Times New Roman" w:eastAsia="Times New Roman" w:hint="default"/>
        </w:rPr>
        <w:t>5</w:t>
      </w:r>
      <w:r>
        <w:rPr/>
        <w:t>、公司将根据有关事件进展情况，按照交易所的相关规定，及时履行信息披露义务。</w:t>
      </w:r>
    </w:p>
    <w:p>
      <w:pPr>
        <w:spacing w:line="240" w:lineRule="auto" w:before="11"/>
        <w:rPr>
          <w:rFonts w:ascii="宋体" w:hAnsi="宋体" w:cs="宋体" w:eastAsia="宋体" w:hint="default"/>
          <w:sz w:val="19"/>
          <w:szCs w:val="19"/>
        </w:rPr>
      </w:pPr>
    </w:p>
    <w:p>
      <w:pPr>
        <w:pStyle w:val="Heading2"/>
        <w:spacing w:line="240" w:lineRule="auto"/>
        <w:ind w:right="0"/>
        <w:jc w:val="left"/>
        <w:rPr>
          <w:b w:val="0"/>
          <w:bCs w:val="0"/>
        </w:rPr>
      </w:pPr>
      <w:bookmarkStart w:name="六、与上年度财务报告相比，会计政策、会计估计和核算方法发生变化的情况说明" w:id="72"/>
      <w:bookmarkEnd w:id="72"/>
      <w:r>
        <w:rPr>
          <w:b w:val="0"/>
          <w:bCs w:val="0"/>
        </w:rPr>
      </w:r>
      <w:r>
        <w:rPr/>
        <w:t>六、与上年度财务报告相比，会计政策、会计估计和核算方法发生变化的情况说明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rPr>
          <w:rFonts w:ascii="Times New Roman" w:hAnsi="Times New Roman" w:cs="Times New Roman" w:eastAsia="Times New Roman" w:hint="default"/>
        </w:rPr>
      </w:pPr>
      <w:r>
        <w:rPr/>
        <w:t>详见</w:t>
      </w:r>
      <w:r>
        <w:rPr>
          <w:rFonts w:ascii="Times New Roman" w:hAnsi="Times New Roman" w:cs="Times New Roman" w:eastAsia="Times New Roman" w:hint="default"/>
        </w:rPr>
        <w:t>“</w:t>
      </w:r>
      <w:r>
        <w:rPr/>
        <w:t>第十一节财务报表 五、重要会计政策及会计估计</w:t>
      </w:r>
      <w:r>
        <w:rPr>
          <w:spacing w:val="-38"/>
        </w:rPr>
        <w:t> </w:t>
      </w:r>
      <w:r>
        <w:rPr>
          <w:rFonts w:ascii="Times New Roman" w:hAnsi="Times New Roman" w:cs="Times New Roman" w:eastAsia="Times New Roman" w:hint="default"/>
        </w:rPr>
        <w:t>31</w:t>
      </w:r>
      <w:r>
        <w:rPr/>
        <w:t>、重要会计政策和会计估计变更</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8"/>
          <w:szCs w:val="18"/>
        </w:rPr>
      </w:pPr>
    </w:p>
    <w:p>
      <w:pPr>
        <w:pStyle w:val="Heading2"/>
        <w:spacing w:line="240" w:lineRule="auto" w:before="108"/>
        <w:ind w:right="0"/>
        <w:jc w:val="left"/>
        <w:rPr>
          <w:b w:val="0"/>
          <w:bCs w:val="0"/>
        </w:rPr>
      </w:pPr>
      <w:bookmarkStart w:name="七、报告期内发生重大会计差错更正需追溯重述的情况说明" w:id="73"/>
      <w:bookmarkEnd w:id="73"/>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与上年度财务报告相比，合并报表范围发生变化的情况说明" w:id="74"/>
      <w:bookmarkEnd w:id="74"/>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0" w:lineRule="auto" w:before="44"/>
        <w:ind w:right="1129"/>
        <w:jc w:val="both"/>
      </w:pPr>
      <w:r>
        <w:rPr>
          <w:spacing w:val="-2"/>
        </w:rPr>
        <w:t>为积极响应</w:t>
      </w:r>
      <w:r>
        <w:rPr>
          <w:rFonts w:ascii="Times New Roman" w:hAnsi="Times New Roman" w:cs="Times New Roman" w:eastAsia="Times New Roman" w:hint="default"/>
          <w:spacing w:val="-2"/>
        </w:rPr>
        <w:t>“</w:t>
      </w:r>
      <w:r>
        <w:rPr>
          <w:spacing w:val="-2"/>
        </w:rPr>
        <w:t>数字雄安</w:t>
      </w:r>
      <w:r>
        <w:rPr>
          <w:rFonts w:ascii="Times New Roman" w:hAnsi="Times New Roman" w:cs="Times New Roman" w:eastAsia="Times New Roman" w:hint="default"/>
          <w:spacing w:val="-2"/>
        </w:rPr>
        <w:t>”</w:t>
      </w:r>
      <w:r>
        <w:rPr>
          <w:spacing w:val="-2"/>
        </w:rPr>
        <w:t>的发展需求，充分发挥公司在电子政务及大数据等方面的优势，经公司第六届董事会第二十四次（临</w:t>
      </w:r>
      <w:r>
        <w:rPr>
          <w:spacing w:val="-42"/>
        </w:rPr>
        <w:t> </w:t>
      </w:r>
      <w:r>
        <w:rPr>
          <w:spacing w:val="-42"/>
        </w:rPr>
      </w:r>
      <w:r>
        <w:rPr>
          <w:spacing w:val="-1"/>
        </w:rPr>
        <w:t>时）会议审议通过，公司在雄安新区投资</w:t>
      </w:r>
      <w:r>
        <w:rPr>
          <w:rFonts w:ascii="Times New Roman" w:hAnsi="Times New Roman" w:cs="Times New Roman" w:eastAsia="Times New Roman" w:hint="default"/>
          <w:spacing w:val="-1"/>
        </w:rPr>
        <w:t>5,000</w:t>
      </w:r>
      <w:r>
        <w:rPr>
          <w:spacing w:val="-1"/>
        </w:rPr>
        <w:t>万元人民币设立全资子公司雄安久其。该新公司已于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11</w:t>
      </w:r>
      <w:r>
        <w:rPr>
          <w:spacing w:val="-1"/>
        </w:rPr>
        <w:t>日办理完成</w:t>
      </w:r>
      <w:r>
        <w:rPr>
          <w:spacing w:val="-71"/>
        </w:rPr>
        <w:t> </w:t>
      </w:r>
      <w:r>
        <w:rPr>
          <w:spacing w:val="-2"/>
        </w:rPr>
        <w:t>工商设立登记手续，具体情况详见公司于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18</w:t>
      </w:r>
      <w:r>
        <w:rPr>
          <w:spacing w:val="-2"/>
        </w:rPr>
        <w:t>日和</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15</w:t>
      </w:r>
      <w:r>
        <w:rPr>
          <w:spacing w:val="-2"/>
        </w:rPr>
        <w:t>日在巨潮资讯网（</w:t>
      </w:r>
      <w:hyperlink r:id="rId13">
        <w:r>
          <w:rPr>
            <w:rFonts w:ascii="Times New Roman" w:hAnsi="Times New Roman" w:cs="Times New Roman" w:eastAsia="Times New Roman" w:hint="default"/>
            <w:spacing w:val="-2"/>
          </w:rPr>
          <w:t>www.cninfo.com.cn</w:t>
        </w:r>
      </w:hyperlink>
      <w:r>
        <w:rPr>
          <w:spacing w:val="-2"/>
        </w:rPr>
        <w:t>）上披露的相关公告。</w:t>
      </w:r>
    </w:p>
    <w:p>
      <w:pPr>
        <w:spacing w:line="240" w:lineRule="auto" w:before="11"/>
        <w:rPr>
          <w:rFonts w:ascii="宋体" w:hAnsi="宋体" w:cs="宋体" w:eastAsia="宋体" w:hint="default"/>
          <w:sz w:val="24"/>
          <w:szCs w:val="24"/>
        </w:rPr>
      </w:pPr>
    </w:p>
    <w:p>
      <w:pPr>
        <w:pStyle w:val="BodyText"/>
        <w:spacing w:line="312" w:lineRule="auto"/>
        <w:ind w:right="1131"/>
        <w:jc w:val="both"/>
      </w:pPr>
      <w:r>
        <w:rPr>
          <w:spacing w:val="-2"/>
        </w:rPr>
        <w:t>为充分提高运营效率，公司于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23</w:t>
      </w:r>
      <w:r>
        <w:rPr>
          <w:spacing w:val="-2"/>
        </w:rPr>
        <w:t>日召开的第六届董事会第三十一次会议审议通过了关于清算注销控股子公司北京</w:t>
      </w:r>
      <w:r>
        <w:rPr>
          <w:spacing w:val="-56"/>
        </w:rPr>
        <w:t> </w:t>
      </w:r>
      <w:r>
        <w:rPr>
          <w:spacing w:val="-2"/>
        </w:rPr>
        <w:t>久其龙信数据科技有限公司的议案，本次清算注销完成后，该控股子公司将不再纳入公司的合并报表范围。本次清算注销控</w:t>
      </w:r>
      <w:r>
        <w:rPr>
          <w:spacing w:val="-66"/>
        </w:rPr>
        <w:t> </w:t>
      </w:r>
      <w:r>
        <w:rPr>
          <w:spacing w:val="-66"/>
        </w:rPr>
      </w:r>
      <w:r>
        <w:rPr>
          <w:spacing w:val="-2"/>
        </w:rPr>
        <w:t>股子公司事项对公司当期损益的影响较小，对公司整体业务发展和生产经营不会产生重大影响。截至报告期末，相关工商注</w:t>
      </w:r>
      <w:r>
        <w:rPr>
          <w:spacing w:val="-66"/>
        </w:rPr>
        <w:t> </w:t>
      </w:r>
      <w:r>
        <w:rPr>
          <w:spacing w:val="-66"/>
        </w:rPr>
      </w:r>
      <w:r>
        <w:rPr/>
        <w:t>销手续已办理完成。</w:t>
      </w:r>
    </w:p>
    <w:p>
      <w:pPr>
        <w:spacing w:line="240" w:lineRule="auto" w:before="0"/>
        <w:rPr>
          <w:rFonts w:ascii="宋体" w:hAnsi="宋体" w:cs="宋体" w:eastAsia="宋体" w:hint="default"/>
          <w:sz w:val="21"/>
          <w:szCs w:val="21"/>
        </w:rPr>
      </w:pPr>
    </w:p>
    <w:p>
      <w:pPr>
        <w:pStyle w:val="Heading2"/>
        <w:spacing w:line="240" w:lineRule="auto"/>
        <w:ind w:right="0"/>
        <w:jc w:val="both"/>
        <w:rPr>
          <w:b w:val="0"/>
          <w:bCs w:val="0"/>
        </w:rPr>
      </w:pPr>
      <w:bookmarkStart w:name="九、聘任、解聘会计师事务所情况" w:id="75"/>
      <w:bookmarkEnd w:id="75"/>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梁谦海、胡碟</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 </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bl>
    <w:p>
      <w:pPr>
        <w:pStyle w:val="BodyText"/>
        <w:spacing w:line="240" w:lineRule="auto" w:before="51"/>
        <w:ind w:right="0"/>
        <w:jc w:val="left"/>
      </w:pPr>
      <w:r>
        <w:rPr/>
        <w:t>当期是否改聘会计师事务所</w:t>
      </w:r>
    </w:p>
    <w:p>
      <w:pPr>
        <w:pStyle w:val="BodyText"/>
        <w:spacing w:line="340" w:lineRule="auto" w:before="116"/>
        <w:ind w:right="62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年度报告披露后面临暂停上市和终止上市情况" w:id="76"/>
      <w:bookmarkEnd w:id="76"/>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7"/>
      <w:bookmarkEnd w:id="77"/>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8"/>
      <w:bookmarkEnd w:id="78"/>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三、处罚及整改情况" w:id="79"/>
      <w:bookmarkEnd w:id="79"/>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after="0" w:line="338" w:lineRule="auto"/>
        <w:jc w:val="left"/>
        <w:sectPr>
          <w:pgSz w:w="11910" w:h="16840"/>
          <w:pgMar w:header="877"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right="0"/>
        <w:jc w:val="both"/>
        <w:rPr>
          <w:b w:val="0"/>
          <w:bCs w:val="0"/>
        </w:rPr>
      </w:pPr>
      <w:bookmarkStart w:name="十四、公司及其控股股东、实际控制人的诚信状况" w:id="80"/>
      <w:bookmarkEnd w:id="80"/>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both"/>
        <w:rPr>
          <w:b w:val="0"/>
          <w:bCs w:val="0"/>
        </w:rPr>
      </w:pPr>
      <w:bookmarkStart w:name="十五、公司股权激励计划、员工持股计划或其他员工激励措施的实施情况" w:id="81"/>
      <w:bookmarkEnd w:id="81"/>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日召开的</w:t>
      </w:r>
      <w:r>
        <w:rPr>
          <w:rFonts w:ascii="Times New Roman" w:hAnsi="Times New Roman" w:cs="Times New Roman" w:eastAsia="Times New Roman" w:hint="default"/>
        </w:rPr>
        <w:t>2017</w:t>
      </w:r>
      <w:r>
        <w:rPr/>
        <w:t>年度股东大会审议通过了《关于回购注销部分激励对象已获授但尚未解锁的限制性股票的</w:t>
      </w:r>
      <w:r>
        <w:rPr>
          <w:spacing w:val="-83"/>
        </w:rPr>
        <w:t> </w:t>
      </w:r>
      <w:r>
        <w:rPr>
          <w:spacing w:val="-83"/>
        </w:rPr>
      </w:r>
      <w:r>
        <w:rPr/>
        <w:t>议案》，同意对因离职、个人股权激励考核指标未达标的</w:t>
      </w:r>
      <w:r>
        <w:rPr>
          <w:rFonts w:ascii="Times New Roman" w:hAnsi="Times New Roman" w:cs="Times New Roman" w:eastAsia="Times New Roman" w:hint="default"/>
        </w:rPr>
        <w:t>10</w:t>
      </w:r>
      <w:r>
        <w:rPr/>
        <w:t>名激励对象持有的共计</w:t>
      </w:r>
      <w:r>
        <w:rPr>
          <w:rFonts w:ascii="Times New Roman" w:hAnsi="Times New Roman" w:cs="Times New Roman" w:eastAsia="Times New Roman" w:hint="default"/>
        </w:rPr>
        <w:t>116,000</w:t>
      </w:r>
      <w:r>
        <w:rPr/>
        <w:t>股限制性股票进行回购注销，回</w:t>
      </w:r>
    </w:p>
    <w:p>
      <w:pPr>
        <w:pStyle w:val="BodyText"/>
        <w:spacing w:line="246" w:lineRule="exact"/>
        <w:ind w:right="0"/>
        <w:jc w:val="both"/>
      </w:pPr>
      <w:r>
        <w:rPr/>
        <w:t>购价格为</w:t>
      </w:r>
      <w:r>
        <w:rPr>
          <w:rFonts w:ascii="Times New Roman" w:hAnsi="Times New Roman" w:cs="Times New Roman" w:eastAsia="Times New Roman" w:hint="default"/>
        </w:rPr>
        <w:t>6.1</w:t>
      </w:r>
      <w:r>
        <w:rPr/>
        <w:t>元</w:t>
      </w:r>
      <w:r>
        <w:rPr>
          <w:rFonts w:ascii="Times New Roman" w:hAnsi="Times New Roman" w:cs="Times New Roman" w:eastAsia="Times New Roman" w:hint="default"/>
        </w:rPr>
        <w:t>/</w:t>
      </w:r>
      <w:r>
        <w:rPr/>
        <w:t>股，相关回购注销手续已于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日在中国证券登记结算有限责任公司深圳分公司办理完成。</w:t>
      </w:r>
    </w:p>
    <w:p>
      <w:pPr>
        <w:spacing w:line="240" w:lineRule="auto" w:before="0"/>
        <w:rPr>
          <w:rFonts w:ascii="宋体" w:hAnsi="宋体" w:cs="宋体" w:eastAsia="宋体" w:hint="default"/>
          <w:sz w:val="18"/>
          <w:szCs w:val="18"/>
        </w:rPr>
      </w:pPr>
    </w:p>
    <w:p>
      <w:pPr>
        <w:pStyle w:val="BodyText"/>
        <w:spacing w:line="300" w:lineRule="auto" w:before="139"/>
        <w:ind w:right="1130"/>
        <w:jc w:val="both"/>
      </w:pPr>
      <w:r>
        <w:rPr>
          <w:spacing w:val="-2"/>
        </w:rPr>
        <w:t>经公司于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6</w:t>
      </w:r>
      <w:r>
        <w:rPr>
          <w:spacing w:val="-2"/>
        </w:rPr>
        <w:t>日召开的第六届董事会第二十八次（临时）会议和第六届监事会第十六次（临时）会议审议通过，确定</w:t>
      </w:r>
      <w:r>
        <w:rPr>
          <w:spacing w:val="-60"/>
        </w:rPr>
        <w:t> </w:t>
      </w:r>
      <w:r>
        <w:rPr>
          <w:spacing w:val="-60"/>
        </w:rPr>
      </w:r>
      <w:r>
        <w:rPr>
          <w:spacing w:val="-2"/>
        </w:rPr>
        <w:t>授予预留限制性股票数量为</w:t>
      </w:r>
      <w:r>
        <w:rPr>
          <w:rFonts w:ascii="Times New Roman" w:hAnsi="Times New Roman" w:cs="Times New Roman" w:eastAsia="Times New Roman" w:hint="default"/>
          <w:spacing w:val="-2"/>
        </w:rPr>
        <w:t>80</w:t>
      </w:r>
      <w:r>
        <w:rPr>
          <w:spacing w:val="-2"/>
        </w:rPr>
        <w:t>万股，授予日为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6</w:t>
      </w:r>
      <w:r>
        <w:rPr>
          <w:spacing w:val="-2"/>
        </w:rPr>
        <w:t>日，激励对象系公司（含子公司）数字传播业务板块的中层管理人</w:t>
      </w:r>
      <w:r>
        <w:rPr>
          <w:spacing w:val="-59"/>
        </w:rPr>
        <w:t> </w:t>
      </w:r>
      <w:r>
        <w:rPr>
          <w:spacing w:val="-59"/>
        </w:rPr>
      </w:r>
      <w:r>
        <w:rPr/>
        <w:t>员、核心技术</w:t>
      </w:r>
      <w:r>
        <w:rPr>
          <w:rFonts w:ascii="Times New Roman" w:hAnsi="Times New Roman" w:cs="Times New Roman" w:eastAsia="Times New Roman" w:hint="default"/>
        </w:rPr>
        <w:t>/</w:t>
      </w:r>
      <w:r>
        <w:rPr/>
        <w:t>业务骨干共</w:t>
      </w:r>
      <w:r>
        <w:rPr>
          <w:rFonts w:ascii="Times New Roman" w:hAnsi="Times New Roman" w:cs="Times New Roman" w:eastAsia="Times New Roman" w:hint="default"/>
        </w:rPr>
        <w:t>41</w:t>
      </w:r>
      <w:r>
        <w:rPr/>
        <w:t>名，发行价格为</w:t>
      </w:r>
      <w:r>
        <w:rPr>
          <w:rFonts w:ascii="Times New Roman" w:hAnsi="Times New Roman" w:cs="Times New Roman" w:eastAsia="Times New Roman" w:hint="default"/>
        </w:rPr>
        <w:t>5</w:t>
      </w:r>
      <w:r>
        <w:rPr/>
        <w:t>元</w:t>
      </w:r>
      <w:r>
        <w:rPr>
          <w:rFonts w:ascii="Times New Roman" w:hAnsi="Times New Roman" w:cs="Times New Roman" w:eastAsia="Times New Roman" w:hint="default"/>
        </w:rPr>
        <w:t>/</w:t>
      </w:r>
      <w:r>
        <w:rPr/>
        <w:t>股。在预留限制性股票授予过程中，有</w:t>
      </w:r>
      <w:r>
        <w:rPr>
          <w:rFonts w:ascii="Times New Roman" w:hAnsi="Times New Roman" w:cs="Times New Roman" w:eastAsia="Times New Roman" w:hint="default"/>
        </w:rPr>
        <w:t>3</w:t>
      </w:r>
      <w:r>
        <w:rPr/>
        <w:t>名激励对象由于个人原因自愿放弃 </w:t>
      </w:r>
      <w:r>
        <w:rPr>
          <w:spacing w:val="-2"/>
        </w:rPr>
        <w:t>认购，因此本次实际授予</w:t>
      </w:r>
      <w:r>
        <w:rPr>
          <w:rFonts w:ascii="Times New Roman" w:hAnsi="Times New Roman" w:cs="Times New Roman" w:eastAsia="Times New Roman" w:hint="default"/>
          <w:spacing w:val="-2"/>
        </w:rPr>
        <w:t>38</w:t>
      </w:r>
      <w:r>
        <w:rPr>
          <w:spacing w:val="-2"/>
        </w:rPr>
        <w:t>名激励对象共计</w:t>
      </w:r>
      <w:r>
        <w:rPr>
          <w:rFonts w:ascii="Times New Roman" w:hAnsi="Times New Roman" w:cs="Times New Roman" w:eastAsia="Times New Roman" w:hint="default"/>
          <w:spacing w:val="-2"/>
        </w:rPr>
        <w:t>79</w:t>
      </w:r>
      <w:r>
        <w:rPr>
          <w:spacing w:val="-2"/>
        </w:rPr>
        <w:t>万股限制性股票，激励对象获授的限制性股票将根据</w:t>
      </w:r>
      <w:r>
        <w:rPr>
          <w:rFonts w:ascii="Times New Roman" w:hAnsi="Times New Roman" w:cs="Times New Roman" w:eastAsia="Times New Roman" w:hint="default"/>
          <w:spacing w:val="-2"/>
        </w:rPr>
        <w:t>2018</w:t>
      </w:r>
      <w:r>
        <w:rPr>
          <w:spacing w:val="-2"/>
        </w:rPr>
        <w:t>和</w:t>
      </w:r>
      <w:r>
        <w:rPr>
          <w:rFonts w:ascii="Times New Roman" w:hAnsi="Times New Roman" w:cs="Times New Roman" w:eastAsia="Times New Roman" w:hint="default"/>
          <w:spacing w:val="-2"/>
        </w:rPr>
        <w:t>2019</w:t>
      </w:r>
      <w:r>
        <w:rPr>
          <w:spacing w:val="-2"/>
        </w:rPr>
        <w:t>年度考核情况</w:t>
      </w:r>
      <w:r>
        <w:rPr>
          <w:spacing w:val="-52"/>
        </w:rPr>
        <w:t> </w:t>
      </w:r>
      <w:r>
        <w:rPr/>
        <w:t>分两期按比例解除限售。立信会计师事务所（特殊普通合伙）于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日出具了信会师报字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ZG11779</w:t>
      </w:r>
      <w:r>
        <w:rPr/>
        <w:t>号验资</w:t>
      </w:r>
      <w:r>
        <w:rPr>
          <w:spacing w:val="-84"/>
        </w:rPr>
        <w:t> </w:t>
      </w:r>
      <w:r>
        <w:rPr>
          <w:spacing w:val="-3"/>
        </w:rPr>
        <w:t>报告，对公司截至</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25</w:t>
      </w:r>
      <w:r>
        <w:rPr>
          <w:spacing w:val="-3"/>
        </w:rPr>
        <w:t>日止新增注册资本及股本情况进行了审验。本次股权激励计划预留授予的限制性股票已于</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39"/>
        </w:rPr>
        <w:t> </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日上市。</w:t>
      </w:r>
    </w:p>
    <w:p>
      <w:pPr>
        <w:spacing w:line="240" w:lineRule="auto" w:before="11"/>
        <w:rPr>
          <w:rFonts w:ascii="宋体" w:hAnsi="宋体" w:cs="宋体" w:eastAsia="宋体" w:hint="default"/>
          <w:sz w:val="24"/>
          <w:szCs w:val="24"/>
        </w:rPr>
      </w:pPr>
    </w:p>
    <w:p>
      <w:pPr>
        <w:pStyle w:val="BodyText"/>
        <w:spacing w:line="300" w:lineRule="auto"/>
        <w:ind w:right="1131"/>
        <w:jc w:val="both"/>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日召开的第六届董事会第二十九次（临时）会议和第六届监事会第十七次（临时）会议审议通过了《关</w:t>
      </w:r>
      <w:r>
        <w:rPr>
          <w:spacing w:val="-83"/>
        </w:rPr>
        <w:t> </w:t>
      </w:r>
      <w:r>
        <w:rPr>
          <w:spacing w:val="-83"/>
        </w:rPr>
      </w:r>
      <w:r>
        <w:rPr>
          <w:spacing w:val="-2"/>
        </w:rPr>
        <w:t>于</w:t>
      </w:r>
      <w:r>
        <w:rPr>
          <w:rFonts w:ascii="Times New Roman" w:hAnsi="Times New Roman" w:cs="Times New Roman" w:eastAsia="Times New Roman" w:hint="default"/>
          <w:spacing w:val="-2"/>
        </w:rPr>
        <w:t>2017</w:t>
      </w:r>
      <w:r>
        <w:rPr>
          <w:spacing w:val="-2"/>
        </w:rPr>
        <w:t>年度限制性股票激励计划首次授予部分第一个解除限售期解除限售条件成就的议案》，确定本次符合解锁条件的激励</w:t>
      </w:r>
      <w:r>
        <w:rPr>
          <w:spacing w:val="-60"/>
        </w:rPr>
        <w:t> </w:t>
      </w:r>
      <w:r>
        <w:rPr>
          <w:spacing w:val="-60"/>
        </w:rPr>
      </w:r>
      <w:r>
        <w:rPr/>
        <w:t>对象共</w:t>
      </w:r>
      <w:r>
        <w:rPr>
          <w:rFonts w:ascii="Times New Roman" w:hAnsi="Times New Roman" w:cs="Times New Roman" w:eastAsia="Times New Roman" w:hint="default"/>
        </w:rPr>
        <w:t>309</w:t>
      </w:r>
      <w:r>
        <w:rPr/>
        <w:t>人，可解锁的限制性股票数量为</w:t>
      </w:r>
      <w:r>
        <w:rPr>
          <w:rFonts w:ascii="Times New Roman" w:hAnsi="Times New Roman" w:cs="Times New Roman" w:eastAsia="Times New Roman" w:hint="default"/>
        </w:rPr>
        <w:t>2,704,960</w:t>
      </w:r>
      <w:r>
        <w:rPr/>
        <w:t>股，该部分解锁的限制性股票已于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日上市流通。</w:t>
      </w:r>
    </w:p>
    <w:p>
      <w:pPr>
        <w:pStyle w:val="BodyText"/>
        <w:spacing w:line="664" w:lineRule="exact" w:before="4"/>
        <w:ind w:right="0"/>
        <w:jc w:val="left"/>
      </w:pPr>
      <w:r>
        <w:rPr/>
        <w:t>该激励计划的审批及进展情况均已公告，详细内容可查阅公司在巨潮资讯网（</w:t>
      </w:r>
      <w:hyperlink r:id="rId13">
        <w:r>
          <w:rPr>
            <w:rFonts w:ascii="Times New Roman" w:hAnsi="Times New Roman" w:cs="Times New Roman" w:eastAsia="Times New Roman" w:hint="default"/>
          </w:rPr>
          <w:t>www.cninfo.com.cn</w:t>
        </w:r>
      </w:hyperlink>
      <w:r>
        <w:rPr/>
        <w:t>）上披露的相关公告。</w:t>
      </w:r>
      <w:r>
        <w:rPr>
          <w:w w:val="99"/>
        </w:rPr>
        <w:t> </w:t>
      </w: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300" w:lineRule="auto" w:before="8"/>
        <w:ind w:right="0"/>
        <w:jc w:val="left"/>
      </w:pPr>
      <w:r>
        <w:rPr>
          <w:rFonts w:ascii="Times New Roman" w:hAnsi="Times New Roman" w:cs="Times New Roman" w:eastAsia="Times New Roman" w:hint="default"/>
        </w:rPr>
        <w:t>2018</w:t>
      </w:r>
      <w:r>
        <w:rPr/>
        <w:t>年度，公司因实施股权激励计提的股份支付费用为</w:t>
      </w:r>
      <w:r>
        <w:rPr>
          <w:rFonts w:ascii="Times New Roman" w:hAnsi="Times New Roman" w:cs="Times New Roman" w:eastAsia="Times New Roman" w:hint="default"/>
        </w:rPr>
        <w:t>2,519.06</w:t>
      </w:r>
      <w:r>
        <w:rPr/>
        <w:t>万元，其中核心技术人员的股权激励费用为</w:t>
      </w:r>
      <w:r>
        <w:rPr>
          <w:rFonts w:ascii="Times New Roman" w:hAnsi="Times New Roman" w:cs="Times New Roman" w:eastAsia="Times New Roman" w:hint="default"/>
        </w:rPr>
        <w:t>883.89</w:t>
      </w:r>
      <w:r>
        <w:rPr/>
        <w:t>万元，占</w:t>
      </w:r>
      <w:r>
        <w:rPr>
          <w:spacing w:val="-44"/>
        </w:rPr>
        <w:t> </w:t>
      </w:r>
      <w:r>
        <w:rPr>
          <w:spacing w:val="-44"/>
        </w:rPr>
      </w:r>
      <w:r>
        <w:rPr/>
        <w:t>公司当期股权激励费用的比例为</w:t>
      </w:r>
      <w:r>
        <w:rPr>
          <w:rFonts w:ascii="Times New Roman" w:hAnsi="Times New Roman" w:cs="Times New Roman" w:eastAsia="Times New Roman" w:hint="default"/>
        </w:rPr>
        <w:t>35.09%</w:t>
      </w:r>
      <w:r>
        <w:rPr/>
        <w:t>。</w:t>
      </w:r>
    </w:p>
    <w:p>
      <w:pPr>
        <w:spacing w:line="240" w:lineRule="auto" w:before="4"/>
        <w:rPr>
          <w:rFonts w:ascii="宋体" w:hAnsi="宋体" w:cs="宋体" w:eastAsia="宋体" w:hint="default"/>
          <w:sz w:val="20"/>
          <w:szCs w:val="20"/>
        </w:rPr>
      </w:pPr>
    </w:p>
    <w:p>
      <w:pPr>
        <w:pStyle w:val="Heading2"/>
        <w:spacing w:line="240" w:lineRule="auto"/>
        <w:ind w:right="0"/>
        <w:jc w:val="both"/>
        <w:rPr>
          <w:b w:val="0"/>
          <w:bCs w:val="0"/>
        </w:rPr>
      </w:pPr>
      <w:bookmarkStart w:name="十六、重大关联交易" w:id="82"/>
      <w:bookmarkEnd w:id="82"/>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与日常经营相关的关联交易" w:id="83"/>
      <w:bookmarkEnd w:id="83"/>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公司报告期未发生与日常经营相关的重大关联交易。</w:t>
      </w:r>
    </w:p>
    <w:p>
      <w:pPr>
        <w:spacing w:line="240" w:lineRule="auto" w:before="12"/>
        <w:rPr>
          <w:rFonts w:ascii="宋体" w:hAnsi="宋体" w:cs="宋体" w:eastAsia="宋体" w:hint="default"/>
          <w:sz w:val="20"/>
          <w:szCs w:val="20"/>
        </w:rPr>
      </w:pPr>
    </w:p>
    <w:p>
      <w:pPr>
        <w:pStyle w:val="Heading3"/>
        <w:spacing w:line="240" w:lineRule="auto"/>
        <w:ind w:right="0"/>
        <w:jc w:val="both"/>
        <w:rPr>
          <w:b w:val="0"/>
          <w:bCs w:val="0"/>
        </w:rPr>
      </w:pPr>
      <w:bookmarkStart w:name="2、资产或股权收购、出售发生的关联交易" w:id="84"/>
      <w:bookmarkEnd w:id="84"/>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567"/>
        <w:gridCol w:w="430"/>
        <w:gridCol w:w="427"/>
        <w:gridCol w:w="854"/>
        <w:gridCol w:w="713"/>
        <w:gridCol w:w="857"/>
        <w:gridCol w:w="856"/>
        <w:gridCol w:w="854"/>
        <w:gridCol w:w="714"/>
        <w:gridCol w:w="713"/>
        <w:gridCol w:w="716"/>
        <w:gridCol w:w="1994"/>
      </w:tblGrid>
      <w:tr>
        <w:trPr>
          <w:trHeight w:val="1026"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8" w:right="96" w:hanging="90"/>
              <w:jc w:val="left"/>
              <w:rPr>
                <w:rFonts w:ascii="宋体" w:hAnsi="宋体" w:cs="宋体" w:eastAsia="宋体" w:hint="default"/>
                <w:sz w:val="18"/>
                <w:szCs w:val="18"/>
              </w:rPr>
            </w:pPr>
            <w:r>
              <w:rPr>
                <w:rFonts w:ascii="宋体" w:hAnsi="宋体" w:cs="宋体" w:eastAsia="宋体" w:hint="default"/>
                <w:sz w:val="18"/>
                <w:szCs w:val="18"/>
              </w:rPr>
              <w:t>关联 方</w:t>
            </w:r>
          </w:p>
        </w:tc>
        <w:tc>
          <w:tcPr>
            <w:tcW w:w="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 w:right="29"/>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 w:right="29"/>
              <w:jc w:val="both"/>
              <w:rPr>
                <w:rFonts w:ascii="宋体" w:hAnsi="宋体" w:cs="宋体" w:eastAsia="宋体" w:hint="default"/>
                <w:sz w:val="18"/>
                <w:szCs w:val="18"/>
              </w:rPr>
            </w:pPr>
            <w:r>
              <w:rPr>
                <w:rFonts w:ascii="宋体" w:hAnsi="宋体" w:cs="宋体" w:eastAsia="宋体" w:hint="default"/>
                <w:sz w:val="18"/>
                <w:szCs w:val="18"/>
              </w:rPr>
              <w:t>关联 交易 类型</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2" w:right="60"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79"/>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4" w:firstLine="40"/>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9"/>
                <w:sz w:val="18"/>
                <w:szCs w:val="18"/>
              </w:rPr>
              <w:t>值（万元）</w:t>
            </w:r>
            <w:r>
              <w:rPr>
                <w:rFonts w:ascii="宋体" w:hAnsi="宋体" w:cs="宋体" w:eastAsia="宋体" w:hint="default"/>
                <w:sz w:val="18"/>
                <w:szCs w:val="18"/>
              </w:rPr>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60" w:firstLine="39"/>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3"/>
                <w:sz w:val="18"/>
                <w:szCs w:val="18"/>
              </w:rPr>
              <w:t>值（万元</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196" w:lineRule="exact" w:before="77"/>
              <w:ind w:left="62"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79"/>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79"/>
              <w:jc w:val="both"/>
              <w:rPr>
                <w:rFonts w:ascii="宋体" w:hAnsi="宋体" w:cs="宋体" w:eastAsia="宋体" w:hint="default"/>
                <w:sz w:val="18"/>
                <w:szCs w:val="18"/>
              </w:rPr>
            </w:pPr>
            <w:r>
              <w:rPr>
                <w:rFonts w:ascii="宋体" w:hAnsi="宋体" w:cs="宋体" w:eastAsia="宋体" w:hint="default"/>
                <w:sz w:val="18"/>
                <w:szCs w:val="18"/>
              </w:rPr>
              <w:t>交易损 益（万 元）</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61" w:right="83"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2"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久其</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公司购买</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10,406.33</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4" w:right="0"/>
              <w:jc w:val="left"/>
              <w:rPr>
                <w:rFonts w:ascii="Times New Roman" w:hAnsi="Times New Roman" w:cs="Times New Roman" w:eastAsia="Times New Roman" w:hint="default"/>
                <w:sz w:val="18"/>
                <w:szCs w:val="18"/>
              </w:rPr>
            </w:pPr>
            <w:r>
              <w:rPr>
                <w:rFonts w:ascii="Times New Roman"/>
                <w:sz w:val="18"/>
              </w:rPr>
              <w:t>80,115</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7" w:right="0"/>
              <w:jc w:val="left"/>
              <w:rPr>
                <w:rFonts w:ascii="Times New Roman" w:hAnsi="Times New Roman" w:cs="Times New Roman" w:eastAsia="Times New Roman" w:hint="default"/>
                <w:sz w:val="18"/>
                <w:szCs w:val="18"/>
              </w:rPr>
            </w:pPr>
            <w:r>
              <w:rPr>
                <w:rFonts w:ascii="Times New Roman"/>
                <w:sz w:val="18"/>
              </w:rPr>
              <w:t>80,000</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现金方</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《关于收购上海移通</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ind w:left="2930" w:right="4249"/>
        <w:jc w:val="center"/>
      </w:pPr>
      <w:r>
        <w:rPr/>
        <w:pict>
          <v:shape style="position:absolute;margin-left:55.080002pt;margin-top:-34.308304pt;width:485.5pt;height:286.2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7"/>
                    <w:gridCol w:w="430"/>
                    <w:gridCol w:w="427"/>
                    <w:gridCol w:w="854"/>
                    <w:gridCol w:w="713"/>
                    <w:gridCol w:w="857"/>
                    <w:gridCol w:w="856"/>
                    <w:gridCol w:w="65"/>
                    <w:gridCol w:w="790"/>
                    <w:gridCol w:w="714"/>
                    <w:gridCol w:w="713"/>
                    <w:gridCol w:w="716"/>
                    <w:gridCol w:w="1994"/>
                  </w:tblGrid>
                  <w:tr>
                    <w:trPr>
                      <w:trHeight w:val="1026"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8" w:right="96" w:hanging="90"/>
                          <w:jc w:val="left"/>
                          <w:rPr>
                            <w:rFonts w:ascii="宋体" w:hAnsi="宋体" w:cs="宋体" w:eastAsia="宋体" w:hint="default"/>
                            <w:sz w:val="18"/>
                            <w:szCs w:val="18"/>
                          </w:rPr>
                        </w:pPr>
                        <w:r>
                          <w:rPr>
                            <w:rFonts w:ascii="宋体" w:hAnsi="宋体" w:cs="宋体" w:eastAsia="宋体" w:hint="default"/>
                            <w:sz w:val="18"/>
                            <w:szCs w:val="18"/>
                          </w:rPr>
                          <w:t>关联 方</w:t>
                        </w:r>
                      </w:p>
                    </w:tc>
                    <w:tc>
                      <w:tcPr>
                        <w:tcW w:w="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 w:right="29"/>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 w:right="29"/>
                          <w:jc w:val="both"/>
                          <w:rPr>
                            <w:rFonts w:ascii="宋体" w:hAnsi="宋体" w:cs="宋体" w:eastAsia="宋体" w:hint="default"/>
                            <w:sz w:val="18"/>
                            <w:szCs w:val="18"/>
                          </w:rPr>
                        </w:pPr>
                        <w:r>
                          <w:rPr>
                            <w:rFonts w:ascii="宋体" w:hAnsi="宋体" w:cs="宋体" w:eastAsia="宋体" w:hint="default"/>
                            <w:sz w:val="18"/>
                            <w:szCs w:val="18"/>
                          </w:rPr>
                          <w:t>关联 交易 类型</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2" w:right="60"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79"/>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4" w:firstLine="40"/>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9"/>
                            <w:sz w:val="18"/>
                            <w:szCs w:val="18"/>
                          </w:rPr>
                          <w:t>值（万元）</w:t>
                        </w:r>
                        <w:r>
                          <w:rPr>
                            <w:rFonts w:ascii="宋体" w:hAnsi="宋体" w:cs="宋体" w:eastAsia="宋体" w:hint="default"/>
                            <w:sz w:val="18"/>
                            <w:szCs w:val="18"/>
                          </w:rPr>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65" w:firstLine="39"/>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3"/>
                            <w:sz w:val="18"/>
                            <w:szCs w:val="18"/>
                          </w:rPr>
                          <w:t>值（万元</w:t>
                        </w:r>
                      </w:p>
                    </w:tc>
                    <w:tc>
                      <w:tcPr>
                        <w:tcW w:w="65" w:type="dxa"/>
                        <w:tcBorders>
                          <w:top w:val="single" w:sz="4" w:space="0" w:color="000000"/>
                          <w:left w:val="single" w:sz="4" w:space="0" w:color="000000"/>
                          <w:bottom w:val="single" w:sz="4" w:space="0" w:color="000000"/>
                          <w:right w:val="nil" w:sz="6" w:space="0" w:color="auto"/>
                        </w:tcBorders>
                        <w:shd w:val="clear" w:color="auto" w:fill="D2D2D2"/>
                      </w:tcPr>
                      <w:p>
                        <w:pPr/>
                      </w:p>
                    </w:tc>
                    <w:tc>
                      <w:tcPr>
                        <w:tcW w:w="7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240" w:lineRule="auto" w:before="77"/>
                          <w:ind w:left="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79"/>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79"/>
                          <w:jc w:val="both"/>
                          <w:rPr>
                            <w:rFonts w:ascii="宋体" w:hAnsi="宋体" w:cs="宋体" w:eastAsia="宋体" w:hint="default"/>
                            <w:sz w:val="18"/>
                            <w:szCs w:val="18"/>
                          </w:rPr>
                        </w:pPr>
                        <w:r>
                          <w:rPr>
                            <w:rFonts w:ascii="宋体" w:hAnsi="宋体" w:cs="宋体" w:eastAsia="宋体" w:hint="default"/>
                            <w:sz w:val="18"/>
                            <w:szCs w:val="18"/>
                          </w:rPr>
                          <w:t>交易损 益（万 元）</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61" w:right="83"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299"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科技</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35"/>
                          <w:jc w:val="left"/>
                          <w:rPr>
                            <w:rFonts w:ascii="宋体" w:hAnsi="宋体" w:cs="宋体" w:eastAsia="宋体" w:hint="default"/>
                            <w:sz w:val="18"/>
                            <w:szCs w:val="18"/>
                          </w:rPr>
                        </w:pPr>
                        <w:r>
                          <w:rPr>
                            <w:rFonts w:ascii="宋体" w:hAnsi="宋体" w:cs="宋体" w:eastAsia="宋体" w:hint="default"/>
                            <w:sz w:val="18"/>
                            <w:szCs w:val="18"/>
                          </w:rPr>
                          <w:t>控股 股东</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1"/>
                          <w:jc w:val="left"/>
                          <w:rPr>
                            <w:rFonts w:ascii="宋体" w:hAnsi="宋体" w:cs="宋体" w:eastAsia="宋体" w:hint="default"/>
                            <w:sz w:val="18"/>
                            <w:szCs w:val="18"/>
                          </w:rPr>
                        </w:pPr>
                        <w:r>
                          <w:rPr>
                            <w:rFonts w:ascii="宋体" w:hAnsi="宋体" w:cs="宋体" w:eastAsia="宋体" w:hint="default"/>
                            <w:sz w:val="18"/>
                            <w:szCs w:val="18"/>
                          </w:rPr>
                          <w:t>久其科技 持有的上 海移通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857"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54" w:type="dxa"/>
                        <w:gridSpan w:val="2"/>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式</w:t>
                        </w:r>
                      </w:p>
                    </w:tc>
                    <w:tc>
                      <w:tcPr>
                        <w:tcW w:w="713"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191"/>
                          <w:jc w:val="left"/>
                          <w:rPr>
                            <w:rFonts w:ascii="宋体" w:hAnsi="宋体" w:cs="宋体" w:eastAsia="宋体" w:hint="default"/>
                            <w:sz w:val="18"/>
                            <w:szCs w:val="18"/>
                          </w:rPr>
                        </w:pPr>
                        <w:r>
                          <w:rPr>
                            <w:rFonts w:ascii="Times New Roman" w:hAnsi="Times New Roman" w:cs="Times New Roman" w:eastAsia="Times New Roman" w:hint="default"/>
                            <w:sz w:val="18"/>
                            <w:szCs w:val="18"/>
                          </w:rPr>
                          <w:t>49%</w:t>
                        </w:r>
                        <w:r>
                          <w:rPr>
                            <w:rFonts w:ascii="宋体" w:hAnsi="宋体" w:cs="宋体" w:eastAsia="宋体" w:hint="default"/>
                            <w:sz w:val="18"/>
                            <w:szCs w:val="18"/>
                          </w:rPr>
                          <w:t>股权暨关联交易的</w:t>
                        </w:r>
                        <w:r>
                          <w:rPr>
                            <w:rFonts w:ascii="宋体" w:hAnsi="宋体" w:cs="宋体" w:eastAsia="宋体" w:hint="default"/>
                            <w:w w:val="99"/>
                            <w:sz w:val="18"/>
                            <w:szCs w:val="18"/>
                          </w:rPr>
                          <w:t> </w:t>
                        </w:r>
                        <w:r>
                          <w:rPr>
                            <w:rFonts w:ascii="宋体" w:hAnsi="宋体" w:cs="宋体" w:eastAsia="宋体" w:hint="default"/>
                            <w:spacing w:val="-12"/>
                            <w:w w:val="99"/>
                            <w:sz w:val="18"/>
                            <w:szCs w:val="18"/>
                          </w:rPr>
                          <w:t>公告》（公告编号</w:t>
                        </w:r>
                        <w:r>
                          <w:rPr>
                            <w:rFonts w:ascii="宋体" w:hAnsi="宋体" w:cs="宋体" w:eastAsia="宋体" w:hint="default"/>
                            <w:spacing w:val="-12"/>
                            <w:sz w:val="18"/>
                            <w:szCs w:val="18"/>
                          </w:rPr>
                        </w:r>
                      </w:p>
                      <w:p>
                        <w:pPr>
                          <w:pStyle w:val="TableParagraph"/>
                          <w:spacing w:line="302" w:lineRule="auto" w:before="31"/>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2018-020</w:t>
                        </w:r>
                        <w:r>
                          <w:rPr>
                            <w:rFonts w:ascii="宋体" w:hAnsi="宋体" w:cs="宋体" w:eastAsia="宋体" w:hint="default"/>
                            <w:sz w:val="18"/>
                            <w:szCs w:val="18"/>
                          </w:rPr>
                          <w:t>）详见巨潮资讯 </w:t>
                        </w:r>
                        <w:r>
                          <w:rPr>
                            <w:rFonts w:ascii="宋体" w:hAnsi="宋体" w:cs="宋体" w:eastAsia="宋体" w:hint="default"/>
                            <w:spacing w:val="-1"/>
                            <w:sz w:val="18"/>
                            <w:szCs w:val="18"/>
                          </w:rPr>
                          <w:t>网（</w:t>
                        </w:r>
                        <w:hyperlink r:id="rId13">
                          <w:r>
                            <w:rPr>
                              <w:rFonts w:ascii="Times New Roman" w:hAnsi="Times New Roman" w:cs="Times New Roman" w:eastAsia="Times New Roman" w:hint="default"/>
                              <w:spacing w:val="-1"/>
                              <w:sz w:val="18"/>
                              <w:szCs w:val="18"/>
                            </w:rPr>
                            <w:t>www.cninfo.com.cn</w:t>
                          </w:r>
                        </w:hyperlink>
                        <w:r>
                          <w:rPr>
                            <w:rFonts w:ascii="宋体" w:hAnsi="宋体" w:cs="宋体" w:eastAsia="宋体" w:hint="default"/>
                            <w:spacing w:val="-1"/>
                            <w:sz w:val="18"/>
                            <w:szCs w:val="18"/>
                          </w:rPr>
                          <w:t>）</w:t>
                        </w:r>
                      </w:p>
                    </w:tc>
                  </w:tr>
                  <w:tr>
                    <w:trPr>
                      <w:trHeight w:val="714" w:hRule="exact"/>
                    </w:trPr>
                    <w:tc>
                      <w:tcPr>
                        <w:tcW w:w="22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转让价格与账面价值或评估 </w:t>
                        </w:r>
                        <w:r>
                          <w:rPr>
                            <w:rFonts w:ascii="宋体" w:hAnsi="宋体" w:cs="宋体" w:eastAsia="宋体" w:hint="default"/>
                            <w:spacing w:val="-3"/>
                            <w:sz w:val="18"/>
                            <w:szCs w:val="18"/>
                          </w:rPr>
                          <w:t>价值差异较大的原因（如有</w:t>
                        </w:r>
                      </w:p>
                    </w:tc>
                    <w:tc>
                      <w:tcPr>
                        <w:tcW w:w="7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不适用</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57" w:type="dxa"/>
                        <w:tcBorders>
                          <w:top w:val="single" w:sz="4" w:space="0" w:color="000000"/>
                          <w:left w:val="nil" w:sz="6" w:space="0" w:color="auto"/>
                          <w:bottom w:val="single" w:sz="4" w:space="0" w:color="000000"/>
                          <w:right w:val="nil" w:sz="6" w:space="0" w:color="auto"/>
                        </w:tcBorders>
                      </w:tcPr>
                      <w:p>
                        <w:pPr/>
                      </w:p>
                    </w:tc>
                    <w:tc>
                      <w:tcPr>
                        <w:tcW w:w="856" w:type="dxa"/>
                        <w:tcBorders>
                          <w:top w:val="single" w:sz="4" w:space="0" w:color="000000"/>
                          <w:left w:val="nil" w:sz="6" w:space="0" w:color="auto"/>
                          <w:bottom w:val="single" w:sz="4" w:space="0" w:color="000000"/>
                          <w:right w:val="nil" w:sz="6" w:space="0" w:color="auto"/>
                        </w:tcBorders>
                      </w:tcPr>
                      <w:p>
                        <w:pPr/>
                      </w:p>
                    </w:tc>
                    <w:tc>
                      <w:tcPr>
                        <w:tcW w:w="65" w:type="dxa"/>
                        <w:tcBorders>
                          <w:top w:val="single" w:sz="4" w:space="0" w:color="000000"/>
                          <w:left w:val="nil" w:sz="6" w:space="0" w:color="auto"/>
                          <w:bottom w:val="single" w:sz="4" w:space="0" w:color="000000"/>
                          <w:right w:val="nil" w:sz="6" w:space="0" w:color="auto"/>
                        </w:tcBorders>
                      </w:tcPr>
                      <w:p>
                        <w:pPr/>
                      </w:p>
                    </w:tc>
                    <w:tc>
                      <w:tcPr>
                        <w:tcW w:w="790" w:type="dxa"/>
                        <w:tcBorders>
                          <w:top w:val="single" w:sz="4" w:space="0" w:color="000000"/>
                          <w:left w:val="nil" w:sz="6" w:space="0" w:color="auto"/>
                          <w:bottom w:val="single" w:sz="4" w:space="0" w:color="000000"/>
                          <w:right w:val="nil" w:sz="6" w:space="0" w:color="auto"/>
                        </w:tcBorders>
                      </w:tcPr>
                      <w:p>
                        <w:pPr/>
                      </w:p>
                    </w:tc>
                    <w:tc>
                      <w:tcPr>
                        <w:tcW w:w="714" w:type="dxa"/>
                        <w:tcBorders>
                          <w:top w:val="single" w:sz="4" w:space="0" w:color="000000"/>
                          <w:left w:val="nil" w:sz="6" w:space="0" w:color="auto"/>
                          <w:bottom w:val="single" w:sz="4" w:space="0" w:color="000000"/>
                          <w:right w:val="nil" w:sz="6" w:space="0" w:color="auto"/>
                        </w:tcBorders>
                      </w:tcPr>
                      <w:p>
                        <w:pPr/>
                      </w:p>
                    </w:tc>
                    <w:tc>
                      <w:tcPr>
                        <w:tcW w:w="713" w:type="dxa"/>
                        <w:tcBorders>
                          <w:top w:val="single" w:sz="4" w:space="0" w:color="000000"/>
                          <w:left w:val="nil" w:sz="6" w:space="0" w:color="auto"/>
                          <w:bottom w:val="single" w:sz="4" w:space="0" w:color="000000"/>
                          <w:right w:val="nil" w:sz="6" w:space="0" w:color="auto"/>
                        </w:tcBorders>
                      </w:tcPr>
                      <w:p>
                        <w:pPr/>
                      </w:p>
                    </w:tc>
                    <w:tc>
                      <w:tcPr>
                        <w:tcW w:w="716" w:type="dxa"/>
                        <w:tcBorders>
                          <w:top w:val="single" w:sz="4" w:space="0" w:color="000000"/>
                          <w:left w:val="nil" w:sz="6" w:space="0" w:color="auto"/>
                          <w:bottom w:val="single" w:sz="4" w:space="0" w:color="000000"/>
                          <w:right w:val="nil" w:sz="6" w:space="0" w:color="auto"/>
                        </w:tcBorders>
                      </w:tcPr>
                      <w:p>
                        <w:pPr/>
                      </w:p>
                    </w:tc>
                    <w:tc>
                      <w:tcPr>
                        <w:tcW w:w="1994" w:type="dxa"/>
                        <w:tcBorders>
                          <w:top w:val="single" w:sz="4" w:space="0" w:color="000000"/>
                          <w:left w:val="nil" w:sz="6" w:space="0" w:color="auto"/>
                          <w:bottom w:val="single" w:sz="4" w:space="0" w:color="000000"/>
                          <w:right w:val="single" w:sz="4" w:space="0" w:color="000000"/>
                        </w:tcBorders>
                      </w:tcPr>
                      <w:p>
                        <w:pPr/>
                      </w:p>
                    </w:tc>
                  </w:tr>
                  <w:tr>
                    <w:trPr>
                      <w:trHeight w:val="714" w:hRule="exact"/>
                    </w:trPr>
                    <w:tc>
                      <w:tcPr>
                        <w:tcW w:w="22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对公司经营成果与财务状况 的影响情况</w:t>
                        </w:r>
                      </w:p>
                    </w:tc>
                    <w:tc>
                      <w:tcPr>
                        <w:tcW w:w="7417"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通过本次交易，上海移通成为公司全资子公司，有利于上市公司资产的完整性和独立性。</w:t>
                        </w:r>
                      </w:p>
                    </w:tc>
                  </w:tr>
                  <w:tr>
                    <w:trPr>
                      <w:trHeight w:val="1962" w:hRule="exact"/>
                    </w:trPr>
                    <w:tc>
                      <w:tcPr>
                        <w:tcW w:w="22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如相关交易涉及业绩约定 的，报告期内的业绩实现情 况</w:t>
                        </w:r>
                      </w:p>
                    </w:tc>
                    <w:tc>
                      <w:tcPr>
                        <w:tcW w:w="7417"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上海移通原实际控制人黄家骁承诺上海移通</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2016-2018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年度实现税后净利润分别不低于人民币</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10,400  </w:t>
                        </w:r>
                        <w:r>
                          <w:rPr>
                            <w:rFonts w:ascii="宋体" w:hAnsi="宋体" w:cs="宋体" w:eastAsia="宋体" w:hint="default"/>
                            <w:sz w:val="18"/>
                            <w:szCs w:val="18"/>
                          </w:rPr>
                          <w:t>万元和 </w:t>
                        </w:r>
                        <w:r>
                          <w:rPr>
                            <w:rFonts w:ascii="Times New Roman" w:hAnsi="Times New Roman" w:cs="Times New Roman" w:eastAsia="Times New Roman" w:hint="default"/>
                            <w:sz w:val="18"/>
                            <w:szCs w:val="18"/>
                          </w:rPr>
                          <w:t>13,500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万元，即承诺三年实现税后净利润总额合计不低于人民币</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31,900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万元（净利润以合并报表归属于母公司股东的净利润与扣除非经常性损益后归属于母公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司股东的净利润中孰低者为准</w:t>
                        </w:r>
                        <w:r>
                          <w:rPr>
                            <w:rFonts w:ascii="宋体" w:hAnsi="宋体" w:cs="宋体" w:eastAsia="宋体" w:hint="default"/>
                            <w:spacing w:val="-90"/>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上海移通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年度实现扣非净利润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4,933.45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10"/>
                            <w:sz w:val="18"/>
                            <w:szCs w:val="18"/>
                          </w:rPr>
                          <w:t>，</w:t>
                        </w:r>
                        <w:r>
                          <w:rPr>
                            <w:rFonts w:ascii="宋体" w:hAnsi="宋体" w:cs="宋体" w:eastAsia="宋体" w:hint="default"/>
                            <w:sz w:val="18"/>
                            <w:szCs w:val="18"/>
                          </w:rPr>
                          <w:t>未能完成</w:t>
                        </w:r>
                      </w:p>
                      <w:p>
                        <w:pPr>
                          <w:pStyle w:val="TableParagraph"/>
                          <w:spacing w:line="302" w:lineRule="auto" w:before="63"/>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年度的业绩承诺，根据交易各方签订的收购协议，上海移通</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2016-2018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年度累计实现的扣 非后净利润低于累计承诺金额，因此业绩承诺方需向受让方支付业绩补偿。</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line="559" w:lineRule="exact"/>
        <w:ind w:left="2409"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370.4pt;height:28pt;mso-position-horizontal-relative:char;mso-position-vertical-relative:line" coordorigin="0,0" coordsize="7408,560">
            <v:group style="position:absolute;left:11;top:11;width:2;height:393" coordorigin="11,11" coordsize="2,393">
              <v:shape style="position:absolute;left:11;top:11;width:2;height:393" coordorigin="11,11" coordsize="0,393" path="m11,11l11,404e" filled="false" stroked="true" strokeweight="1.140pt" strokecolor="#ffffff">
                <v:path arrowok="t"/>
              </v:shape>
            </v:group>
            <v:group style="position:absolute;left:0;top:404;width:7408;height:156" coordorigin="0,404" coordsize="7408,156">
              <v:shape style="position:absolute;left:0;top:404;width:7408;height:156" coordorigin="0,404" coordsize="7408,156" path="m0,560l7407,560,7407,404,0,404,0,560xe" filled="true" fillcolor="#ffffff" stroked="false">
                <v:path arrowok="t"/>
                <v:fill type="solid"/>
              </v:shape>
            </v:group>
            <v:group style="position:absolute;left:23;top:11;width:7362;height:393" coordorigin="23,11" coordsize="7362,393">
              <v:shape style="position:absolute;left:23;top:11;width:7362;height:393" coordorigin="23,11" coordsize="7362,393" path="m23,404l7384,404,7384,11,23,11,23,404xe" filled="true" fillcolor="#ffffff" stroked="false">
                <v:path arrowok="t"/>
                <v:fill type="solid"/>
              </v:shape>
            </v:group>
          </v:group>
        </w:pict>
      </w:r>
      <w:r>
        <w:rPr>
          <w:rFonts w:ascii="宋体" w:hAnsi="宋体" w:cs="宋体" w:eastAsia="宋体" w:hint="default"/>
          <w:position w:val="-10"/>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3"/>
        <w:spacing w:line="240" w:lineRule="auto" w:before="35"/>
        <w:ind w:right="0"/>
        <w:jc w:val="left"/>
        <w:rPr>
          <w:b w:val="0"/>
          <w:bCs w:val="0"/>
        </w:rPr>
      </w:pPr>
      <w:bookmarkStart w:name="3、共同对外投资的关联交易" w:id="85"/>
      <w:bookmarkEnd w:id="85"/>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4、关联债权债务往来" w:id="86"/>
      <w:bookmarkEnd w:id="86"/>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338" w:lineRule="auto" w:before="40"/>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公司报告期不存在非经营性关联债权债务往来。</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5、其他重大关联交易" w:id="87"/>
      <w:bookmarkEnd w:id="87"/>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122"/>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因亿起联科技经审计的</w:t>
      </w:r>
      <w:r>
        <w:rPr>
          <w:rFonts w:ascii="Times New Roman" w:hAnsi="Times New Roman" w:cs="Times New Roman" w:eastAsia="Times New Roman" w:hint="default"/>
        </w:rPr>
        <w:t>2017</w:t>
      </w:r>
      <w:r>
        <w:rPr/>
        <w:t>年度扣非净利润为</w:t>
      </w:r>
      <w:r>
        <w:rPr>
          <w:rFonts w:ascii="Times New Roman" w:hAnsi="Times New Roman" w:cs="Times New Roman" w:eastAsia="Times New Roman" w:hint="default"/>
        </w:rPr>
        <w:t>8,365.61</w:t>
      </w:r>
      <w:r>
        <w:rPr/>
        <w:t>万元，未完成</w:t>
      </w:r>
      <w:r>
        <w:rPr>
          <w:rFonts w:ascii="Times New Roman" w:hAnsi="Times New Roman" w:cs="Times New Roman" w:eastAsia="Times New Roman" w:hint="default"/>
        </w:rPr>
        <w:t>2017</w:t>
      </w:r>
      <w:r>
        <w:rPr/>
        <w:t>年度的业绩承诺，根据《北京久其软件股份有限公 </w:t>
      </w:r>
      <w:r>
        <w:rPr>
          <w:spacing w:val="-6"/>
        </w:rPr>
        <w:t>司与王新、李勇关于现金及发行股份购买资产之业绩承诺及补偿协议》，交易对手方王新、李勇分别应补偿股份数量为</w:t>
      </w:r>
      <w:r>
        <w:rPr>
          <w:rFonts w:ascii="Times New Roman" w:hAnsi="Times New Roman" w:cs="Times New Roman" w:eastAsia="Times New Roman" w:hint="default"/>
          <w:spacing w:val="-6"/>
        </w:rPr>
        <w:t>104,124</w:t>
      </w:r>
    </w:p>
    <w:p>
      <w:pPr>
        <w:pStyle w:val="BodyText"/>
        <w:spacing w:line="319" w:lineRule="auto"/>
        <w:ind w:right="1167"/>
        <w:jc w:val="left"/>
      </w:pPr>
      <w:r>
        <w:rPr/>
        <w:t>股和</w:t>
      </w:r>
      <w:r>
        <w:rPr>
          <w:rFonts w:ascii="Times New Roman" w:hAnsi="Times New Roman" w:cs="Times New Roman" w:eastAsia="Times New Roman" w:hint="default"/>
        </w:rPr>
        <w:t>78,549</w:t>
      </w:r>
      <w:r>
        <w:rPr/>
        <w:t>股，因王新为公司董事，该回购事项构成关联交易。经公司</w:t>
      </w:r>
      <w:r>
        <w:rPr>
          <w:rFonts w:ascii="Times New Roman" w:hAnsi="Times New Roman" w:cs="Times New Roman" w:eastAsia="Times New Roman" w:hint="default"/>
        </w:rPr>
        <w:t>2017</w:t>
      </w:r>
      <w:r>
        <w:rPr/>
        <w:t>年度股东大会审议通过，公司以</w:t>
      </w:r>
      <w:r>
        <w:rPr>
          <w:rFonts w:ascii="Times New Roman" w:hAnsi="Times New Roman" w:cs="Times New Roman" w:eastAsia="Times New Roman" w:hint="default"/>
        </w:rPr>
        <w:t>1</w:t>
      </w:r>
      <w:r>
        <w:rPr/>
        <w:t>元总价回购应 补偿股份，共计</w:t>
      </w:r>
      <w:r>
        <w:rPr>
          <w:rFonts w:ascii="Times New Roman" w:hAnsi="Times New Roman" w:cs="Times New Roman" w:eastAsia="Times New Roman" w:hint="default"/>
        </w:rPr>
        <w:t>182,673</w:t>
      </w:r>
      <w:r>
        <w:rPr/>
        <w:t>股，并于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日在中国证券登记结算有限责任公司深圳分公司完成注销手续。 重大关联交易临时报告披露网站相关查询</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67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《关于定向回购王新、李勇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年度应补 </w:t>
            </w:r>
            <w:r>
              <w:rPr>
                <w:rFonts w:ascii="宋体" w:hAnsi="宋体" w:cs="宋体" w:eastAsia="宋体" w:hint="default"/>
                <w:spacing w:val="-6"/>
                <w:sz w:val="18"/>
                <w:szCs w:val="18"/>
              </w:rPr>
              <w:t>偿股份暨关联交易的公告》（公告编号</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36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2018-038</w:t>
            </w:r>
            <w:r>
              <w:rPr>
                <w:rFonts w:ascii="宋体" w:hAnsi="宋体" w:cs="宋体" w:eastAsia="宋体" w:hint="default"/>
                <w:sz w:val="18"/>
                <w:szCs w:val="18"/>
              </w:rPr>
              <w:t>）</w:t>
            </w:r>
          </w:p>
        </w:tc>
        <w:tc>
          <w:tcPr>
            <w:tcW w:w="2650" w:type="dxa"/>
            <w:tcBorders>
              <w:top w:val="single" w:sz="4" w:space="0" w:color="000000"/>
              <w:left w:val="single" w:sz="4" w:space="0" w:color="000000"/>
              <w:bottom w:val="single" w:sz="4" w:space="0" w:color="000000"/>
              <w:right w:val="single" w:sz="4" w:space="0" w:color="000000"/>
            </w:tcBorders>
          </w:tcPr>
          <w:p>
            <w:pPr/>
          </w:p>
        </w:tc>
        <w:tc>
          <w:tcPr>
            <w:tcW w:w="34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《关于完成回购注销业绩补偿股份及部分 </w:t>
            </w:r>
            <w:r>
              <w:rPr>
                <w:rFonts w:ascii="宋体" w:hAnsi="宋体" w:cs="宋体" w:eastAsia="宋体" w:hint="default"/>
                <w:spacing w:val="-7"/>
                <w:sz w:val="18"/>
                <w:szCs w:val="18"/>
              </w:rPr>
              <w:t>限制性股票的公告》（公告编号</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2018-066</w:t>
            </w:r>
            <w:r>
              <w:rPr>
                <w:rFonts w:ascii="宋体" w:hAnsi="宋体" w:cs="宋体" w:eastAsia="宋体" w:hint="default"/>
                <w:sz w:val="18"/>
                <w:szCs w:val="18"/>
              </w:rPr>
              <w:t>）</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七、重大合同及其履行情况" w:id="88"/>
      <w:bookmarkEnd w:id="88"/>
      <w:r>
        <w:rPr>
          <w:b w:val="0"/>
          <w:bCs w:val="0"/>
        </w:rPr>
      </w: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9"/>
      <w:bookmarkEnd w:id="89"/>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90"/>
      <w:bookmarkEnd w:id="90"/>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承包情况" w:id="91"/>
      <w:bookmarkEnd w:id="91"/>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租赁情况" w:id="92"/>
      <w:bookmarkEnd w:id="92"/>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2、重大担保" w:id="93"/>
      <w:bookmarkEnd w:id="93"/>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担保情况" w:id="94"/>
      <w:bookmarkEnd w:id="94"/>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09"/>
        <w:gridCol w:w="1235"/>
        <w:gridCol w:w="616"/>
        <w:gridCol w:w="1296"/>
        <w:gridCol w:w="1063"/>
        <w:gridCol w:w="1454"/>
        <w:gridCol w:w="626"/>
        <w:gridCol w:w="796"/>
        <w:gridCol w:w="780"/>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2" w:right="71"/>
              <w:jc w:val="left"/>
              <w:rPr>
                <w:rFonts w:ascii="宋体" w:hAnsi="宋体" w:cs="宋体" w:eastAsia="宋体" w:hint="default"/>
                <w:sz w:val="18"/>
                <w:szCs w:val="18"/>
              </w:rPr>
            </w:pPr>
            <w:r>
              <w:rPr>
                <w:rFonts w:ascii="宋体" w:hAnsi="宋体" w:cs="宋体" w:eastAsia="宋体" w:hint="default"/>
                <w:sz w:val="18"/>
                <w:szCs w:val="18"/>
              </w:rPr>
              <w:t>担保额度相关 公告披露日期</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3" w:right="30"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6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2"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久金保</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39"/>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久金保</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39"/>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294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912" w:type="dxa"/>
            <w:gridSpan w:val="2"/>
            <w:vMerge w:val="restart"/>
            <w:tcBorders>
              <w:top w:val="single" w:sz="4" w:space="0" w:color="000000"/>
              <w:left w:val="single" w:sz="9" w:space="0" w:color="D2D2D2"/>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10,000</w:t>
            </w:r>
          </w:p>
        </w:tc>
        <w:tc>
          <w:tcPr>
            <w:tcW w:w="25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报告期内对子公司担保实际发 生额合计</w:t>
            </w:r>
          </w:p>
        </w:tc>
        <w:tc>
          <w:tcPr>
            <w:tcW w:w="2202" w:type="dxa"/>
            <w:gridSpan w:val="3"/>
            <w:vMerge w:val="restart"/>
            <w:tcBorders>
              <w:top w:val="single" w:sz="4" w:space="0" w:color="000000"/>
              <w:left w:val="single" w:sz="13"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r>
      <w:tr>
        <w:trPr>
          <w:trHeight w:val="393" w:hRule="exact"/>
        </w:trPr>
        <w:tc>
          <w:tcPr>
            <w:tcW w:w="2944"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p>
        </w:tc>
        <w:tc>
          <w:tcPr>
            <w:tcW w:w="1912" w:type="dxa"/>
            <w:gridSpan w:val="2"/>
            <w:vMerge/>
            <w:tcBorders>
              <w:left w:val="single" w:sz="9" w:space="0" w:color="D2D2D2"/>
              <w:right w:val="single" w:sz="9" w:space="0" w:color="D2D2D2"/>
            </w:tcBorders>
          </w:tcPr>
          <w:p>
            <w:pPr/>
          </w:p>
        </w:tc>
        <w:tc>
          <w:tcPr>
            <w:tcW w:w="2517" w:type="dxa"/>
            <w:gridSpan w:val="2"/>
            <w:vMerge/>
            <w:tcBorders>
              <w:left w:val="single" w:sz="4" w:space="0" w:color="000000"/>
              <w:right w:val="single" w:sz="4" w:space="0" w:color="000000"/>
            </w:tcBorders>
            <w:shd w:val="clear" w:color="auto" w:fill="D2D2D2"/>
          </w:tcPr>
          <w:p>
            <w:pPr/>
          </w:p>
        </w:tc>
        <w:tc>
          <w:tcPr>
            <w:tcW w:w="2202" w:type="dxa"/>
            <w:gridSpan w:val="3"/>
            <w:vMerge/>
            <w:tcBorders>
              <w:left w:val="single" w:sz="13" w:space="0" w:color="D2D2D2"/>
              <w:right w:val="single" w:sz="4" w:space="0" w:color="000000"/>
            </w:tcBorders>
          </w:tcPr>
          <w:p>
            <w:pPr/>
          </w:p>
        </w:tc>
      </w:tr>
      <w:tr>
        <w:trPr>
          <w:trHeight w:val="161" w:hRule="exact"/>
        </w:trPr>
        <w:tc>
          <w:tcPr>
            <w:tcW w:w="294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912" w:type="dxa"/>
            <w:gridSpan w:val="2"/>
            <w:vMerge/>
            <w:tcBorders>
              <w:left w:val="single" w:sz="9" w:space="0" w:color="D2D2D2"/>
              <w:bottom w:val="single" w:sz="4" w:space="0" w:color="000000"/>
              <w:right w:val="single" w:sz="9" w:space="0" w:color="D2D2D2"/>
            </w:tcBorders>
          </w:tcPr>
          <w:p>
            <w:pPr/>
          </w:p>
        </w:tc>
        <w:tc>
          <w:tcPr>
            <w:tcW w:w="2517" w:type="dxa"/>
            <w:gridSpan w:val="2"/>
            <w:vMerge/>
            <w:tcBorders>
              <w:left w:val="single" w:sz="4" w:space="0" w:color="000000"/>
              <w:bottom w:val="single" w:sz="4" w:space="0" w:color="000000"/>
              <w:right w:val="single" w:sz="4" w:space="0" w:color="000000"/>
            </w:tcBorders>
            <w:shd w:val="clear" w:color="auto" w:fill="D2D2D2"/>
          </w:tcPr>
          <w:p>
            <w:pPr/>
          </w:p>
        </w:tc>
        <w:tc>
          <w:tcPr>
            <w:tcW w:w="2202" w:type="dxa"/>
            <w:gridSpan w:val="3"/>
            <w:vMerge/>
            <w:tcBorders>
              <w:left w:val="single" w:sz="13" w:space="0" w:color="D2D2D2"/>
              <w:bottom w:val="single" w:sz="4" w:space="0" w:color="000000"/>
              <w:right w:val="single" w:sz="4" w:space="0" w:color="000000"/>
            </w:tcBorders>
          </w:tcPr>
          <w:p>
            <w:pPr/>
          </w:p>
        </w:tc>
      </w:tr>
      <w:tr>
        <w:trPr>
          <w:trHeight w:val="719" w:hRule="exact"/>
        </w:trPr>
        <w:tc>
          <w:tcPr>
            <w:tcW w:w="29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 合计</w:t>
            </w:r>
          </w:p>
        </w:tc>
        <w:tc>
          <w:tcPr>
            <w:tcW w:w="1912"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20,000</w:t>
            </w:r>
          </w:p>
        </w:tc>
        <w:tc>
          <w:tcPr>
            <w:tcW w:w="25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报告期末对子公司实际担保余 额合计</w:t>
            </w:r>
          </w:p>
        </w:tc>
        <w:tc>
          <w:tcPr>
            <w:tcW w:w="2202"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公司担保总额</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21"/>
        <w:gridCol w:w="1923"/>
        <w:gridCol w:w="2505"/>
        <w:gridCol w:w="2214"/>
      </w:tblGrid>
      <w:tr>
        <w:trPr>
          <w:trHeight w:val="402" w:hRule="exact"/>
        </w:trPr>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tc>
        <w:tc>
          <w:tcPr>
            <w:tcW w:w="1923"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10,000</w:t>
            </w:r>
          </w:p>
        </w:tc>
        <w:tc>
          <w:tcPr>
            <w:tcW w:w="2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报告期内担保实际发生额合计</w:t>
            </w:r>
          </w:p>
        </w:tc>
        <w:tc>
          <w:tcPr>
            <w:tcW w:w="22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r>
        <w:trPr>
          <w:trHeight w:val="407" w:hRule="exact"/>
        </w:trPr>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tc>
        <w:tc>
          <w:tcPr>
            <w:tcW w:w="1923"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20,000</w:t>
            </w:r>
          </w:p>
        </w:tc>
        <w:tc>
          <w:tcPr>
            <w:tcW w:w="2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tc>
        <w:tc>
          <w:tcPr>
            <w:tcW w:w="22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60" w:lineRule="auto" w:before="51"/>
        <w:ind w:right="8052"/>
        <w:jc w:val="left"/>
      </w:pPr>
      <w:r>
        <w:rPr/>
        <w:t>采用复合方式担保的具体情况说明 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违规对外担保情况" w:id="95"/>
      <w:bookmarkEnd w:id="95"/>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3、委托他人进行现金资产管理情况" w:id="96"/>
      <w:bookmarkEnd w:id="96"/>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7"/>
      <w:bookmarkEnd w:id="97"/>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060" w:bottom="700" w:left="980" w:right="0"/>
          <w:cols w:num="2" w:equalWidth="0">
            <w:col w:w="1955" w:space="6785"/>
            <w:col w:w="219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6,260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61,260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34,900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0"/>
        <w:jc w:val="left"/>
      </w:pPr>
      <w:r>
        <w:rPr/>
        <w:t>单项金额重大或安全性较低、流动性较差、不保本的高风险委托理财具体情况</w:t>
      </w:r>
    </w:p>
    <w:p>
      <w:pPr>
        <w:pStyle w:val="BodyText"/>
        <w:spacing w:line="338" w:lineRule="auto" w:before="117"/>
        <w:ind w:right="5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委托理财出现预期无法收回本金或存在其他可能导致减值的情形</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委托贷款情况" w:id="98"/>
      <w:bookmarkEnd w:id="98"/>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after="0" w:line="340" w:lineRule="auto"/>
        <w:jc w:val="left"/>
        <w:sectPr>
          <w:type w:val="continuous"/>
          <w:pgSz w:w="11910" w:h="16840"/>
          <w:pgMar w:top="1060" w:bottom="70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4、其他重大合同" w:id="99"/>
      <w:bookmarkEnd w:id="99"/>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八、社会责任情况" w:id="100"/>
      <w:bookmarkEnd w:id="100"/>
      <w:r>
        <w:rPr>
          <w:b w:val="0"/>
          <w:bCs w:val="0"/>
        </w:rPr>
      </w:r>
      <w:r>
        <w:rPr/>
        <w:t>十八、社会责任情况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履行社会责任情况" w:id="101"/>
      <w:bookmarkEnd w:id="101"/>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报告期，公司根据自身的实际情况积极履行企业社会责任，以实际行动回报社会，实现企业与社会的共同发展。</w:t>
      </w:r>
    </w:p>
    <w:p>
      <w:pPr>
        <w:spacing w:line="240" w:lineRule="auto" w:before="0"/>
        <w:rPr>
          <w:rFonts w:ascii="宋体" w:hAnsi="宋体" w:cs="宋体" w:eastAsia="宋体" w:hint="default"/>
          <w:sz w:val="18"/>
          <w:szCs w:val="18"/>
        </w:rPr>
      </w:pPr>
    </w:p>
    <w:p>
      <w:pPr>
        <w:pStyle w:val="BodyText"/>
        <w:spacing w:line="314" w:lineRule="auto" w:before="153"/>
        <w:ind w:right="0"/>
        <w:jc w:val="left"/>
      </w:pPr>
      <w:r>
        <w:rPr/>
        <w:t>（</w:t>
      </w:r>
      <w:r>
        <w:rPr>
          <w:rFonts w:ascii="Times New Roman" w:hAnsi="Times New Roman" w:cs="Times New Roman" w:eastAsia="Times New Roman" w:hint="default"/>
        </w:rPr>
        <w:t>1</w:t>
      </w:r>
      <w:r>
        <w:rPr/>
        <w:t>）股东和债权人权益保护 </w:t>
      </w:r>
      <w:r>
        <w:rPr>
          <w:spacing w:val="-2"/>
        </w:rPr>
        <w:t>公司严格按照《公司法》《深圳证券交易所中小企业板上市公司股份运作指引》等法律法规及《公司章程》的要求，不断完</w:t>
      </w:r>
      <w:r>
        <w:rPr>
          <w:spacing w:val="-70"/>
        </w:rPr>
        <w:t> </w:t>
      </w:r>
      <w:r>
        <w:rPr>
          <w:spacing w:val="-70"/>
        </w:rPr>
      </w:r>
      <w:r>
        <w:rPr>
          <w:spacing w:val="-2"/>
        </w:rPr>
        <w:t>善法人治理结构和内控体系建设。同时公司认真履行信息披露义务，建立与投资者互动的机制，诚信对待和保护股东特别是</w:t>
      </w:r>
      <w:r>
        <w:rPr>
          <w:spacing w:val="-66"/>
        </w:rPr>
        <w:t> </w:t>
      </w:r>
      <w:r>
        <w:rPr>
          <w:spacing w:val="-66"/>
        </w:rPr>
      </w:r>
      <w:r>
        <w:rPr>
          <w:spacing w:val="-2"/>
        </w:rPr>
        <w:t>中小股东的合法权益。公司重视对投资者的合理回报，在保证企业自身健康发展的前提下，上市近十年来，坚持以相对稳定</w:t>
      </w:r>
      <w:r>
        <w:rPr>
          <w:spacing w:val="-66"/>
        </w:rPr>
        <w:t> </w:t>
      </w:r>
      <w:r>
        <w:rPr>
          <w:spacing w:val="-66"/>
        </w:rPr>
      </w:r>
      <w:r>
        <w:rPr>
          <w:spacing w:val="-2"/>
        </w:rPr>
        <w:t>的利润分配政策积极回报公司股东。公司在注重对股东权益保护的同时，同样重视对债权人合法权益的保护，在各项重大经</w:t>
      </w:r>
      <w:r>
        <w:rPr>
          <w:spacing w:val="-66"/>
        </w:rPr>
        <w:t> </w:t>
      </w:r>
      <w:r>
        <w:rPr>
          <w:spacing w:val="-66"/>
        </w:rPr>
      </w:r>
      <w:r>
        <w:rPr>
          <w:spacing w:val="-2"/>
        </w:rPr>
        <w:t>营决策过程中，考虑债权人的合法权益，并严格按照与债权人签订的合同履行债务，及时通报与其相关的重大信息，保障债</w:t>
      </w:r>
      <w:r>
        <w:rPr>
          <w:spacing w:val="-65"/>
        </w:rPr>
        <w:t> </w:t>
      </w:r>
      <w:r>
        <w:rPr>
          <w:spacing w:val="-65"/>
        </w:rPr>
      </w:r>
      <w:r>
        <w:rPr/>
        <w:t>权人的合法权益。</w:t>
      </w:r>
    </w:p>
    <w:p>
      <w:pPr>
        <w:spacing w:line="240" w:lineRule="auto" w:before="6"/>
        <w:rPr>
          <w:rFonts w:ascii="宋体" w:hAnsi="宋体" w:cs="宋体" w:eastAsia="宋体" w:hint="default"/>
          <w:sz w:val="25"/>
          <w:szCs w:val="25"/>
        </w:rPr>
      </w:pPr>
    </w:p>
    <w:p>
      <w:pPr>
        <w:pStyle w:val="BodyText"/>
        <w:spacing w:line="302" w:lineRule="auto"/>
        <w:ind w:right="1032"/>
        <w:jc w:val="left"/>
      </w:pPr>
      <w:r>
        <w:rPr/>
        <w:t>（</w:t>
      </w:r>
      <w:r>
        <w:rPr>
          <w:rFonts w:ascii="Times New Roman" w:hAnsi="Times New Roman" w:cs="Times New Roman" w:eastAsia="Times New Roman" w:hint="default"/>
        </w:rPr>
        <w:t>2</w:t>
      </w:r>
      <w:r>
        <w:rPr/>
        <w:t>）职工权益保护与社会公益 公司围绕</w:t>
      </w:r>
      <w:r>
        <w:rPr>
          <w:rFonts w:ascii="Times New Roman" w:hAnsi="Times New Roman" w:cs="Times New Roman" w:eastAsia="Times New Roman" w:hint="default"/>
        </w:rPr>
        <w:t>“</w:t>
      </w:r>
      <w:r>
        <w:rPr/>
        <w:t>情</w:t>
      </w:r>
      <w:r>
        <w:rPr>
          <w:rFonts w:ascii="Times New Roman" w:hAnsi="Times New Roman" w:cs="Times New Roman" w:eastAsia="Times New Roman" w:hint="default"/>
        </w:rPr>
        <w:t>”</w:t>
      </w:r>
      <w:r>
        <w:rPr/>
        <w:t>字构筑企业文化，全面倡导</w:t>
      </w:r>
      <w:r>
        <w:rPr>
          <w:rFonts w:ascii="Times New Roman" w:hAnsi="Times New Roman" w:cs="Times New Roman" w:eastAsia="Times New Roman" w:hint="default"/>
        </w:rPr>
        <w:t>“</w:t>
      </w:r>
      <w:r>
        <w:rPr/>
        <w:t>尊重人才、重用人才、善待人才</w:t>
      </w:r>
      <w:r>
        <w:rPr>
          <w:rFonts w:ascii="Times New Roman" w:hAnsi="Times New Roman" w:cs="Times New Roman" w:eastAsia="Times New Roman" w:hint="default"/>
        </w:rPr>
        <w:t>”</w:t>
      </w:r>
      <w:r>
        <w:rPr/>
        <w:t>的人才观念，</w:t>
      </w:r>
      <w:r>
        <w:rPr>
          <w:rFonts w:ascii="Times New Roman" w:hAnsi="Times New Roman" w:cs="Times New Roman" w:eastAsia="Times New Roman" w:hint="default"/>
        </w:rPr>
        <w:t>“</w:t>
      </w:r>
      <w:r>
        <w:rPr/>
        <w:t>简单、规范、高效、创新</w:t>
      </w:r>
      <w:r>
        <w:rPr>
          <w:rFonts w:ascii="Times New Roman" w:hAnsi="Times New Roman" w:cs="Times New Roman" w:eastAsia="Times New Roman" w:hint="default"/>
        </w:rPr>
        <w:t>”</w:t>
      </w:r>
      <w:r>
        <w:rPr/>
        <w:t>的价值 </w:t>
      </w:r>
      <w:r>
        <w:rPr>
          <w:spacing w:val="-5"/>
        </w:rPr>
        <w:t>观，以及</w:t>
      </w:r>
      <w:r>
        <w:rPr>
          <w:rFonts w:ascii="Times New Roman" w:hAnsi="Times New Roman" w:cs="Times New Roman" w:eastAsia="Times New Roman" w:hint="default"/>
          <w:spacing w:val="-5"/>
        </w:rPr>
        <w:t>“</w:t>
      </w:r>
      <w:r>
        <w:rPr>
          <w:spacing w:val="-5"/>
        </w:rPr>
        <w:t>身体健康、心理健康、知识共享、富足自强</w:t>
      </w:r>
      <w:r>
        <w:rPr>
          <w:rFonts w:ascii="Times New Roman" w:hAnsi="Times New Roman" w:cs="Times New Roman" w:eastAsia="Times New Roman" w:hint="default"/>
          <w:spacing w:val="-5"/>
        </w:rPr>
        <w:t>”</w:t>
      </w:r>
      <w:r>
        <w:rPr>
          <w:spacing w:val="-5"/>
        </w:rPr>
        <w:t>的人生追求，不断丰富和完善企业文化体系。通过组织员工开展体育、</w:t>
      </w:r>
      <w:r>
        <w:rPr>
          <w:spacing w:val="-55"/>
        </w:rPr>
        <w:t> </w:t>
      </w:r>
      <w:r>
        <w:rPr>
          <w:spacing w:val="-55"/>
        </w:rPr>
      </w:r>
      <w:r>
        <w:rPr>
          <w:spacing w:val="2"/>
        </w:rPr>
        <w:t>娱乐及文化等各类社团活动，活跃职工生活，调动职工积极性，提升职工凝聚力。公司注重人才培养，通过</w:t>
      </w:r>
      <w:r>
        <w:rPr>
          <w:rFonts w:ascii="Times New Roman" w:hAnsi="Times New Roman" w:cs="Times New Roman" w:eastAsia="Times New Roman" w:hint="default"/>
          <w:spacing w:val="2"/>
        </w:rPr>
        <w:t>“</w:t>
      </w:r>
      <w:r>
        <w:rPr>
          <w:spacing w:val="2"/>
        </w:rPr>
        <w:t>久其云学堂</w:t>
      </w:r>
      <w:r>
        <w:rPr>
          <w:rFonts w:ascii="Times New Roman" w:hAnsi="Times New Roman" w:cs="Times New Roman" w:eastAsia="Times New Roman" w:hint="default"/>
          <w:spacing w:val="2"/>
        </w:rPr>
        <w:t>”</w:t>
      </w:r>
      <w:r>
        <w:rPr>
          <w:rFonts w:ascii="Times New Roman" w:hAnsi="Times New Roman" w:cs="Times New Roman" w:eastAsia="Times New Roman" w:hint="default"/>
          <w:w w:val="100"/>
        </w:rPr>
        <w:t> </w:t>
      </w:r>
      <w:r>
        <w:rPr/>
        <w:t>和</w:t>
      </w:r>
      <w:r>
        <w:rPr>
          <w:rFonts w:ascii="Times New Roman" w:hAnsi="Times New Roman" w:cs="Times New Roman" w:eastAsia="Times New Roman" w:hint="default"/>
        </w:rPr>
        <w:t>“</w:t>
      </w:r>
      <w:r>
        <w:rPr/>
        <w:t>创新创业奖励基金</w:t>
      </w:r>
      <w:r>
        <w:rPr>
          <w:rFonts w:ascii="Times New Roman" w:hAnsi="Times New Roman" w:cs="Times New Roman" w:eastAsia="Times New Roman" w:hint="default"/>
        </w:rPr>
        <w:t>”</w:t>
      </w:r>
      <w:r>
        <w:rPr/>
        <w:t>，为职工提供内容丰富的培训，提高职工创新技能与热情。公司还设有</w:t>
      </w:r>
      <w:r>
        <w:rPr>
          <w:rFonts w:ascii="Times New Roman" w:hAnsi="Times New Roman" w:cs="Times New Roman" w:eastAsia="Times New Roman" w:hint="default"/>
        </w:rPr>
        <w:t>“</w:t>
      </w:r>
      <w:r>
        <w:rPr/>
        <w:t>久其人俱乐部</w:t>
      </w:r>
      <w:r>
        <w:rPr>
          <w:rFonts w:ascii="Times New Roman" w:hAnsi="Times New Roman" w:cs="Times New Roman" w:eastAsia="Times New Roman" w:hint="default"/>
        </w:rPr>
        <w:t>”</w:t>
      </w:r>
      <w:r>
        <w:rPr/>
        <w:t>，强化职工关 怀，实现职工与企业的共同成长。公司积极支持和参与社会公益事业，多次组织志愿者到北京关爱学校等慈善机构做公益、</w:t>
      </w:r>
      <w:r>
        <w:rPr>
          <w:spacing w:val="-85"/>
        </w:rPr>
        <w:t> </w:t>
      </w:r>
      <w:r>
        <w:rPr>
          <w:spacing w:val="-85"/>
        </w:rPr>
      </w:r>
      <w:r>
        <w:rPr/>
        <w:t>献爱心，组织员工为贫困地区捐赠衣物，同时积极帮助有困难的员工，为构建和谐社会做出贡献。</w:t>
      </w:r>
    </w:p>
    <w:p>
      <w:pPr>
        <w:spacing w:line="240" w:lineRule="auto" w:before="1"/>
        <w:rPr>
          <w:rFonts w:ascii="宋体" w:hAnsi="宋体" w:cs="宋体" w:eastAsia="宋体" w:hint="default"/>
          <w:sz w:val="26"/>
          <w:szCs w:val="26"/>
        </w:rPr>
      </w:pPr>
    </w:p>
    <w:p>
      <w:pPr>
        <w:pStyle w:val="BodyText"/>
        <w:spacing w:line="300" w:lineRule="auto"/>
        <w:ind w:right="1132"/>
        <w:jc w:val="left"/>
      </w:pPr>
      <w:r>
        <w:rPr/>
        <w:t>（</w:t>
      </w:r>
      <w:r>
        <w:rPr>
          <w:rFonts w:ascii="Times New Roman" w:hAnsi="Times New Roman" w:cs="Times New Roman" w:eastAsia="Times New Roman" w:hint="default"/>
        </w:rPr>
        <w:t>3</w:t>
      </w:r>
      <w:r>
        <w:rPr/>
        <w:t>）客户和供应商权益保护 公司建立了完善的售后服务体系，为客户提供及时、专业的服务，凭借</w:t>
      </w:r>
      <w:r>
        <w:rPr>
          <w:rFonts w:ascii="Times New Roman" w:hAnsi="Times New Roman" w:cs="Times New Roman" w:eastAsia="Times New Roman" w:hint="default"/>
        </w:rPr>
        <w:t>“</w:t>
      </w:r>
      <w:r>
        <w:rPr/>
        <w:t>久其软件，钻石品质</w:t>
      </w:r>
      <w:r>
        <w:rPr>
          <w:rFonts w:ascii="Times New Roman" w:hAnsi="Times New Roman" w:cs="Times New Roman" w:eastAsia="Times New Roman" w:hint="default"/>
        </w:rPr>
        <w:t>”</w:t>
      </w:r>
      <w:r>
        <w:rPr/>
        <w:t>的发展愿景和</w:t>
      </w:r>
      <w:r>
        <w:rPr>
          <w:rFonts w:ascii="Times New Roman" w:hAnsi="Times New Roman" w:cs="Times New Roman" w:eastAsia="Times New Roman" w:hint="default"/>
        </w:rPr>
        <w:t>“</w:t>
      </w:r>
      <w:r>
        <w:rPr/>
        <w:t>天长地久，与 其为友</w:t>
      </w:r>
      <w:r>
        <w:rPr>
          <w:rFonts w:ascii="Times New Roman" w:hAnsi="Times New Roman" w:cs="Times New Roman" w:eastAsia="Times New Roman" w:hint="default"/>
        </w:rPr>
        <w:t>”</w:t>
      </w:r>
      <w:r>
        <w:rPr/>
        <w:t>的客户观在政府和企业领域积累了大量的优质客户资源。公司不断提升管理和服务水平，与客户和供应商建立并长 期保持着良好合作关系，共同营造诚信、公平、共赢的合作氛围。</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2、履行精准扶贫社会责任情况" w:id="102"/>
      <w:bookmarkEnd w:id="102"/>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公司报告年度暂未开展精准扶贫工作，也暂无后续精准扶贫计划。</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环境保护相关的情况" w:id="103"/>
      <w:bookmarkEnd w:id="103"/>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5712"/>
        <w:jc w:val="left"/>
      </w:pPr>
      <w:r>
        <w:rPr/>
        <w:t>上市公司及其子公司是否属于环境保护部门公布的重点排污单位 否</w:t>
      </w:r>
    </w:p>
    <w:p>
      <w:pPr>
        <w:pStyle w:val="BodyText"/>
        <w:spacing w:line="316" w:lineRule="auto" w:before="27"/>
        <w:ind w:right="0"/>
        <w:jc w:val="left"/>
      </w:pPr>
      <w:r>
        <w:rPr>
          <w:spacing w:val="-2"/>
        </w:rPr>
        <w:t>公司隶属于软件和信息技术服务业，主营业务为管理软件和数字传播，不属于环境保护部门公布的重点排污单位，在日常生</w:t>
      </w:r>
      <w:r>
        <w:rPr>
          <w:spacing w:val="-66"/>
        </w:rPr>
        <w:t> </w:t>
      </w:r>
      <w:r>
        <w:rPr>
          <w:spacing w:val="-66"/>
        </w:rPr>
      </w:r>
      <w:r>
        <w:rPr/>
        <w:t>产经营过程中不存在产生、排放污染物等不利环境保护的情形。</w:t>
      </w:r>
    </w:p>
    <w:p>
      <w:pPr>
        <w:spacing w:after="0" w:line="316" w:lineRule="auto"/>
        <w:jc w:val="left"/>
        <w:sectPr>
          <w:pgSz w:w="11910" w:h="16840"/>
          <w:pgMar w:header="877"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both"/>
        <w:rPr>
          <w:b w:val="0"/>
          <w:bCs w:val="0"/>
        </w:rPr>
      </w:pPr>
      <w:bookmarkStart w:name="十九、其他重大事项的说明" w:id="104"/>
      <w:bookmarkEnd w:id="104"/>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1"/>
        </w:rPr>
        <w:t>1</w:t>
      </w:r>
      <w:r>
        <w:rPr>
          <w:spacing w:val="-1"/>
        </w:rPr>
        <w:t>、经公司于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5</w:t>
      </w:r>
      <w:r>
        <w:rPr>
          <w:spacing w:val="-1"/>
        </w:rPr>
        <w:t>日召开的</w:t>
      </w:r>
      <w:r>
        <w:rPr>
          <w:rFonts w:ascii="Times New Roman" w:hAnsi="Times New Roman" w:cs="Times New Roman" w:eastAsia="Times New Roman" w:hint="default"/>
          <w:spacing w:val="-1"/>
        </w:rPr>
        <w:t>2017</w:t>
      </w:r>
      <w:r>
        <w:rPr>
          <w:spacing w:val="-1"/>
        </w:rPr>
        <w:t>年第四次临时股东大会审议通过，公司拟以配股公开发行股票的方式募集资金</w:t>
      </w:r>
      <w:r>
        <w:rPr>
          <w:rFonts w:ascii="Times New Roman" w:hAnsi="Times New Roman" w:cs="Times New Roman" w:eastAsia="Times New Roman" w:hint="default"/>
          <w:spacing w:val="-1"/>
        </w:rPr>
        <w:t>12.448</w:t>
      </w:r>
      <w:r>
        <w:rPr>
          <w:rFonts w:ascii="Times New Roman" w:hAnsi="Times New Roman" w:cs="Times New Roman" w:eastAsia="Times New Roman" w:hint="default"/>
          <w:spacing w:val="-18"/>
        </w:rPr>
        <w:t> </w:t>
      </w:r>
      <w:r>
        <w:rPr>
          <w:spacing w:val="-1"/>
        </w:rPr>
        <w:t>亿元用于收购久其科技持有的上海移通</w:t>
      </w:r>
      <w:r>
        <w:rPr>
          <w:rFonts w:ascii="Times New Roman" w:hAnsi="Times New Roman" w:cs="Times New Roman" w:eastAsia="Times New Roman" w:hint="default"/>
          <w:spacing w:val="-1"/>
        </w:rPr>
        <w:t>49%</w:t>
      </w:r>
      <w:r>
        <w:rPr>
          <w:spacing w:val="-1"/>
        </w:rPr>
        <w:t>股权，并支付收购上海移通</w:t>
      </w:r>
      <w:r>
        <w:rPr>
          <w:rFonts w:ascii="Times New Roman" w:hAnsi="Times New Roman" w:cs="Times New Roman" w:eastAsia="Times New Roman" w:hint="default"/>
          <w:spacing w:val="-1"/>
        </w:rPr>
        <w:t>51%</w:t>
      </w:r>
      <w:r>
        <w:rPr>
          <w:spacing w:val="-1"/>
        </w:rPr>
        <w:t>股权的第二期对价款。公司向中国证监会申报配</w:t>
      </w:r>
    </w:p>
    <w:p>
      <w:pPr>
        <w:pStyle w:val="BodyText"/>
        <w:spacing w:line="300" w:lineRule="auto"/>
        <w:ind w:right="1128"/>
        <w:jc w:val="both"/>
      </w:pPr>
      <w:r>
        <w:rPr>
          <w:spacing w:val="-5"/>
        </w:rPr>
        <w:t>股申请文件后，于</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18</w:t>
      </w:r>
      <w:r>
        <w:rPr>
          <w:spacing w:val="-5"/>
        </w:rPr>
        <w:t>日收到《中国证监会行政许可申请受理通知书》（</w:t>
      </w:r>
      <w:r>
        <w:rPr>
          <w:rFonts w:ascii="Times New Roman" w:hAnsi="Times New Roman" w:cs="Times New Roman" w:eastAsia="Times New Roman" w:hint="default"/>
          <w:spacing w:val="-5"/>
        </w:rPr>
        <w:t>172491</w:t>
      </w:r>
      <w:r>
        <w:rPr>
          <w:spacing w:val="-5"/>
        </w:rPr>
        <w:t>号）。由于资本市场环境发生变化，</w:t>
      </w:r>
      <w:r>
        <w:rPr>
          <w:spacing w:val="-47"/>
        </w:rPr>
        <w:t> </w:t>
      </w:r>
      <w:r>
        <w:rPr>
          <w:spacing w:val="-47"/>
        </w:rPr>
      </w:r>
      <w:r>
        <w:rPr/>
        <w:t>为了充分维护广大投资者特别是中小投资者的利益，</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日召开的公司</w:t>
      </w:r>
      <w:r>
        <w:rPr>
          <w:rFonts w:ascii="Times New Roman" w:hAnsi="Times New Roman" w:cs="Times New Roman" w:eastAsia="Times New Roman" w:hint="default"/>
        </w:rPr>
        <w:t>2018</w:t>
      </w:r>
      <w:r>
        <w:rPr/>
        <w:t>年第二次临时股东大会审议通过了《关</w:t>
      </w:r>
      <w:r>
        <w:rPr>
          <w:spacing w:val="-82"/>
        </w:rPr>
        <w:t> </w:t>
      </w:r>
      <w:r>
        <w:rPr>
          <w:spacing w:val="-82"/>
        </w:rPr>
      </w:r>
      <w:r>
        <w:rPr/>
        <w:t>于终止公司配股方案并撤回配股申请文件的议案》，同意公司终止配股方案并向中国证监会申请撤回配股申请文件。</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w:t>
      </w:r>
      <w:r>
        <w:rPr>
          <w:spacing w:val="-1"/>
        </w:rPr>
        <w:t>日，公司收到《中国证监会行政许可申请终止审查通知书》（</w:t>
      </w:r>
      <w:r>
        <w:rPr>
          <w:rFonts w:ascii="Times New Roman" w:hAnsi="Times New Roman" w:cs="Times New Roman" w:eastAsia="Times New Roman" w:hint="default"/>
          <w:spacing w:val="-1"/>
        </w:rPr>
        <w:t>[2018]63</w:t>
      </w:r>
      <w:r>
        <w:rPr>
          <w:spacing w:val="-1"/>
        </w:rPr>
        <w:t>号）。具体情况详见公司于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12</w:t>
      </w:r>
      <w:r>
        <w:rPr>
          <w:spacing w:val="-1"/>
        </w:rPr>
        <w:t>日和</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7"/>
        </w:rPr>
        <w:t> </w:t>
      </w:r>
      <w:r>
        <w:rPr/>
        <w:t>月</w:t>
      </w:r>
      <w:r>
        <w:rPr>
          <w:rFonts w:ascii="Times New Roman" w:hAnsi="Times New Roman" w:cs="Times New Roman" w:eastAsia="Times New Roman" w:hint="default"/>
        </w:rPr>
        <w:t>3</w:t>
      </w:r>
      <w:r>
        <w:rPr/>
        <w:t>日在巨潮资讯网（</w:t>
      </w:r>
      <w:hyperlink r:id="rId13">
        <w:r>
          <w:rPr>
            <w:rFonts w:ascii="Times New Roman" w:hAnsi="Times New Roman" w:cs="Times New Roman" w:eastAsia="Times New Roman" w:hint="default"/>
          </w:rPr>
          <w:t>www.cninfo.com.cn</w:t>
        </w:r>
      </w:hyperlink>
      <w:r>
        <w:rPr/>
        <w:t>）上披露的相关公告。</w:t>
      </w:r>
    </w:p>
    <w:p>
      <w:pPr>
        <w:spacing w:line="240" w:lineRule="auto" w:before="11"/>
        <w:rPr>
          <w:rFonts w:ascii="宋体" w:hAnsi="宋体" w:cs="宋体" w:eastAsia="宋体" w:hint="default"/>
          <w:sz w:val="24"/>
          <w:szCs w:val="24"/>
        </w:rPr>
      </w:pPr>
    </w:p>
    <w:p>
      <w:pPr>
        <w:pStyle w:val="BodyText"/>
        <w:spacing w:line="309" w:lineRule="auto"/>
        <w:ind w:right="1130"/>
        <w:jc w:val="both"/>
      </w:pPr>
      <w:r>
        <w:rPr>
          <w:rFonts w:ascii="Times New Roman" w:hAnsi="Times New Roman" w:cs="Times New Roman" w:eastAsia="Times New Roman" w:hint="default"/>
          <w:spacing w:val="-2"/>
        </w:rPr>
        <w:t>2</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14</w:t>
      </w:r>
      <w:r>
        <w:rPr>
          <w:spacing w:val="-2"/>
        </w:rPr>
        <w:t>日召开的第六届董事会第二十七次会议审议通过了《关于减资退出参股企业北京信诺软通信息技术有</w:t>
      </w:r>
      <w:r>
        <w:rPr>
          <w:spacing w:val="-56"/>
        </w:rPr>
        <w:t> </w:t>
      </w:r>
      <w:r>
        <w:rPr>
          <w:spacing w:val="-56"/>
        </w:rPr>
      </w:r>
      <w:r>
        <w:rPr>
          <w:spacing w:val="-2"/>
        </w:rPr>
        <w:t>限公司的议案》，鉴于双方在考试服务领域的合作未及预期，考虑公司战略因素，经双方友好协商，北京信诺软通信息技术</w:t>
      </w:r>
      <w:r>
        <w:rPr>
          <w:spacing w:val="-66"/>
        </w:rPr>
        <w:t> </w:t>
      </w:r>
      <w:r>
        <w:rPr>
          <w:spacing w:val="-66"/>
        </w:rPr>
      </w:r>
      <w:r>
        <w:rPr/>
        <w:t>有限公司将对公司持有的股权实施定向回购并减资。截至报告期末，公司已收回全部</w:t>
      </w:r>
      <w:r>
        <w:rPr>
          <w:rFonts w:ascii="Times New Roman" w:hAnsi="Times New Roman" w:cs="Times New Roman" w:eastAsia="Times New Roman" w:hint="default"/>
        </w:rPr>
        <w:t>300</w:t>
      </w:r>
      <w:r>
        <w:rPr/>
        <w:t>万元股权投资款及其利息。</w:t>
      </w:r>
    </w:p>
    <w:p>
      <w:pPr>
        <w:spacing w:line="240" w:lineRule="auto" w:before="3"/>
        <w:rPr>
          <w:rFonts w:ascii="宋体" w:hAnsi="宋体" w:cs="宋体" w:eastAsia="宋体" w:hint="default"/>
          <w:sz w:val="24"/>
          <w:szCs w:val="24"/>
        </w:rPr>
      </w:pPr>
    </w:p>
    <w:p>
      <w:pPr>
        <w:pStyle w:val="BodyText"/>
        <w:spacing w:line="309" w:lineRule="auto"/>
        <w:ind w:right="1129"/>
        <w:jc w:val="both"/>
      </w:pPr>
      <w:r>
        <w:rPr>
          <w:rFonts w:ascii="Times New Roman" w:hAnsi="Times New Roman" w:cs="Times New Roman" w:eastAsia="Times New Roman" w:hint="default"/>
          <w:spacing w:val="-2"/>
        </w:rPr>
        <w:t>3</w:t>
      </w:r>
      <w:r>
        <w:rPr>
          <w:spacing w:val="-2"/>
        </w:rPr>
        <w:t>、随着行业竞争不断加剧，业务融合效应未达预期，数字传播业务</w:t>
      </w:r>
      <w:r>
        <w:rPr>
          <w:rFonts w:ascii="Times New Roman" w:hAnsi="Times New Roman" w:cs="Times New Roman" w:eastAsia="Times New Roman" w:hint="default"/>
          <w:spacing w:val="-2"/>
        </w:rPr>
        <w:t>2018</w:t>
      </w:r>
      <w:r>
        <w:rPr>
          <w:spacing w:val="-2"/>
        </w:rPr>
        <w:t>年整体业绩出现下滑。公司于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27</w:t>
      </w:r>
      <w:r>
        <w:rPr>
          <w:spacing w:val="-2"/>
        </w:rPr>
        <w:t>日召开的</w:t>
      </w:r>
      <w:r>
        <w:rPr>
          <w:spacing w:val="-54"/>
        </w:rPr>
        <w:t> </w:t>
      </w:r>
      <w:r>
        <w:rPr>
          <w:spacing w:val="-8"/>
        </w:rPr>
        <w:t>第六届董事会第三十五次（临时）会议和第六届监事会第二十二次（临时）会议审议通过了《关于计提资产减值准备的议案》，</w:t>
      </w:r>
      <w:r>
        <w:rPr>
          <w:spacing w:val="-87"/>
        </w:rPr>
        <w:t> </w:t>
      </w:r>
      <w:r>
        <w:rPr>
          <w:spacing w:val="-87"/>
        </w:rPr>
      </w:r>
      <w:r>
        <w:rPr>
          <w:spacing w:val="4"/>
        </w:rPr>
        <w:t>同意公司对可能发生的商誉减值损失计提减值准备，具体情况详见公司于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28</w:t>
      </w:r>
      <w:r>
        <w:rPr>
          <w:spacing w:val="4"/>
        </w:rPr>
        <w:t>日和</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30</w:t>
      </w:r>
      <w:r>
        <w:rPr>
          <w:spacing w:val="4"/>
        </w:rPr>
        <w:t>日在巨潮资讯网</w:t>
      </w:r>
    </w:p>
    <w:p>
      <w:pPr>
        <w:pStyle w:val="BodyText"/>
        <w:spacing w:line="240" w:lineRule="auto" w:before="5"/>
        <w:ind w:right="0"/>
        <w:jc w:val="both"/>
      </w:pPr>
      <w:r>
        <w:rPr/>
        <w:t>（</w:t>
      </w:r>
      <w:hyperlink r:id="rId13">
        <w:r>
          <w:rPr>
            <w:rFonts w:ascii="Times New Roman" w:hAnsi="Times New Roman" w:cs="Times New Roman" w:eastAsia="Times New Roman" w:hint="default"/>
          </w:rPr>
          <w:t>www.cninfo.com.cn</w:t>
        </w:r>
      </w:hyperlink>
      <w:r>
        <w:rPr/>
        <w:t>）上披露的《关于计提资产减值准备的公告》及《商誉减值测试报告》。</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bookmarkStart w:name="二十、公司子公司重大事项" w:id="105"/>
      <w:bookmarkEnd w:id="105"/>
      <w:r>
        <w:rPr>
          <w:b w:val="0"/>
          <w:bCs w:val="0"/>
        </w:rPr>
      </w:r>
      <w:r>
        <w:rPr/>
        <w:t>二十、公司子公司重大事项</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2"/>
        </w:rPr>
        <w:t>1</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16</w:t>
      </w:r>
      <w:r>
        <w:rPr>
          <w:spacing w:val="-2"/>
        </w:rPr>
        <w:t>日召开的第六届董事会第二十二次会议审议通过了关于华夏电通、亿起联科技以及久其政务向公司分</w:t>
      </w:r>
      <w:r>
        <w:rPr>
          <w:spacing w:val="-56"/>
        </w:rPr>
        <w:t> </w:t>
      </w:r>
      <w:r>
        <w:rPr>
          <w:spacing w:val="-56"/>
        </w:rPr>
      </w:r>
      <w:r>
        <w:rPr/>
        <w:t>红</w:t>
      </w:r>
      <w:r>
        <w:rPr>
          <w:spacing w:val="-68"/>
        </w:rPr>
        <w:t> </w:t>
      </w:r>
      <w:r>
        <w:rPr/>
        <w:t>的</w:t>
      </w:r>
      <w:r>
        <w:rPr>
          <w:spacing w:val="-68"/>
        </w:rPr>
        <w:t> </w:t>
      </w:r>
      <w:r>
        <w:rPr/>
        <w:t>议</w:t>
      </w:r>
      <w:r>
        <w:rPr>
          <w:spacing w:val="-68"/>
        </w:rPr>
        <w:t> </w:t>
      </w:r>
      <w:r>
        <w:rPr/>
        <w:t>案</w:t>
      </w:r>
      <w:r>
        <w:rPr>
          <w:spacing w:val="-68"/>
        </w:rPr>
        <w:t> </w:t>
      </w:r>
      <w:r>
        <w:rPr/>
        <w:t>，</w:t>
      </w:r>
      <w:r>
        <w:rPr>
          <w:spacing w:val="-69"/>
        </w:rPr>
        <w:t> </w:t>
      </w:r>
      <w:r>
        <w:rPr/>
        <w:t>报</w:t>
      </w:r>
      <w:r>
        <w:rPr>
          <w:spacing w:val="-69"/>
        </w:rPr>
        <w:t> </w:t>
      </w:r>
      <w:r>
        <w:rPr/>
        <w:t>告</w:t>
      </w:r>
      <w:r>
        <w:rPr>
          <w:spacing w:val="-68"/>
        </w:rPr>
        <w:t> </w:t>
      </w:r>
      <w:r>
        <w:rPr/>
        <w:t>期</w:t>
      </w:r>
      <w:r>
        <w:rPr>
          <w:spacing w:val="-68"/>
        </w:rPr>
        <w:t> </w:t>
      </w:r>
      <w:r>
        <w:rPr/>
        <w:t>内</w:t>
      </w:r>
      <w:r>
        <w:rPr>
          <w:spacing w:val="-68"/>
        </w:rPr>
        <w:t> </w:t>
      </w:r>
      <w:r>
        <w:rPr/>
        <w:t>公</w:t>
      </w:r>
      <w:r>
        <w:rPr>
          <w:spacing w:val="-68"/>
        </w:rPr>
        <w:t> </w:t>
      </w:r>
      <w:r>
        <w:rPr/>
        <w:t>司</w:t>
      </w:r>
      <w:r>
        <w:rPr>
          <w:spacing w:val="-69"/>
        </w:rPr>
        <w:t> </w:t>
      </w:r>
      <w:r>
        <w:rPr/>
        <w:t>已</w:t>
      </w:r>
      <w:r>
        <w:rPr>
          <w:spacing w:val="-69"/>
        </w:rPr>
        <w:t> </w:t>
      </w:r>
      <w:r>
        <w:rPr/>
        <w:t>收</w:t>
      </w:r>
      <w:r>
        <w:rPr>
          <w:spacing w:val="-68"/>
        </w:rPr>
        <w:t> </w:t>
      </w:r>
      <w:r>
        <w:rPr/>
        <w:t>到</w:t>
      </w:r>
      <w:r>
        <w:rPr>
          <w:spacing w:val="-68"/>
        </w:rPr>
        <w:t> </w:t>
      </w:r>
      <w:r>
        <w:rPr/>
        <w:t>上</w:t>
      </w:r>
      <w:r>
        <w:rPr>
          <w:spacing w:val="-68"/>
        </w:rPr>
        <w:t> </w:t>
      </w:r>
      <w:r>
        <w:rPr/>
        <w:t>述</w:t>
      </w:r>
      <w:r>
        <w:rPr>
          <w:spacing w:val="-68"/>
        </w:rPr>
        <w:t> </w:t>
      </w:r>
      <w:r>
        <w:rPr/>
        <w:t>三</w:t>
      </w:r>
      <w:r>
        <w:rPr>
          <w:spacing w:val="-69"/>
        </w:rPr>
        <w:t> </w:t>
      </w:r>
      <w:r>
        <w:rPr/>
        <w:t>家</w:t>
      </w:r>
      <w:r>
        <w:rPr>
          <w:spacing w:val="-69"/>
        </w:rPr>
        <w:t> </w:t>
      </w:r>
      <w:r>
        <w:rPr/>
        <w:t>子</w:t>
      </w:r>
      <w:r>
        <w:rPr>
          <w:spacing w:val="-68"/>
        </w:rPr>
        <w:t> </w:t>
      </w:r>
      <w:r>
        <w:rPr/>
        <w:t>公</w:t>
      </w:r>
      <w:r>
        <w:rPr>
          <w:spacing w:val="-68"/>
        </w:rPr>
        <w:t> </w:t>
      </w:r>
      <w:r>
        <w:rPr/>
        <w:t>司</w:t>
      </w:r>
      <w:r>
        <w:rPr>
          <w:spacing w:val="-68"/>
        </w:rPr>
        <w:t> </w:t>
      </w:r>
      <w:r>
        <w:rPr/>
        <w:t>的</w:t>
      </w:r>
      <w:r>
        <w:rPr>
          <w:spacing w:val="-68"/>
        </w:rPr>
        <w:t> </w:t>
      </w:r>
      <w:r>
        <w:rPr/>
        <w:t>分</w:t>
      </w:r>
      <w:r>
        <w:rPr>
          <w:spacing w:val="-69"/>
        </w:rPr>
        <w:t> </w:t>
      </w:r>
      <w:r>
        <w:rPr/>
        <w:t>红</w:t>
      </w:r>
      <w:r>
        <w:rPr>
          <w:spacing w:val="-69"/>
        </w:rPr>
        <w:t> </w:t>
      </w:r>
      <w:r>
        <w:rPr/>
        <w:t>款</w:t>
      </w:r>
      <w:r>
        <w:rPr>
          <w:spacing w:val="-68"/>
        </w:rPr>
        <w:t> </w:t>
      </w:r>
      <w:r>
        <w:rPr/>
        <w:t>。</w:t>
      </w:r>
      <w:r>
        <w:rPr>
          <w:spacing w:val="-68"/>
        </w:rPr>
        <w:t> </w:t>
      </w:r>
      <w:r>
        <w:rPr/>
        <w:t>具</w:t>
      </w:r>
      <w:r>
        <w:rPr>
          <w:spacing w:val="-68"/>
        </w:rPr>
        <w:t> </w:t>
      </w:r>
      <w:r>
        <w:rPr/>
        <w:t>体</w:t>
      </w:r>
      <w:r>
        <w:rPr>
          <w:spacing w:val="-68"/>
        </w:rPr>
        <w:t> </w:t>
      </w:r>
      <w:r>
        <w:rPr/>
        <w:t>情</w:t>
      </w:r>
      <w:r>
        <w:rPr>
          <w:spacing w:val="-69"/>
        </w:rPr>
        <w:t> </w:t>
      </w:r>
      <w:r>
        <w:rPr/>
        <w:t>况</w:t>
      </w:r>
      <w:r>
        <w:rPr>
          <w:spacing w:val="-69"/>
        </w:rPr>
        <w:t> </w:t>
      </w:r>
      <w:r>
        <w:rPr/>
        <w:t>详</w:t>
      </w:r>
      <w:r>
        <w:rPr>
          <w:spacing w:val="-68"/>
        </w:rPr>
        <w:t> </w:t>
      </w:r>
      <w:r>
        <w:rPr/>
        <w:t>见</w:t>
      </w:r>
      <w:r>
        <w:rPr>
          <w:spacing w:val="-68"/>
        </w:rPr>
        <w:t> </w:t>
      </w:r>
      <w:r>
        <w:rPr/>
        <w:t>公</w:t>
      </w:r>
      <w:r>
        <w:rPr>
          <w:spacing w:val="-68"/>
        </w:rPr>
        <w:t> </w:t>
      </w:r>
      <w:r>
        <w:rPr/>
        <w:t>司</w:t>
      </w:r>
      <w:r>
        <w:rPr>
          <w:spacing w:val="-68"/>
        </w:rPr>
        <w:t> </w:t>
      </w:r>
      <w:r>
        <w:rPr/>
        <w:t>于</w:t>
      </w:r>
      <w:r>
        <w:rPr>
          <w:spacing w:val="-5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2"/>
        </w:rPr>
        <w:t> </w:t>
      </w:r>
      <w:r>
        <w:rPr/>
        <w:t>年</w:t>
      </w:r>
      <w:r>
        <w:rPr>
          <w:spacing w:val="-67"/>
        </w:rPr>
        <w:t> </w:t>
      </w:r>
      <w:r>
        <w:rPr>
          <w:rFonts w:ascii="Times New Roman" w:hAnsi="Times New Roman" w:cs="Times New Roman" w:eastAsia="Times New Roman" w:hint="default"/>
        </w:rPr>
        <w:t>4</w:t>
      </w:r>
      <w:r>
        <w:rPr>
          <w:rFonts w:ascii="Times New Roman" w:hAnsi="Times New Roman" w:cs="Times New Roman" w:eastAsia="Times New Roman" w:hint="default"/>
          <w:spacing w:val="-22"/>
        </w:rPr>
        <w:t> </w:t>
      </w:r>
      <w:r>
        <w:rPr/>
        <w:t>月</w:t>
      </w:r>
      <w:r>
        <w:rPr>
          <w:spacing w:val="-67"/>
        </w:rPr>
        <w:t> </w:t>
      </w:r>
      <w:r>
        <w:rPr>
          <w:rFonts w:ascii="Times New Roman" w:hAnsi="Times New Roman" w:cs="Times New Roman" w:eastAsia="Times New Roman" w:hint="default"/>
        </w:rPr>
        <w:t>16</w:t>
      </w:r>
      <w:r>
        <w:rPr>
          <w:rFonts w:ascii="Times New Roman" w:hAnsi="Times New Roman" w:cs="Times New Roman" w:eastAsia="Times New Roman" w:hint="default"/>
          <w:spacing w:val="-24"/>
        </w:rPr>
        <w:t> </w:t>
      </w:r>
      <w:r>
        <w:rPr/>
        <w:t>日</w:t>
      </w:r>
      <w:r>
        <w:rPr>
          <w:spacing w:val="-69"/>
        </w:rPr>
        <w:t> </w:t>
      </w:r>
      <w:r>
        <w:rPr/>
        <w:t>在</w:t>
      </w:r>
      <w:r>
        <w:rPr>
          <w:spacing w:val="-68"/>
        </w:rPr>
        <w:t> </w:t>
      </w:r>
      <w:r>
        <w:rPr/>
        <w:t>巨</w:t>
      </w:r>
      <w:r>
        <w:rPr>
          <w:spacing w:val="-68"/>
        </w:rPr>
        <w:t> </w:t>
      </w:r>
      <w:r>
        <w:rPr/>
        <w:t>潮</w:t>
      </w:r>
      <w:r>
        <w:rPr>
          <w:spacing w:val="-68"/>
        </w:rPr>
        <w:t> </w:t>
      </w:r>
      <w:r>
        <w:rPr/>
        <w:t>资</w:t>
      </w:r>
      <w:r>
        <w:rPr>
          <w:spacing w:val="-68"/>
        </w:rPr>
        <w:t> </w:t>
      </w:r>
      <w:r>
        <w:rPr/>
        <w:t>讯</w:t>
      </w:r>
      <w:r>
        <w:rPr>
          <w:spacing w:val="-68"/>
        </w:rPr>
        <w:t> </w:t>
      </w:r>
      <w:r>
        <w:rPr/>
        <w:t>网</w:t>
      </w:r>
    </w:p>
    <w:p>
      <w:pPr>
        <w:pStyle w:val="BodyText"/>
        <w:spacing w:line="246" w:lineRule="exact"/>
        <w:ind w:right="0"/>
        <w:jc w:val="both"/>
      </w:pPr>
      <w:r>
        <w:rPr/>
        <w:t>（</w:t>
      </w:r>
      <w:hyperlink r:id="rId13">
        <w:r>
          <w:rPr>
            <w:rFonts w:ascii="Times New Roman" w:hAnsi="Times New Roman" w:cs="Times New Roman" w:eastAsia="Times New Roman" w:hint="default"/>
          </w:rPr>
          <w:t>www.cninfo.com.cn</w:t>
        </w:r>
      </w:hyperlink>
      <w:r>
        <w:rPr/>
        <w:t>）上披露的相关公告。</w:t>
      </w:r>
    </w:p>
    <w:p>
      <w:pPr>
        <w:spacing w:line="240" w:lineRule="auto" w:before="0"/>
        <w:rPr>
          <w:rFonts w:ascii="宋体" w:hAnsi="宋体" w:cs="宋体" w:eastAsia="宋体" w:hint="default"/>
          <w:sz w:val="18"/>
          <w:szCs w:val="18"/>
        </w:rPr>
      </w:pPr>
    </w:p>
    <w:p>
      <w:pPr>
        <w:pStyle w:val="BodyText"/>
        <w:spacing w:line="300" w:lineRule="auto" w:before="139"/>
        <w:ind w:right="1130"/>
        <w:jc w:val="both"/>
      </w:pPr>
      <w:r>
        <w:rPr>
          <w:rFonts w:ascii="Times New Roman" w:hAnsi="Times New Roman" w:cs="Times New Roman" w:eastAsia="Times New Roman" w:hint="default"/>
          <w:spacing w:val="-2"/>
        </w:rPr>
        <w:t>2</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16</w:t>
      </w:r>
      <w:r>
        <w:rPr>
          <w:spacing w:val="-2"/>
        </w:rPr>
        <w:t>日召开的第六届董事会第二十二次会议和第六届监事会第十二次会议审议通过了关于瑞意恒动核销部</w:t>
      </w:r>
      <w:r>
        <w:rPr>
          <w:spacing w:val="-56"/>
        </w:rPr>
        <w:t> </w:t>
      </w:r>
      <w:r>
        <w:rPr/>
        <w:t>分应收款项的议案，本次核销的应收账款共计</w:t>
      </w:r>
      <w:r>
        <w:rPr>
          <w:rFonts w:ascii="Times New Roman" w:hAnsi="Times New Roman" w:cs="Times New Roman" w:eastAsia="Times New Roman" w:hint="default"/>
        </w:rPr>
        <w:t>158,147.00</w:t>
      </w:r>
      <w:r>
        <w:rPr/>
        <w:t>元，核销的其他应收款共计</w:t>
      </w:r>
      <w:r>
        <w:rPr>
          <w:rFonts w:ascii="Times New Roman" w:hAnsi="Times New Roman" w:cs="Times New Roman" w:eastAsia="Times New Roman" w:hint="default"/>
        </w:rPr>
        <w:t>90,820.00</w:t>
      </w:r>
      <w:r>
        <w:rPr/>
        <w:t>元，且前期已全额计提坏账准</w:t>
      </w:r>
      <w:r>
        <w:rPr>
          <w:spacing w:val="-85"/>
        </w:rPr>
        <w:t> </w:t>
      </w:r>
      <w:r>
        <w:rPr>
          <w:spacing w:val="-85"/>
        </w:rPr>
      </w:r>
      <w:r>
        <w:rPr>
          <w:spacing w:val="7"/>
        </w:rPr>
        <w:t>备，</w:t>
      </w:r>
      <w:r>
        <w:rPr>
          <w:spacing w:val="-72"/>
        </w:rPr>
        <w:t> </w:t>
      </w:r>
      <w:r>
        <w:rPr>
          <w:spacing w:val="13"/>
        </w:rPr>
        <w:t>核销金额合计占瑞意恒动</w:t>
      </w:r>
      <w:r>
        <w:rPr>
          <w:spacing w:val="-69"/>
        </w:rPr>
        <w:t> </w:t>
      </w:r>
      <w:r>
        <w:rPr>
          <w:rFonts w:ascii="Times New Roman" w:hAnsi="Times New Roman" w:cs="Times New Roman" w:eastAsia="Times New Roman" w:hint="default"/>
          <w:spacing w:val="10"/>
        </w:rPr>
        <w:t>2017</w:t>
      </w:r>
      <w:r>
        <w:rPr>
          <w:spacing w:val="10"/>
        </w:rPr>
        <w:t>年度销售收入的比例为</w:t>
      </w:r>
      <w:r>
        <w:rPr>
          <w:spacing w:val="-70"/>
        </w:rPr>
        <w:t> </w:t>
      </w:r>
      <w:r>
        <w:rPr>
          <w:rFonts w:ascii="Times New Roman" w:hAnsi="Times New Roman" w:cs="Times New Roman" w:eastAsia="Times New Roman" w:hint="default"/>
          <w:spacing w:val="3"/>
        </w:rPr>
        <w:t>0.2%</w:t>
      </w:r>
      <w:r>
        <w:rPr>
          <w:spacing w:val="3"/>
        </w:rPr>
        <w:t>。</w:t>
      </w:r>
      <w:r>
        <w:rPr>
          <w:spacing w:val="-72"/>
        </w:rPr>
        <w:t> </w:t>
      </w:r>
      <w:r>
        <w:rPr>
          <w:spacing w:val="13"/>
        </w:rPr>
        <w:t>具体情况详见公司于</w:t>
      </w:r>
      <w:r>
        <w:rPr>
          <w:spacing w:val="-69"/>
        </w:rPr>
        <w:t> </w:t>
      </w:r>
      <w:r>
        <w:rPr>
          <w:rFonts w:ascii="Times New Roman" w:hAnsi="Times New Roman" w:cs="Times New Roman" w:eastAsia="Times New Roman" w:hint="default"/>
          <w:spacing w:val="10"/>
        </w:rPr>
        <w:t>2018</w:t>
      </w:r>
      <w:r>
        <w:rPr>
          <w:spacing w:val="10"/>
        </w:rPr>
        <w:t>年</w:t>
      </w:r>
      <w:r>
        <w:rPr>
          <w:rFonts w:ascii="Times New Roman" w:hAnsi="Times New Roman" w:cs="Times New Roman" w:eastAsia="Times New Roman" w:hint="default"/>
          <w:spacing w:val="10"/>
        </w:rPr>
        <w:t>4</w:t>
      </w:r>
      <w:r>
        <w:rPr>
          <w:spacing w:val="10"/>
        </w:rPr>
        <w:t>月</w:t>
      </w:r>
      <w:r>
        <w:rPr>
          <w:rFonts w:ascii="Times New Roman" w:hAnsi="Times New Roman" w:cs="Times New Roman" w:eastAsia="Times New Roman" w:hint="default"/>
          <w:spacing w:val="10"/>
        </w:rPr>
        <w:t>16</w:t>
      </w:r>
      <w:r>
        <w:rPr>
          <w:spacing w:val="10"/>
        </w:rPr>
        <w:t>日在巨潮资讯网</w:t>
      </w:r>
    </w:p>
    <w:p>
      <w:pPr>
        <w:pStyle w:val="BodyText"/>
        <w:spacing w:line="240" w:lineRule="auto" w:before="13"/>
        <w:ind w:right="0"/>
        <w:jc w:val="both"/>
      </w:pPr>
      <w:r>
        <w:rPr/>
        <w:t>（</w:t>
      </w:r>
      <w:hyperlink r:id="rId13">
        <w:r>
          <w:rPr>
            <w:rFonts w:ascii="Times New Roman" w:hAnsi="Times New Roman" w:cs="Times New Roman" w:eastAsia="Times New Roman" w:hint="default"/>
          </w:rPr>
          <w:t>www.cninfo.com.cn</w:t>
        </w:r>
      </w:hyperlink>
      <w:r>
        <w:rPr/>
        <w:t>）上披露的相关公告。</w:t>
      </w:r>
    </w:p>
    <w:p>
      <w:pPr>
        <w:spacing w:line="240" w:lineRule="auto" w:before="0"/>
        <w:rPr>
          <w:rFonts w:ascii="宋体" w:hAnsi="宋体" w:cs="宋体" w:eastAsia="宋体" w:hint="default"/>
          <w:sz w:val="18"/>
          <w:szCs w:val="18"/>
        </w:rPr>
      </w:pPr>
    </w:p>
    <w:p>
      <w:pPr>
        <w:pStyle w:val="BodyText"/>
        <w:spacing w:line="300" w:lineRule="auto" w:before="139"/>
        <w:ind w:right="1131"/>
        <w:jc w:val="both"/>
      </w:pPr>
      <w:r>
        <w:rPr>
          <w:rFonts w:ascii="Times New Roman" w:hAnsi="Times New Roman" w:cs="Times New Roman" w:eastAsia="Times New Roman" w:hint="default"/>
        </w:rPr>
        <w:t>3</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日召开的第六届董事会第二十八次（临时）会议和第六届监事会第十六次（临时）会议审议通过了将</w:t>
      </w:r>
      <w:r>
        <w:rPr>
          <w:spacing w:val="-83"/>
        </w:rPr>
        <w:t> </w:t>
      </w:r>
      <w:r>
        <w:rPr>
          <w:spacing w:val="-83"/>
        </w:rPr>
      </w:r>
      <w:r>
        <w:rPr/>
        <w:t>募集资金投资项目</w:t>
      </w:r>
      <w:r>
        <w:rPr>
          <w:rFonts w:ascii="Times New Roman" w:hAnsi="Times New Roman" w:cs="Times New Roman" w:eastAsia="Times New Roman" w:hint="default"/>
        </w:rPr>
        <w:t>“</w:t>
      </w:r>
      <w:r>
        <w:rPr/>
        <w:t>政企大数据平台</w:t>
      </w:r>
      <w:r>
        <w:rPr>
          <w:rFonts w:ascii="Times New Roman" w:hAnsi="Times New Roman" w:cs="Times New Roman" w:eastAsia="Times New Roman" w:hint="default"/>
        </w:rPr>
        <w:t>”</w:t>
      </w:r>
      <w:r>
        <w:rPr/>
        <w:t>的实施主体由公司增加为公司及华夏电通并以</w:t>
      </w:r>
      <w:r>
        <w:rPr>
          <w:rFonts w:ascii="Times New Roman" w:hAnsi="Times New Roman" w:cs="Times New Roman" w:eastAsia="Times New Roman" w:hint="default"/>
        </w:rPr>
        <w:t>4,000</w:t>
      </w:r>
      <w:r>
        <w:rPr/>
        <w:t>万元募集资金对华夏电通进行增资</w:t>
      </w:r>
      <w:r>
        <w:rPr>
          <w:spacing w:val="-27"/>
        </w:rPr>
        <w:t> </w:t>
      </w:r>
      <w:r>
        <w:rPr>
          <w:spacing w:val="-27"/>
        </w:rPr>
      </w:r>
      <w:r>
        <w:rPr/>
        <w:t>的议案，增资完成后，华夏电通的注册资本由</w:t>
      </w:r>
      <w:r>
        <w:rPr>
          <w:rFonts w:ascii="Times New Roman" w:hAnsi="Times New Roman" w:cs="Times New Roman" w:eastAsia="Times New Roman" w:hint="default"/>
        </w:rPr>
        <w:t>5,130</w:t>
      </w:r>
      <w:r>
        <w:rPr/>
        <w:t>万元变更为</w:t>
      </w:r>
      <w:r>
        <w:rPr>
          <w:rFonts w:ascii="Times New Roman" w:hAnsi="Times New Roman" w:cs="Times New Roman" w:eastAsia="Times New Roman" w:hint="default"/>
        </w:rPr>
        <w:t>9,130</w:t>
      </w:r>
      <w:r>
        <w:rPr/>
        <w:t>万元。截至报告期末，相关工商变更登记手续已办理完</w:t>
      </w:r>
      <w:r>
        <w:rPr>
          <w:spacing w:val="-85"/>
        </w:rPr>
        <w:t> </w:t>
      </w:r>
      <w:r>
        <w:rPr>
          <w:spacing w:val="-85"/>
        </w:rPr>
      </w:r>
      <w:r>
        <w:rPr/>
        <w:t>成。具体情况详见公司于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8</w:t>
      </w:r>
      <w:r>
        <w:rPr/>
        <w:t>日和</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t>日在巨潮资讯网（</w:t>
      </w:r>
      <w:hyperlink r:id="rId13">
        <w:r>
          <w:rPr>
            <w:rFonts w:ascii="Times New Roman" w:hAnsi="Times New Roman" w:cs="Times New Roman" w:eastAsia="Times New Roman" w:hint="default"/>
          </w:rPr>
          <w:t>www.cninfo.com.cn</w:t>
        </w:r>
      </w:hyperlink>
      <w:r>
        <w:rPr/>
        <w:t>）上披露的相关公告。</w:t>
      </w:r>
    </w:p>
    <w:p>
      <w:pPr>
        <w:spacing w:line="240" w:lineRule="auto" w:before="11"/>
        <w:rPr>
          <w:rFonts w:ascii="宋体" w:hAnsi="宋体" w:cs="宋体" w:eastAsia="宋体" w:hint="default"/>
          <w:sz w:val="24"/>
          <w:szCs w:val="24"/>
        </w:rPr>
      </w:pPr>
    </w:p>
    <w:p>
      <w:pPr>
        <w:pStyle w:val="BodyText"/>
        <w:spacing w:line="300" w:lineRule="auto"/>
        <w:ind w:right="1128"/>
        <w:jc w:val="both"/>
      </w:pPr>
      <w:r>
        <w:rPr>
          <w:rFonts w:ascii="Times New Roman" w:hAnsi="Times New Roman" w:cs="Times New Roman" w:eastAsia="Times New Roman" w:hint="default"/>
        </w:rPr>
        <w:t>4</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日召开的第六届董事会第二十八次（临时）会议和第六届监事会第十六次（临时）会议审议通过了将</w:t>
      </w:r>
      <w:r>
        <w:rPr>
          <w:spacing w:val="-83"/>
        </w:rPr>
        <w:t> </w:t>
      </w:r>
      <w:r>
        <w:rPr>
          <w:spacing w:val="-83"/>
        </w:rPr>
      </w:r>
      <w:r>
        <w:rPr/>
        <w:t>募集资金投资项目</w:t>
      </w:r>
      <w:r>
        <w:rPr>
          <w:rFonts w:ascii="Times New Roman" w:hAnsi="Times New Roman" w:cs="Times New Roman" w:eastAsia="Times New Roman" w:hint="default"/>
        </w:rPr>
        <w:t>“</w:t>
      </w:r>
      <w:r>
        <w:rPr/>
        <w:t>数字营销运营平台</w:t>
      </w:r>
      <w:r>
        <w:rPr>
          <w:rFonts w:ascii="Times New Roman" w:hAnsi="Times New Roman" w:cs="Times New Roman" w:eastAsia="Times New Roman" w:hint="default"/>
        </w:rPr>
        <w:t>”</w:t>
      </w:r>
      <w:r>
        <w:rPr/>
        <w:t>的实施主体由公司变更为久其数字并以</w:t>
      </w:r>
      <w:r>
        <w:rPr>
          <w:rFonts w:ascii="Times New Roman" w:hAnsi="Times New Roman" w:cs="Times New Roman" w:eastAsia="Times New Roman" w:hint="default"/>
        </w:rPr>
        <w:t>14,589.3539</w:t>
      </w:r>
      <w:r>
        <w:rPr/>
        <w:t>万元募集资金对久其数字进行增</w:t>
      </w:r>
      <w:r>
        <w:rPr>
          <w:spacing w:val="10"/>
        </w:rPr>
        <w:t> </w:t>
      </w:r>
      <w:r>
        <w:rPr/>
        <w:t>资的议案，增资完成后，久其数字的注册资本由</w:t>
      </w:r>
      <w:r>
        <w:rPr>
          <w:rFonts w:ascii="Times New Roman" w:hAnsi="Times New Roman" w:cs="Times New Roman" w:eastAsia="Times New Roman" w:hint="default"/>
        </w:rPr>
        <w:t>5,000</w:t>
      </w:r>
      <w:r>
        <w:rPr/>
        <w:t>万元变更为</w:t>
      </w:r>
      <w:r>
        <w:rPr>
          <w:rFonts w:ascii="Times New Roman" w:hAnsi="Times New Roman" w:cs="Times New Roman" w:eastAsia="Times New Roman" w:hint="default"/>
        </w:rPr>
        <w:t>19,589.3539</w:t>
      </w:r>
      <w:r>
        <w:rPr/>
        <w:t>万元。截至报告期末，相关工商变更登记手续</w:t>
      </w:r>
      <w:r>
        <w:rPr>
          <w:spacing w:val="-47"/>
        </w:rPr>
        <w:t> </w:t>
      </w:r>
      <w:r>
        <w:rPr>
          <w:spacing w:val="-47"/>
        </w:rPr>
      </w:r>
      <w:r>
        <w:rPr/>
        <w:t>已办理完成。具体情况详见公司于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8</w:t>
      </w:r>
      <w:r>
        <w:rPr/>
        <w:t>日和</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日在巨潮资讯网（</w:t>
      </w:r>
      <w:hyperlink r:id="rId13">
        <w:r>
          <w:rPr>
            <w:rFonts w:ascii="Times New Roman" w:hAnsi="Times New Roman" w:cs="Times New Roman" w:eastAsia="Times New Roman" w:hint="default"/>
          </w:rPr>
          <w:t>www.cninfo.com.cn</w:t>
        </w:r>
      </w:hyperlink>
      <w:r>
        <w:rPr/>
        <w:t>）上披露的相关公告。</w:t>
      </w:r>
    </w:p>
    <w:p>
      <w:pPr>
        <w:spacing w:line="240" w:lineRule="auto" w:before="11"/>
        <w:rPr>
          <w:rFonts w:ascii="宋体" w:hAnsi="宋体" w:cs="宋体" w:eastAsia="宋体" w:hint="default"/>
          <w:sz w:val="24"/>
          <w:szCs w:val="24"/>
        </w:rPr>
      </w:pPr>
    </w:p>
    <w:p>
      <w:pPr>
        <w:pStyle w:val="BodyText"/>
        <w:spacing w:line="300" w:lineRule="auto"/>
        <w:ind w:right="1129"/>
        <w:jc w:val="both"/>
      </w:pPr>
      <w:r>
        <w:rPr>
          <w:rFonts w:ascii="Times New Roman" w:hAnsi="Times New Roman" w:cs="Times New Roman" w:eastAsia="Times New Roman" w:hint="default"/>
        </w:rPr>
        <w:t>5</w:t>
      </w:r>
      <w:r>
        <w:rPr/>
        <w:t>、为进一步提升久其金建的市场竞争力、促进其可持续发展，公司于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日召开的第六届董事会第三十一次会议</w:t>
      </w:r>
      <w:r>
        <w:rPr>
          <w:spacing w:val="-82"/>
        </w:rPr>
        <w:t> </w:t>
      </w:r>
      <w:r>
        <w:rPr>
          <w:spacing w:val="-82"/>
        </w:rPr>
      </w:r>
      <w:r>
        <w:rPr/>
        <w:t>审议通过了关于转让久其金建部分股权的议案，公司将持有的久其金建</w:t>
      </w:r>
      <w:r>
        <w:rPr>
          <w:rFonts w:ascii="Times New Roman" w:hAnsi="Times New Roman" w:cs="Times New Roman" w:eastAsia="Times New Roman" w:hint="default"/>
        </w:rPr>
        <w:t>24%</w:t>
      </w:r>
      <w:r>
        <w:rPr/>
        <w:t>股权（对应出资额为</w:t>
      </w:r>
      <w:r>
        <w:rPr>
          <w:rFonts w:ascii="Times New Roman" w:hAnsi="Times New Roman" w:cs="Times New Roman" w:eastAsia="Times New Roman" w:hint="default"/>
        </w:rPr>
        <w:t>720</w:t>
      </w:r>
      <w:r>
        <w:rPr/>
        <w:t>万元）转让给久其金建</w:t>
      </w:r>
    </w:p>
    <w:p>
      <w:pPr>
        <w:spacing w:after="0" w:line="300" w:lineRule="auto"/>
        <w:jc w:val="both"/>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0" w:lineRule="auto" w:before="44"/>
        <w:ind w:right="1130"/>
        <w:jc w:val="both"/>
      </w:pPr>
      <w:r>
        <w:rPr/>
        <w:t>的员工持股平台北京华屋伟业科技中心（有限合伙），转让价格为人民币</w:t>
      </w:r>
      <w:r>
        <w:rPr>
          <w:rFonts w:ascii="Times New Roman" w:hAnsi="Times New Roman" w:cs="Times New Roman" w:eastAsia="Times New Roman" w:hint="default"/>
        </w:rPr>
        <w:t>828</w:t>
      </w:r>
      <w:r>
        <w:rPr/>
        <w:t>万元。本次股权转让完成后，久其金建仍为公</w:t>
      </w:r>
      <w:r>
        <w:rPr>
          <w:spacing w:val="-82"/>
        </w:rPr>
        <w:t> </w:t>
      </w:r>
      <w:r>
        <w:rPr>
          <w:spacing w:val="-82"/>
        </w:rPr>
      </w:r>
      <w:r>
        <w:rPr>
          <w:spacing w:val="-4"/>
        </w:rPr>
        <w:t>司控股子公司，公司持有其</w:t>
      </w:r>
      <w:r>
        <w:rPr>
          <w:rFonts w:ascii="Times New Roman" w:hAnsi="Times New Roman" w:cs="Times New Roman" w:eastAsia="Times New Roman" w:hint="default"/>
          <w:spacing w:val="-4"/>
        </w:rPr>
        <w:t>51%</w:t>
      </w:r>
      <w:r>
        <w:rPr>
          <w:spacing w:val="-4"/>
        </w:rPr>
        <w:t>股权，中铁建资产管理有限公司持有其</w:t>
      </w:r>
      <w:r>
        <w:rPr>
          <w:rFonts w:ascii="Times New Roman" w:hAnsi="Times New Roman" w:cs="Times New Roman" w:eastAsia="Times New Roman" w:hint="default"/>
          <w:spacing w:val="-4"/>
        </w:rPr>
        <w:t>25%</w:t>
      </w:r>
      <w:r>
        <w:rPr>
          <w:spacing w:val="-4"/>
        </w:rPr>
        <w:t>股权，华屋伟业持有其</w:t>
      </w:r>
      <w:r>
        <w:rPr>
          <w:rFonts w:ascii="Times New Roman" w:hAnsi="Times New Roman" w:cs="Times New Roman" w:eastAsia="Times New Roman" w:hint="default"/>
          <w:spacing w:val="-4"/>
        </w:rPr>
        <w:t>24%</w:t>
      </w:r>
      <w:r>
        <w:rPr>
          <w:spacing w:val="-4"/>
        </w:rPr>
        <w:t>股权。截至报告期末，</w:t>
      </w:r>
      <w:r>
        <w:rPr>
          <w:spacing w:val="-34"/>
        </w:rPr>
        <w:t> </w:t>
      </w:r>
      <w:r>
        <w:rPr>
          <w:spacing w:val="-34"/>
        </w:rPr>
      </w:r>
      <w:r>
        <w:rPr>
          <w:spacing w:val="-2"/>
        </w:rPr>
        <w:t>公司已收到股权转让价款，相关工商变更登记手续已办理完成。具体情况详见公司于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24</w:t>
      </w:r>
      <w:r>
        <w:rPr>
          <w:spacing w:val="-2"/>
        </w:rPr>
        <w:t>日和</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w:t>
      </w:r>
      <w:r>
        <w:rPr>
          <w:spacing w:val="-2"/>
        </w:rPr>
        <w:t>日在巨潮</w:t>
      </w:r>
      <w:r>
        <w:rPr>
          <w:spacing w:val="-50"/>
        </w:rPr>
        <w:t> </w:t>
      </w:r>
      <w:r>
        <w:rPr/>
        <w:t>资讯网（</w:t>
      </w:r>
      <w:hyperlink r:id="rId13">
        <w:r>
          <w:rPr>
            <w:rFonts w:ascii="Times New Roman" w:hAnsi="Times New Roman" w:cs="Times New Roman" w:eastAsia="Times New Roman" w:hint="default"/>
          </w:rPr>
          <w:t>www.cninfo.com.cn</w:t>
        </w:r>
      </w:hyperlink>
      <w:r>
        <w:rPr/>
        <w:t>）上披露的相关公告。</w:t>
      </w:r>
    </w:p>
    <w:p>
      <w:pPr>
        <w:spacing w:line="240" w:lineRule="auto" w:before="11"/>
        <w:rPr>
          <w:rFonts w:ascii="宋体" w:hAnsi="宋体" w:cs="宋体" w:eastAsia="宋体" w:hint="default"/>
          <w:sz w:val="24"/>
          <w:szCs w:val="24"/>
        </w:rPr>
      </w:pPr>
    </w:p>
    <w:p>
      <w:pPr>
        <w:pStyle w:val="BodyText"/>
        <w:spacing w:line="312" w:lineRule="auto"/>
        <w:ind w:right="1132"/>
        <w:jc w:val="both"/>
      </w:pPr>
      <w:r>
        <w:rPr>
          <w:rFonts w:ascii="Times New Roman" w:hAnsi="Times New Roman" w:cs="Times New Roman" w:eastAsia="Times New Roman" w:hint="default"/>
        </w:rPr>
        <w:t>6</w:t>
      </w:r>
      <w:r>
        <w:rPr/>
        <w:t>、为充分提高运营效率，公司于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日召开的第六届董事会第三十一次会议审议通过了关于清算注销控股子公司</w:t>
      </w:r>
      <w:r>
        <w:rPr>
          <w:spacing w:val="-83"/>
        </w:rPr>
        <w:t> </w:t>
      </w:r>
      <w:r>
        <w:rPr>
          <w:spacing w:val="-83"/>
        </w:rPr>
      </w:r>
      <w:r>
        <w:rPr>
          <w:spacing w:val="-2"/>
        </w:rPr>
        <w:t>北京久其龙信数据科技有限公司的议案，本次清算注销完成后，该控股子公司将不再纳入公司的合并报表范围。本次清算注</w:t>
      </w:r>
      <w:r>
        <w:rPr>
          <w:spacing w:val="-66"/>
        </w:rPr>
        <w:t> </w:t>
      </w:r>
      <w:r>
        <w:rPr>
          <w:spacing w:val="-66"/>
        </w:rPr>
      </w:r>
      <w:r>
        <w:rPr>
          <w:spacing w:val="-2"/>
        </w:rPr>
        <w:t>销控股子公司事项对公司当期损益的影响较小，对公司整体业务发展和生产经营不会产生重大影响。截至报告期末，相关工</w:t>
      </w:r>
      <w:r>
        <w:rPr>
          <w:spacing w:val="-66"/>
        </w:rPr>
        <w:t> </w:t>
      </w:r>
      <w:r>
        <w:rPr>
          <w:spacing w:val="-66"/>
        </w:rPr>
      </w:r>
      <w:r>
        <w:rPr/>
        <w:t>商注销手续已办理完成。</w:t>
      </w:r>
    </w:p>
    <w:p>
      <w:pPr>
        <w:spacing w:line="240" w:lineRule="auto" w:before="7"/>
        <w:rPr>
          <w:rFonts w:ascii="宋体" w:hAnsi="宋体" w:cs="宋体" w:eastAsia="宋体" w:hint="default"/>
          <w:sz w:val="25"/>
          <w:szCs w:val="25"/>
        </w:rPr>
      </w:pPr>
    </w:p>
    <w:p>
      <w:pPr>
        <w:pStyle w:val="BodyText"/>
        <w:spacing w:line="300" w:lineRule="auto"/>
        <w:ind w:right="1131"/>
        <w:jc w:val="both"/>
      </w:pPr>
      <w:r>
        <w:rPr>
          <w:rFonts w:ascii="Times New Roman" w:hAnsi="Times New Roman" w:cs="Times New Roman" w:eastAsia="Times New Roman" w:hint="default"/>
        </w:rPr>
        <w:t>7</w:t>
      </w:r>
      <w:r>
        <w:rPr/>
        <w:t>、全资子公司久金保截至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日的应收保理款原值为</w:t>
      </w:r>
      <w:r>
        <w:rPr>
          <w:rFonts w:ascii="Times New Roman" w:hAnsi="Times New Roman" w:cs="Times New Roman" w:eastAsia="Times New Roman" w:hint="default"/>
        </w:rPr>
        <w:t>15,512.53</w:t>
      </w:r>
      <w:r>
        <w:rPr/>
        <w:t>万元，其中由于被抵押的应收账款债务人和债权人</w:t>
      </w:r>
      <w:r>
        <w:rPr>
          <w:spacing w:val="-85"/>
        </w:rPr>
        <w:t> </w:t>
      </w:r>
      <w:r>
        <w:rPr>
          <w:spacing w:val="-85"/>
        </w:rPr>
      </w:r>
      <w:r>
        <w:rPr>
          <w:spacing w:val="-1"/>
        </w:rPr>
        <w:t>不能及时履约，存在</w:t>
      </w:r>
      <w:r>
        <w:rPr>
          <w:rFonts w:ascii="Times New Roman" w:hAnsi="Times New Roman" w:cs="Times New Roman" w:eastAsia="Times New Roman" w:hint="default"/>
          <w:spacing w:val="-1"/>
        </w:rPr>
        <w:t>11,000</w:t>
      </w:r>
      <w:r>
        <w:rPr>
          <w:spacing w:val="-1"/>
        </w:rPr>
        <w:t>万元的应收保理款逾期情况，形成应收保理款无法回收的风险及坏账隐患。针对应收保理款逾期</w:t>
      </w:r>
      <w:r>
        <w:rPr>
          <w:spacing w:val="-74"/>
        </w:rPr>
        <w:t> </w:t>
      </w:r>
      <w:r>
        <w:rPr>
          <w:spacing w:val="-74"/>
        </w:rPr>
      </w:r>
      <w:r>
        <w:rPr/>
        <w:t>的情况，公司已诉诸法律途径，截至本报告披露之日公司已提起诉讼的情况如下：</w:t>
      </w:r>
    </w:p>
    <w:tbl>
      <w:tblPr>
        <w:tblW w:w="0" w:type="auto"/>
        <w:jc w:val="left"/>
        <w:tblInd w:w="137" w:type="dxa"/>
        <w:tblLayout w:type="fixed"/>
        <w:tblCellMar>
          <w:top w:w="0" w:type="dxa"/>
          <w:left w:w="0" w:type="dxa"/>
          <w:bottom w:w="0" w:type="dxa"/>
          <w:right w:w="0" w:type="dxa"/>
        </w:tblCellMar>
        <w:tblLook w:val="01E0"/>
      </w:tblPr>
      <w:tblGrid>
        <w:gridCol w:w="935"/>
        <w:gridCol w:w="7288"/>
        <w:gridCol w:w="1051"/>
        <w:gridCol w:w="384"/>
      </w:tblGrid>
      <w:tr>
        <w:trPr>
          <w:trHeight w:val="658" w:hRule="exact"/>
        </w:trPr>
        <w:tc>
          <w:tcPr>
            <w:tcW w:w="9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79" w:right="0"/>
              <w:jc w:val="left"/>
              <w:rPr>
                <w:rFonts w:ascii="宋体" w:hAnsi="宋体" w:cs="宋体" w:eastAsia="宋体" w:hint="default"/>
                <w:sz w:val="18"/>
                <w:szCs w:val="18"/>
              </w:rPr>
            </w:pPr>
            <w:r>
              <w:rPr>
                <w:rFonts w:ascii="宋体" w:hAnsi="宋体" w:cs="宋体" w:eastAsia="宋体" w:hint="default"/>
                <w:b/>
                <w:bCs/>
                <w:sz w:val="18"/>
                <w:szCs w:val="18"/>
              </w:rPr>
              <w:t>原告</w:t>
            </w:r>
            <w:r>
              <w:rPr>
                <w:rFonts w:ascii="宋体" w:hAnsi="宋体" w:cs="宋体" w:eastAsia="宋体" w:hint="default"/>
                <w:sz w:val="18"/>
                <w:szCs w:val="18"/>
              </w:rPr>
            </w:r>
          </w:p>
        </w:tc>
        <w:tc>
          <w:tcPr>
            <w:tcW w:w="72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被告</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0"/>
              <w:ind w:left="65" w:right="65"/>
              <w:jc w:val="left"/>
              <w:rPr>
                <w:rFonts w:ascii="宋体" w:hAnsi="宋体" w:cs="宋体" w:eastAsia="宋体" w:hint="default"/>
                <w:sz w:val="18"/>
                <w:szCs w:val="18"/>
              </w:rPr>
            </w:pPr>
            <w:r>
              <w:rPr>
                <w:rFonts w:ascii="宋体" w:hAnsi="宋体" w:cs="宋体" w:eastAsia="宋体" w:hint="default"/>
                <w:b/>
                <w:bCs/>
                <w:sz w:val="18"/>
                <w:szCs w:val="18"/>
              </w:rPr>
              <w:t>诉讼标的金</w:t>
            </w:r>
            <w:r>
              <w:rPr>
                <w:rFonts w:ascii="宋体" w:hAnsi="宋体" w:cs="宋体" w:eastAsia="宋体" w:hint="default"/>
                <w:b/>
                <w:bCs/>
                <w:w w:val="99"/>
                <w:sz w:val="18"/>
                <w:szCs w:val="18"/>
              </w:rPr>
              <w:t> </w:t>
            </w:r>
            <w:r>
              <w:rPr>
                <w:rFonts w:ascii="宋体" w:hAnsi="宋体" w:cs="宋体" w:eastAsia="宋体" w:hint="default"/>
                <w:b/>
                <w:bCs/>
                <w:sz w:val="18"/>
                <w:szCs w:val="18"/>
              </w:rPr>
              <w:t>额（万元）</w:t>
            </w:r>
            <w:r>
              <w:rPr>
                <w:rFonts w:ascii="宋体" w:hAnsi="宋体" w:cs="宋体" w:eastAsia="宋体" w:hint="default"/>
                <w:sz w:val="18"/>
                <w:szCs w:val="18"/>
              </w:rPr>
            </w:r>
          </w:p>
        </w:tc>
        <w:tc>
          <w:tcPr>
            <w:tcW w:w="3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0"/>
              <w:ind w:left="3" w:right="1"/>
              <w:jc w:val="left"/>
              <w:rPr>
                <w:rFonts w:ascii="宋体" w:hAnsi="宋体" w:cs="宋体" w:eastAsia="宋体" w:hint="default"/>
                <w:sz w:val="18"/>
                <w:szCs w:val="18"/>
              </w:rPr>
            </w:pPr>
            <w:r>
              <w:rPr>
                <w:rFonts w:ascii="宋体" w:hAnsi="宋体" w:cs="宋体" w:eastAsia="宋体" w:hint="default"/>
                <w:b/>
                <w:bCs/>
                <w:sz w:val="18"/>
                <w:szCs w:val="18"/>
              </w:rPr>
              <w:t>诉讼</w:t>
            </w:r>
            <w:r>
              <w:rPr>
                <w:rFonts w:ascii="宋体" w:hAnsi="宋体" w:cs="宋体" w:eastAsia="宋体" w:hint="default"/>
                <w:b/>
                <w:bCs/>
                <w:spacing w:val="1"/>
                <w:w w:val="99"/>
                <w:sz w:val="18"/>
                <w:szCs w:val="18"/>
              </w:rPr>
              <w:t> </w:t>
            </w:r>
            <w:r>
              <w:rPr>
                <w:rFonts w:ascii="宋体" w:hAnsi="宋体" w:cs="宋体" w:eastAsia="宋体" w:hint="default"/>
                <w:b/>
                <w:bCs/>
                <w:sz w:val="18"/>
                <w:szCs w:val="18"/>
              </w:rPr>
              <w:t>进展</w:t>
            </w:r>
            <w:r>
              <w:rPr>
                <w:rFonts w:ascii="宋体" w:hAnsi="宋体" w:cs="宋体" w:eastAsia="宋体" w:hint="default"/>
                <w:sz w:val="18"/>
                <w:szCs w:val="18"/>
              </w:rPr>
            </w:r>
          </w:p>
        </w:tc>
      </w:tr>
      <w:tr>
        <w:trPr>
          <w:trHeight w:val="971" w:hRule="exact"/>
        </w:trPr>
        <w:tc>
          <w:tcPr>
            <w:tcW w:w="93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316" w:lineRule="auto"/>
              <w:ind w:left="9" w:right="9"/>
              <w:jc w:val="center"/>
              <w:rPr>
                <w:rFonts w:ascii="宋体" w:hAnsi="宋体" w:cs="宋体" w:eastAsia="宋体" w:hint="default"/>
                <w:sz w:val="18"/>
                <w:szCs w:val="18"/>
              </w:rPr>
            </w:pPr>
            <w:r>
              <w:rPr>
                <w:rFonts w:ascii="宋体" w:hAnsi="宋体" w:cs="宋体" w:eastAsia="宋体" w:hint="default"/>
                <w:sz w:val="18"/>
                <w:szCs w:val="18"/>
              </w:rPr>
              <w:t>深圳久金保 商业保理有 限公司</w:t>
            </w:r>
          </w:p>
        </w:tc>
        <w:tc>
          <w:tcPr>
            <w:tcW w:w="72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69"/>
              <w:jc w:val="both"/>
              <w:rPr>
                <w:rFonts w:ascii="宋体" w:hAnsi="宋体" w:cs="宋体" w:eastAsia="宋体" w:hint="default"/>
                <w:sz w:val="18"/>
                <w:szCs w:val="18"/>
              </w:rPr>
            </w:pPr>
            <w:r>
              <w:rPr>
                <w:rFonts w:ascii="宋体" w:hAnsi="宋体" w:cs="宋体" w:eastAsia="宋体" w:hint="default"/>
                <w:sz w:val="18"/>
                <w:szCs w:val="18"/>
              </w:rPr>
              <w:t>北京中新能业世纪科技有限公司（保理申请人）、北京华科光辉科技有限公司（担保人）、 北京中健祥电子科技有限公司（担保人）、北京中健祥投资管理有限公司（担保人）、钟明 锋（担保人）、郗翠红（担保人）、黄金凤（担保人）、石俊峰（担保人）</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right"/>
              <w:rPr>
                <w:rFonts w:ascii="Times New Roman" w:hAnsi="Times New Roman" w:cs="Times New Roman" w:eastAsia="Times New Roman" w:hint="default"/>
                <w:sz w:val="18"/>
                <w:szCs w:val="18"/>
              </w:rPr>
            </w:pPr>
            <w:r>
              <w:rPr>
                <w:rFonts w:ascii="Times New Roman"/>
                <w:sz w:val="18"/>
              </w:rPr>
              <w:t>2,806.24</w:t>
            </w:r>
          </w:p>
        </w:tc>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3" w:right="5"/>
              <w:jc w:val="left"/>
              <w:rPr>
                <w:rFonts w:ascii="宋体" w:hAnsi="宋体" w:cs="宋体" w:eastAsia="宋体" w:hint="default"/>
                <w:sz w:val="18"/>
                <w:szCs w:val="18"/>
              </w:rPr>
            </w:pPr>
            <w:r>
              <w:rPr>
                <w:rFonts w:ascii="宋体" w:hAnsi="宋体" w:cs="宋体" w:eastAsia="宋体" w:hint="default"/>
                <w:sz w:val="18"/>
                <w:szCs w:val="18"/>
              </w:rPr>
              <w:t>等待 开庭</w:t>
            </w:r>
          </w:p>
        </w:tc>
      </w:tr>
      <w:tr>
        <w:trPr>
          <w:trHeight w:val="659" w:hRule="exact"/>
        </w:trPr>
        <w:tc>
          <w:tcPr>
            <w:tcW w:w="935" w:type="dxa"/>
            <w:vMerge/>
            <w:tcBorders>
              <w:left w:val="single" w:sz="6" w:space="0" w:color="000000"/>
              <w:right w:val="single" w:sz="6" w:space="0" w:color="000000"/>
            </w:tcBorders>
          </w:tcPr>
          <w:p>
            <w:pPr/>
          </w:p>
        </w:tc>
        <w:tc>
          <w:tcPr>
            <w:tcW w:w="7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核工业理化工程研究院（债务人）、北京中新能业世纪科技有限公司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保理申请人</w:t>
            </w:r>
            <w:r>
              <w:rPr>
                <w:rFonts w:ascii="Times New Roman" w:hAnsi="Times New Roman" w:cs="Times New Roman" w:eastAsia="Times New Roman" w:hint="default"/>
                <w:sz w:val="18"/>
                <w:szCs w:val="18"/>
              </w:rPr>
              <w:t>)</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1,246.20</w:t>
            </w:r>
          </w:p>
        </w:tc>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5"/>
              <w:jc w:val="left"/>
              <w:rPr>
                <w:rFonts w:ascii="宋体" w:hAnsi="宋体" w:cs="宋体" w:eastAsia="宋体" w:hint="default"/>
                <w:sz w:val="18"/>
                <w:szCs w:val="18"/>
              </w:rPr>
            </w:pPr>
            <w:r>
              <w:rPr>
                <w:rFonts w:ascii="宋体" w:hAnsi="宋体" w:cs="宋体" w:eastAsia="宋体" w:hint="default"/>
                <w:sz w:val="18"/>
                <w:szCs w:val="18"/>
              </w:rPr>
              <w:t>等待 开庭</w:t>
            </w:r>
          </w:p>
        </w:tc>
      </w:tr>
      <w:tr>
        <w:trPr>
          <w:trHeight w:val="660" w:hRule="exact"/>
        </w:trPr>
        <w:tc>
          <w:tcPr>
            <w:tcW w:w="935" w:type="dxa"/>
            <w:vMerge/>
            <w:tcBorders>
              <w:left w:val="single" w:sz="6" w:space="0" w:color="000000"/>
              <w:right w:val="single" w:sz="6" w:space="0" w:color="000000"/>
            </w:tcBorders>
          </w:tcPr>
          <w:p>
            <w:pPr/>
          </w:p>
        </w:tc>
        <w:tc>
          <w:tcPr>
            <w:tcW w:w="7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核工业理化工程研究院（债务人）、北京中新能业世纪科技有限公司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保理申请人</w:t>
            </w:r>
            <w:r>
              <w:rPr>
                <w:rFonts w:ascii="Times New Roman" w:hAnsi="Times New Roman" w:cs="Times New Roman" w:eastAsia="Times New Roman" w:hint="default"/>
                <w:sz w:val="18"/>
                <w:szCs w:val="18"/>
              </w:rPr>
              <w:t>)</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1,908.93</w:t>
            </w:r>
          </w:p>
        </w:tc>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5"/>
              <w:jc w:val="left"/>
              <w:rPr>
                <w:rFonts w:ascii="宋体" w:hAnsi="宋体" w:cs="宋体" w:eastAsia="宋体" w:hint="default"/>
                <w:sz w:val="18"/>
                <w:szCs w:val="18"/>
              </w:rPr>
            </w:pPr>
            <w:r>
              <w:rPr>
                <w:rFonts w:ascii="宋体" w:hAnsi="宋体" w:cs="宋体" w:eastAsia="宋体" w:hint="default"/>
                <w:sz w:val="18"/>
                <w:szCs w:val="18"/>
              </w:rPr>
              <w:t>等待 开庭</w:t>
            </w:r>
          </w:p>
        </w:tc>
      </w:tr>
      <w:tr>
        <w:trPr>
          <w:trHeight w:val="659" w:hRule="exact"/>
        </w:trPr>
        <w:tc>
          <w:tcPr>
            <w:tcW w:w="935" w:type="dxa"/>
            <w:vMerge/>
            <w:tcBorders>
              <w:left w:val="single" w:sz="6" w:space="0" w:color="000000"/>
              <w:bottom w:val="single" w:sz="6" w:space="0" w:color="000000"/>
              <w:right w:val="single" w:sz="6" w:space="0" w:color="000000"/>
            </w:tcBorders>
          </w:tcPr>
          <w:p>
            <w:pPr/>
          </w:p>
        </w:tc>
        <w:tc>
          <w:tcPr>
            <w:tcW w:w="728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1"/>
              <w:jc w:val="left"/>
              <w:rPr>
                <w:rFonts w:ascii="宋体" w:hAnsi="宋体" w:cs="宋体" w:eastAsia="宋体" w:hint="default"/>
                <w:sz w:val="18"/>
                <w:szCs w:val="18"/>
              </w:rPr>
            </w:pPr>
            <w:r>
              <w:rPr>
                <w:rFonts w:ascii="宋体" w:hAnsi="宋体" w:cs="宋体" w:eastAsia="宋体" w:hint="default"/>
                <w:spacing w:val="-2"/>
                <w:sz w:val="18"/>
                <w:szCs w:val="18"/>
              </w:rPr>
              <w:t>北京贝能达技术有限公司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保理申请人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、北京贝能达信息技术股份有限公司（担保人）、郑小</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勇（担保人）、王玲（担保人）</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1,100.67</w:t>
            </w:r>
          </w:p>
        </w:tc>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5"/>
              <w:jc w:val="left"/>
              <w:rPr>
                <w:rFonts w:ascii="宋体" w:hAnsi="宋体" w:cs="宋体" w:eastAsia="宋体" w:hint="default"/>
                <w:sz w:val="18"/>
                <w:szCs w:val="18"/>
              </w:rPr>
            </w:pPr>
            <w:r>
              <w:rPr>
                <w:rFonts w:ascii="宋体" w:hAnsi="宋体" w:cs="宋体" w:eastAsia="宋体" w:hint="default"/>
                <w:sz w:val="18"/>
                <w:szCs w:val="18"/>
              </w:rPr>
              <w:t>等待 开庭</w:t>
            </w:r>
          </w:p>
        </w:tc>
      </w:tr>
    </w:tbl>
    <w:p>
      <w:pPr>
        <w:spacing w:line="240" w:lineRule="auto" w:before="12"/>
        <w:rPr>
          <w:rFonts w:ascii="宋体" w:hAnsi="宋体" w:cs="宋体" w:eastAsia="宋体" w:hint="default"/>
          <w:sz w:val="22"/>
          <w:szCs w:val="22"/>
        </w:rPr>
      </w:pPr>
    </w:p>
    <w:p>
      <w:pPr>
        <w:pStyle w:val="BodyText"/>
        <w:spacing w:line="240" w:lineRule="auto" w:before="44"/>
        <w:ind w:right="0"/>
        <w:jc w:val="left"/>
      </w:pPr>
      <w:r>
        <w:rPr>
          <w:rFonts w:ascii="Times New Roman" w:hAnsi="Times New Roman" w:cs="Times New Roman" w:eastAsia="Times New Roman" w:hint="default"/>
        </w:rPr>
        <w:t>8</w:t>
      </w:r>
      <w:r>
        <w:rPr/>
        <w:t>、子公司上海移通所涉重大事项如下：</w:t>
      </w:r>
    </w:p>
    <w:p>
      <w:pPr>
        <w:spacing w:line="240" w:lineRule="auto" w:before="0"/>
        <w:rPr>
          <w:rFonts w:ascii="宋体" w:hAnsi="宋体" w:cs="宋体" w:eastAsia="宋体" w:hint="default"/>
          <w:sz w:val="18"/>
          <w:szCs w:val="18"/>
        </w:rPr>
      </w:pPr>
    </w:p>
    <w:p>
      <w:pPr>
        <w:pStyle w:val="BodyText"/>
        <w:spacing w:line="304" w:lineRule="auto" w:before="139"/>
        <w:ind w:right="1120"/>
        <w:jc w:val="left"/>
      </w:pPr>
      <w:r>
        <w:rPr/>
        <w:t>（</w:t>
      </w:r>
      <w:r>
        <w:rPr>
          <w:rFonts w:ascii="Times New Roman" w:hAnsi="Times New Roman" w:cs="Times New Roman" w:eastAsia="Times New Roman" w:hint="default"/>
        </w:rPr>
        <w:t>1</w:t>
      </w:r>
      <w:r>
        <w:rPr/>
        <w:t>）上海移通收购协议的履行情况 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日召开的第六届董事会第二次（临时）会议及</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日召开的</w:t>
      </w:r>
      <w:r>
        <w:rPr>
          <w:rFonts w:ascii="Times New Roman" w:hAnsi="Times New Roman" w:cs="Times New Roman" w:eastAsia="Times New Roman" w:hint="default"/>
        </w:rPr>
        <w:t>2017</w:t>
      </w:r>
      <w:r>
        <w:rPr/>
        <w:t>年第一次临时股东大会审议通过</w:t>
      </w:r>
      <w:r>
        <w:rPr>
          <w:spacing w:val="-83"/>
        </w:rPr>
        <w:t> </w:t>
      </w:r>
      <w:r>
        <w:rPr>
          <w:spacing w:val="-83"/>
        </w:rPr>
      </w:r>
      <w:r>
        <w:rPr>
          <w:spacing w:val="-2"/>
        </w:rPr>
        <w:t>了《关于现金收购上海移通网络有限公司、上海恒瑞网络信息有限公司暨关联交易的议案》，公司与控股股东久其科技以现</w:t>
      </w:r>
      <w:r>
        <w:rPr>
          <w:spacing w:val="-66"/>
        </w:rPr>
        <w:t> </w:t>
      </w:r>
      <w:r>
        <w:rPr>
          <w:spacing w:val="-66"/>
        </w:rPr>
      </w:r>
      <w:r>
        <w:rPr>
          <w:spacing w:val="-2"/>
        </w:rPr>
        <w:t>金支付方式共同作价</w:t>
      </w:r>
      <w:r>
        <w:rPr>
          <w:rFonts w:ascii="Times New Roman" w:hAnsi="Times New Roman" w:cs="Times New Roman" w:eastAsia="Times New Roman" w:hint="default"/>
          <w:spacing w:val="-2"/>
        </w:rPr>
        <w:t>14.4</w:t>
      </w:r>
      <w:r>
        <w:rPr>
          <w:spacing w:val="-2"/>
        </w:rPr>
        <w:t>亿元分别受让上海移通</w:t>
      </w:r>
      <w:r>
        <w:rPr>
          <w:rFonts w:ascii="Times New Roman" w:hAnsi="Times New Roman" w:cs="Times New Roman" w:eastAsia="Times New Roman" w:hint="default"/>
          <w:spacing w:val="-2"/>
        </w:rPr>
        <w:t>51%</w:t>
      </w:r>
      <w:r>
        <w:rPr>
          <w:spacing w:val="-2"/>
        </w:rPr>
        <w:t>股权和</w:t>
      </w:r>
      <w:r>
        <w:rPr>
          <w:rFonts w:ascii="Times New Roman" w:hAnsi="Times New Roman" w:cs="Times New Roman" w:eastAsia="Times New Roman" w:hint="default"/>
          <w:spacing w:val="-2"/>
        </w:rPr>
        <w:t>49%</w:t>
      </w:r>
      <w:r>
        <w:rPr>
          <w:spacing w:val="-2"/>
        </w:rPr>
        <w:t>股权。</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15</w:t>
      </w:r>
      <w:r>
        <w:rPr>
          <w:spacing w:val="-2"/>
        </w:rPr>
        <w:t>日，上海移通股权过户事宜相关工商变更</w:t>
      </w:r>
      <w:r>
        <w:rPr>
          <w:spacing w:val="-36"/>
        </w:rPr>
        <w:t> </w:t>
      </w:r>
      <w:r>
        <w:rPr>
          <w:spacing w:val="-36"/>
        </w:rPr>
      </w:r>
      <w:r>
        <w:rPr/>
        <w:t>登记手续办理完成，公司持有上海移通</w:t>
      </w:r>
      <w:r>
        <w:rPr>
          <w:rFonts w:ascii="Times New Roman" w:hAnsi="Times New Roman" w:cs="Times New Roman" w:eastAsia="Times New Roman" w:hint="default"/>
        </w:rPr>
        <w:t>51%</w:t>
      </w:r>
      <w:r>
        <w:rPr/>
        <w:t>股权。 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6</w:t>
      </w:r>
      <w:r>
        <w:rPr/>
        <w:t>日召开的第六届董事会第二十一次（临时）会议及</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日召开的</w:t>
      </w:r>
      <w:r>
        <w:rPr>
          <w:rFonts w:ascii="Times New Roman" w:hAnsi="Times New Roman" w:cs="Times New Roman" w:eastAsia="Times New Roman" w:hint="default"/>
        </w:rPr>
        <w:t>2018</w:t>
      </w:r>
      <w:r>
        <w:rPr/>
        <w:t>年第三次临时股东大会审议</w:t>
      </w:r>
      <w:r>
        <w:rPr>
          <w:spacing w:val="-83"/>
        </w:rPr>
        <w:t> </w:t>
      </w:r>
      <w:r>
        <w:rPr>
          <w:spacing w:val="-83"/>
        </w:rPr>
      </w:r>
      <w:r>
        <w:rPr/>
        <w:t>通过了《关于收购上海移通</w:t>
      </w:r>
      <w:r>
        <w:rPr>
          <w:rFonts w:ascii="Times New Roman" w:hAnsi="Times New Roman" w:cs="Times New Roman" w:eastAsia="Times New Roman" w:hint="default"/>
        </w:rPr>
        <w:t>49%</w:t>
      </w:r>
      <w:r>
        <w:rPr/>
        <w:t>股权暨关联交易的议案》，公司以自有及自筹资金的方式按照</w:t>
      </w:r>
      <w:r>
        <w:rPr>
          <w:rFonts w:ascii="Times New Roman" w:hAnsi="Times New Roman" w:cs="Times New Roman" w:eastAsia="Times New Roman" w:hint="default"/>
        </w:rPr>
        <w:t>8</w:t>
      </w:r>
      <w:r>
        <w:rPr/>
        <w:t>亿元人民币的对价收购久其</w:t>
      </w:r>
      <w:r>
        <w:rPr>
          <w:spacing w:val="-54"/>
        </w:rPr>
        <w:t> </w:t>
      </w:r>
      <w:r>
        <w:rPr>
          <w:spacing w:val="-54"/>
        </w:rPr>
      </w:r>
      <w:r>
        <w:rPr>
          <w:spacing w:val="-1"/>
        </w:rPr>
        <w:t>科技持有的上海移通</w:t>
      </w:r>
      <w:r>
        <w:rPr>
          <w:rFonts w:ascii="Times New Roman" w:hAnsi="Times New Roman" w:cs="Times New Roman" w:eastAsia="Times New Roman" w:hint="default"/>
          <w:spacing w:val="-1"/>
        </w:rPr>
        <w:t>49%</w:t>
      </w:r>
      <w:r>
        <w:rPr>
          <w:spacing w:val="-1"/>
        </w:rPr>
        <w:t>股权。</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8</w:t>
      </w:r>
      <w:r>
        <w:rPr>
          <w:spacing w:val="-1"/>
        </w:rPr>
        <w:t>日，上海移通股权过户事宜相关工商变更登记手续办理完成，上海移通成为公司</w:t>
      </w:r>
      <w:r>
        <w:rPr>
          <w:spacing w:val="-83"/>
        </w:rPr>
        <w:t> </w:t>
      </w:r>
      <w:r>
        <w:rPr>
          <w:spacing w:val="-83"/>
        </w:rPr>
      </w:r>
      <w:r>
        <w:rPr/>
        <w:t>全资子公司。 </w:t>
      </w:r>
      <w:r>
        <w:rPr>
          <w:spacing w:val="-2"/>
        </w:rPr>
        <w:t>根据本次交易中公司及久其科技与交易对方签订的收购协议，公司尽力维持上海移通独立运作和原有管理层稳定，同时交易</w:t>
      </w:r>
      <w:r>
        <w:rPr>
          <w:spacing w:val="-64"/>
        </w:rPr>
        <w:t> </w:t>
      </w:r>
      <w:r>
        <w:rPr>
          <w:spacing w:val="-64"/>
        </w:rPr>
      </w:r>
      <w:r>
        <w:rPr>
          <w:spacing w:val="-4"/>
        </w:rPr>
        <w:t>对方承诺，上海移通</w:t>
      </w:r>
      <w:r>
        <w:rPr>
          <w:rFonts w:ascii="Times New Roman" w:hAnsi="Times New Roman" w:cs="Times New Roman" w:eastAsia="Times New Roman" w:hint="default"/>
          <w:spacing w:val="-4"/>
        </w:rPr>
        <w:t>2016</w:t>
      </w:r>
      <w:r>
        <w:rPr>
          <w:spacing w:val="-4"/>
        </w:rPr>
        <w:t>年度、</w:t>
      </w:r>
      <w:r>
        <w:rPr>
          <w:rFonts w:ascii="Times New Roman" w:hAnsi="Times New Roman" w:cs="Times New Roman" w:eastAsia="Times New Roman" w:hint="default"/>
          <w:spacing w:val="-4"/>
        </w:rPr>
        <w:t>2017</w:t>
      </w:r>
      <w:r>
        <w:rPr>
          <w:spacing w:val="-4"/>
        </w:rPr>
        <w:t>年度、</w:t>
      </w:r>
      <w:r>
        <w:rPr>
          <w:rFonts w:ascii="Times New Roman" w:hAnsi="Times New Roman" w:cs="Times New Roman" w:eastAsia="Times New Roman" w:hint="default"/>
          <w:spacing w:val="-4"/>
        </w:rPr>
        <w:t>2018</w:t>
      </w:r>
      <w:r>
        <w:rPr>
          <w:spacing w:val="-4"/>
        </w:rPr>
        <w:t>年度实现的合并税后净利润分别不低于人民币</w:t>
      </w:r>
      <w:r>
        <w:rPr>
          <w:rFonts w:ascii="Times New Roman" w:hAnsi="Times New Roman" w:cs="Times New Roman" w:eastAsia="Times New Roman" w:hint="default"/>
          <w:spacing w:val="-4"/>
        </w:rPr>
        <w:t>8,000</w:t>
      </w:r>
      <w:r>
        <w:rPr>
          <w:spacing w:val="-4"/>
        </w:rPr>
        <w:t>万元、</w:t>
      </w:r>
      <w:r>
        <w:rPr>
          <w:rFonts w:ascii="Times New Roman" w:hAnsi="Times New Roman" w:cs="Times New Roman" w:eastAsia="Times New Roman" w:hint="default"/>
          <w:spacing w:val="-4"/>
        </w:rPr>
        <w:t>10,400</w:t>
      </w:r>
      <w:r>
        <w:rPr>
          <w:spacing w:val="-4"/>
        </w:rPr>
        <w:t>万元和</w:t>
      </w:r>
      <w:r>
        <w:rPr>
          <w:rFonts w:ascii="Times New Roman" w:hAnsi="Times New Roman" w:cs="Times New Roman" w:eastAsia="Times New Roman" w:hint="default"/>
          <w:spacing w:val="-4"/>
        </w:rPr>
        <w:t>13,500</w:t>
      </w:r>
      <w:r>
        <w:rPr>
          <w:rFonts w:ascii="Times New Roman" w:hAnsi="Times New Roman" w:cs="Times New Roman" w:eastAsia="Times New Roman" w:hint="default"/>
          <w:spacing w:val="15"/>
        </w:rPr>
        <w:t> </w:t>
      </w:r>
      <w:r>
        <w:rPr>
          <w:spacing w:val="-1"/>
        </w:rPr>
        <w:t>万元，即三年承诺实现税后净利润总额不低于人民币</w:t>
      </w:r>
      <w:r>
        <w:rPr>
          <w:rFonts w:ascii="Times New Roman" w:hAnsi="Times New Roman" w:cs="Times New Roman" w:eastAsia="Times New Roman" w:hint="default"/>
          <w:spacing w:val="-1"/>
        </w:rPr>
        <w:t>31,900</w:t>
      </w:r>
      <w:r>
        <w:rPr>
          <w:spacing w:val="-1"/>
        </w:rPr>
        <w:t>万元。若上海移通业绩承诺期限内任何年度截至当年期末，累计</w:t>
      </w:r>
      <w:r>
        <w:rPr>
          <w:spacing w:val="-74"/>
        </w:rPr>
        <w:t> </w:t>
      </w:r>
      <w:r>
        <w:rPr>
          <w:spacing w:val="-74"/>
        </w:rPr>
      </w:r>
      <w:r>
        <w:rPr>
          <w:spacing w:val="-2"/>
        </w:rPr>
        <w:t>实际实现税后净利润（按照扣非前后孰低原则）少于截至当年期末累计承诺金额，则转让方应于该年度标的公司专项审计报</w:t>
      </w:r>
      <w:r>
        <w:rPr>
          <w:spacing w:val="-66"/>
        </w:rPr>
        <w:t> </w:t>
      </w:r>
      <w:r>
        <w:rPr>
          <w:spacing w:val="-66"/>
        </w:rPr>
      </w:r>
      <w:r>
        <w:rPr/>
        <w:t>告出具后</w:t>
      </w:r>
      <w:r>
        <w:rPr>
          <w:rFonts w:ascii="Times New Roman" w:hAnsi="Times New Roman" w:cs="Times New Roman" w:eastAsia="Times New Roman" w:hint="default"/>
        </w:rPr>
        <w:t>1</w:t>
      </w:r>
      <w:r>
        <w:rPr/>
        <w:t>个月内向受让方支付业绩补偿。</w:t>
      </w:r>
    </w:p>
    <w:p>
      <w:pPr>
        <w:spacing w:line="240" w:lineRule="auto" w:before="7"/>
        <w:rPr>
          <w:rFonts w:ascii="宋体" w:hAnsi="宋体" w:cs="宋体" w:eastAsia="宋体" w:hint="default"/>
          <w:sz w:val="24"/>
          <w:szCs w:val="24"/>
        </w:rPr>
      </w:pPr>
    </w:p>
    <w:p>
      <w:pPr>
        <w:pStyle w:val="BodyText"/>
        <w:spacing w:line="240" w:lineRule="auto"/>
        <w:ind w:right="0"/>
        <w:jc w:val="left"/>
      </w:pPr>
      <w:r>
        <w:rPr/>
        <w:t>（</w:t>
      </w:r>
      <w:r>
        <w:rPr>
          <w:rFonts w:ascii="Times New Roman" w:hAnsi="Times New Roman" w:cs="Times New Roman" w:eastAsia="Times New Roman" w:hint="default"/>
        </w:rPr>
        <w:t>2</w:t>
      </w:r>
      <w:r>
        <w:rPr/>
        <w:t>）历史业绩承诺完成情况</w:t>
      </w:r>
    </w:p>
    <w:p>
      <w:pPr>
        <w:pStyle w:val="BodyText"/>
        <w:spacing w:line="240" w:lineRule="auto" w:before="63"/>
        <w:ind w:right="0"/>
        <w:jc w:val="left"/>
      </w:pP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15</w:t>
      </w:r>
      <w:r>
        <w:rPr>
          <w:spacing w:val="-4"/>
        </w:rPr>
        <w:t>日，立信会计师事务所（特殊普通合伙）出具了标准无保留意见的信会师报字</w:t>
      </w:r>
      <w:r>
        <w:rPr>
          <w:rFonts w:ascii="Times New Roman" w:hAnsi="Times New Roman" w:cs="Times New Roman" w:eastAsia="Times New Roman" w:hint="default"/>
          <w:spacing w:val="-4"/>
        </w:rPr>
        <w:t>[2017]</w:t>
      </w:r>
      <w:r>
        <w:rPr>
          <w:spacing w:val="-4"/>
        </w:rPr>
        <w:t>第</w:t>
      </w:r>
      <w:r>
        <w:rPr>
          <w:rFonts w:ascii="Times New Roman" w:hAnsi="Times New Roman" w:cs="Times New Roman" w:eastAsia="Times New Roman" w:hint="default"/>
          <w:spacing w:val="-4"/>
        </w:rPr>
        <w:t>ZE50017</w:t>
      </w:r>
      <w:r>
        <w:rPr>
          <w:spacing w:val="-4"/>
        </w:rPr>
        <w:t>号《审计报告》。</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0" w:lineRule="auto" w:before="44"/>
        <w:ind w:right="0"/>
        <w:jc w:val="left"/>
      </w:pPr>
      <w:r>
        <w:rPr>
          <w:spacing w:val="-2"/>
        </w:rPr>
        <w:t>经审计的上海移通</w:t>
      </w:r>
      <w:r>
        <w:rPr>
          <w:rFonts w:ascii="Times New Roman" w:hAnsi="Times New Roman" w:cs="Times New Roman" w:eastAsia="Times New Roman" w:hint="default"/>
          <w:spacing w:val="-2"/>
        </w:rPr>
        <w:t>2016</w:t>
      </w:r>
      <w:r>
        <w:rPr>
          <w:spacing w:val="-2"/>
        </w:rPr>
        <w:t>年度净利润（指扣除非经常性损益后归属于母公司所有者的净利润与归属于母公司所有者的净利润孰</w:t>
      </w:r>
      <w:r>
        <w:rPr>
          <w:spacing w:val="-60"/>
        </w:rPr>
        <w:t> </w:t>
      </w:r>
      <w:r>
        <w:rPr>
          <w:spacing w:val="-60"/>
        </w:rPr>
      </w:r>
      <w:r>
        <w:rPr/>
        <w:t>低者，下同）为</w:t>
      </w:r>
      <w:r>
        <w:rPr>
          <w:rFonts w:ascii="Times New Roman" w:hAnsi="Times New Roman" w:cs="Times New Roman" w:eastAsia="Times New Roman" w:hint="default"/>
        </w:rPr>
        <w:t>8,923.16</w:t>
      </w:r>
      <w:r>
        <w:rPr/>
        <w:t>万元，高于</w:t>
      </w:r>
      <w:r>
        <w:rPr>
          <w:rFonts w:ascii="Times New Roman" w:hAnsi="Times New Roman" w:cs="Times New Roman" w:eastAsia="Times New Roman" w:hint="default"/>
        </w:rPr>
        <w:t>2016</w:t>
      </w:r>
      <w:r>
        <w:rPr/>
        <w:t>年净利润承诺数</w:t>
      </w:r>
      <w:r>
        <w:rPr>
          <w:rFonts w:ascii="Times New Roman" w:hAnsi="Times New Roman" w:cs="Times New Roman" w:eastAsia="Times New Roman" w:hint="default"/>
        </w:rPr>
        <w:t>8,000</w:t>
      </w:r>
      <w:r>
        <w:rPr/>
        <w:t>万元，完成度为</w:t>
      </w:r>
      <w:r>
        <w:rPr>
          <w:rFonts w:ascii="Times New Roman" w:hAnsi="Times New Roman" w:cs="Times New Roman" w:eastAsia="Times New Roman" w:hint="default"/>
        </w:rPr>
        <w:t>111.54%</w:t>
      </w:r>
      <w:r>
        <w:rPr/>
        <w:t>，完成了</w:t>
      </w:r>
      <w:r>
        <w:rPr>
          <w:rFonts w:ascii="Times New Roman" w:hAnsi="Times New Roman" w:cs="Times New Roman" w:eastAsia="Times New Roman" w:hint="default"/>
        </w:rPr>
        <w:t>2016</w:t>
      </w:r>
      <w:r>
        <w:rPr/>
        <w:t>年度的业绩承诺。 </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12</w:t>
      </w:r>
      <w:r>
        <w:rPr>
          <w:spacing w:val="-2"/>
        </w:rPr>
        <w:t>日，立信会计师事务所（特殊普通合伙）出具了标准无保留意见的信会师报字</w:t>
      </w:r>
      <w:r>
        <w:rPr>
          <w:rFonts w:ascii="Times New Roman" w:hAnsi="Times New Roman" w:cs="Times New Roman" w:eastAsia="Times New Roman" w:hint="default"/>
          <w:spacing w:val="-2"/>
        </w:rPr>
        <w:t>[2018]</w:t>
      </w:r>
      <w:r>
        <w:rPr>
          <w:spacing w:val="-2"/>
        </w:rPr>
        <w:t>第</w:t>
      </w:r>
      <w:r>
        <w:rPr>
          <w:rFonts w:ascii="Times New Roman" w:hAnsi="Times New Roman" w:cs="Times New Roman" w:eastAsia="Times New Roman" w:hint="default"/>
          <w:spacing w:val="-2"/>
        </w:rPr>
        <w:t>ZG10985</w:t>
      </w:r>
      <w:r>
        <w:rPr>
          <w:spacing w:val="-2"/>
        </w:rPr>
        <w:t>号《上海移通网</w:t>
      </w:r>
      <w:r>
        <w:rPr>
          <w:spacing w:val="-47"/>
        </w:rPr>
        <w:t> </w:t>
      </w:r>
      <w:r>
        <w:rPr>
          <w:spacing w:val="-47"/>
        </w:rPr>
      </w:r>
      <w:r>
        <w:rPr>
          <w:spacing w:val="-2"/>
        </w:rPr>
        <w:t>络有限公司审计报告》。经审计的上海移通</w:t>
      </w:r>
      <w:r>
        <w:rPr>
          <w:rFonts w:ascii="Times New Roman" w:hAnsi="Times New Roman" w:cs="Times New Roman" w:eastAsia="Times New Roman" w:hint="default"/>
          <w:spacing w:val="-2"/>
        </w:rPr>
        <w:t>2017</w:t>
      </w:r>
      <w:r>
        <w:rPr>
          <w:spacing w:val="-2"/>
        </w:rPr>
        <w:t>年度净利润为</w:t>
      </w:r>
      <w:r>
        <w:rPr>
          <w:rFonts w:ascii="Times New Roman" w:hAnsi="Times New Roman" w:cs="Times New Roman" w:eastAsia="Times New Roman" w:hint="default"/>
          <w:spacing w:val="-2"/>
        </w:rPr>
        <w:t>10,115.12</w:t>
      </w:r>
      <w:r>
        <w:rPr>
          <w:spacing w:val="-2"/>
        </w:rPr>
        <w:t>万元，低于</w:t>
      </w:r>
      <w:r>
        <w:rPr>
          <w:rFonts w:ascii="Times New Roman" w:hAnsi="Times New Roman" w:cs="Times New Roman" w:eastAsia="Times New Roman" w:hint="default"/>
          <w:spacing w:val="-2"/>
        </w:rPr>
        <w:t>2017</w:t>
      </w:r>
      <w:r>
        <w:rPr>
          <w:spacing w:val="-2"/>
        </w:rPr>
        <w:t>年净利润承诺数</w:t>
      </w:r>
      <w:r>
        <w:rPr>
          <w:rFonts w:ascii="Times New Roman" w:hAnsi="Times New Roman" w:cs="Times New Roman" w:eastAsia="Times New Roman" w:hint="default"/>
          <w:spacing w:val="-2"/>
        </w:rPr>
        <w:t>10,400</w:t>
      </w:r>
      <w:r>
        <w:rPr>
          <w:spacing w:val="-2"/>
        </w:rPr>
        <w:t>万元</w:t>
      </w:r>
      <w:r>
        <w:rPr>
          <w:rFonts w:ascii="Times New Roman" w:hAnsi="Times New Roman" w:cs="Times New Roman" w:eastAsia="Times New Roman" w:hint="default"/>
          <w:spacing w:val="-2"/>
        </w:rPr>
        <w:t>,</w:t>
      </w:r>
      <w:r>
        <w:rPr>
          <w:spacing w:val="-2"/>
        </w:rPr>
        <w:t>完成度为</w:t>
      </w:r>
      <w:r>
        <w:rPr>
          <w:spacing w:val="-43"/>
        </w:rPr>
        <w:t> </w:t>
      </w:r>
      <w:r>
        <w:rPr>
          <w:rFonts w:ascii="Times New Roman" w:hAnsi="Times New Roman" w:cs="Times New Roman" w:eastAsia="Times New Roman" w:hint="default"/>
        </w:rPr>
        <w:t>97.26%</w:t>
      </w:r>
      <w:r>
        <w:rPr/>
        <w:t>，未完成</w:t>
      </w:r>
      <w:r>
        <w:rPr>
          <w:rFonts w:ascii="Times New Roman" w:hAnsi="Times New Roman" w:cs="Times New Roman" w:eastAsia="Times New Roman" w:hint="default"/>
        </w:rPr>
        <w:t>2017</w:t>
      </w:r>
      <w:r>
        <w:rPr/>
        <w:t>年度的业绩承诺。但由于上海移通</w:t>
      </w:r>
      <w:r>
        <w:rPr>
          <w:rFonts w:ascii="Times New Roman" w:hAnsi="Times New Roman" w:cs="Times New Roman" w:eastAsia="Times New Roman" w:hint="default"/>
        </w:rPr>
        <w:t>2016</w:t>
      </w:r>
      <w:r>
        <w:rPr/>
        <w:t>年度和</w:t>
      </w:r>
      <w:r>
        <w:rPr>
          <w:rFonts w:ascii="Times New Roman" w:hAnsi="Times New Roman" w:cs="Times New Roman" w:eastAsia="Times New Roman" w:hint="default"/>
        </w:rPr>
        <w:t>2017</w:t>
      </w:r>
      <w:r>
        <w:rPr/>
        <w:t>年度累计实现净利润为</w:t>
      </w:r>
      <w:r>
        <w:rPr>
          <w:rFonts w:ascii="Times New Roman" w:hAnsi="Times New Roman" w:cs="Times New Roman" w:eastAsia="Times New Roman" w:hint="default"/>
        </w:rPr>
        <w:t>19,038.28</w:t>
      </w:r>
      <w:r>
        <w:rPr/>
        <w:t>万元，累计承诺净</w:t>
      </w:r>
      <w:r>
        <w:rPr>
          <w:spacing w:val="-19"/>
        </w:rPr>
        <w:t> </w:t>
      </w:r>
      <w:r>
        <w:rPr>
          <w:spacing w:val="-19"/>
        </w:rPr>
      </w:r>
      <w:r>
        <w:rPr/>
        <w:t>利润为</w:t>
      </w:r>
      <w:r>
        <w:rPr>
          <w:rFonts w:ascii="Times New Roman" w:hAnsi="Times New Roman" w:cs="Times New Roman" w:eastAsia="Times New Roman" w:hint="default"/>
        </w:rPr>
        <w:t>18,400</w:t>
      </w:r>
      <w:r>
        <w:rPr/>
        <w:t>万元，累计实现数高于累计承诺数，根据交易各方签订的收购协议，业绩承诺方无需向受让方支付业绩补偿。</w:t>
      </w:r>
      <w:r>
        <w:rPr>
          <w:spacing w:val="-49"/>
        </w:rPr>
        <w:t> </w:t>
      </w:r>
      <w:r>
        <w:rPr>
          <w:spacing w:val="-49"/>
        </w:rPr>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spacing w:val="-2"/>
        </w:rPr>
        <w:t>日，立信会计师事务所（特殊普通合伙）出具了保留意见的信会师报字</w:t>
      </w:r>
      <w:r>
        <w:rPr>
          <w:rFonts w:ascii="Times New Roman" w:hAnsi="Times New Roman" w:cs="Times New Roman" w:eastAsia="Times New Roman" w:hint="default"/>
          <w:spacing w:val="-2"/>
        </w:rPr>
        <w:t>[2019]</w:t>
      </w:r>
      <w:r>
        <w:rPr>
          <w:spacing w:val="-2"/>
        </w:rPr>
        <w:t>第</w:t>
      </w:r>
      <w:r>
        <w:rPr>
          <w:rFonts w:ascii="Times New Roman" w:hAnsi="Times New Roman" w:cs="Times New Roman" w:eastAsia="Times New Roman" w:hint="default"/>
          <w:spacing w:val="-2"/>
        </w:rPr>
        <w:t>ZG11460</w:t>
      </w:r>
      <w:r>
        <w:rPr>
          <w:spacing w:val="-2"/>
        </w:rPr>
        <w:t>号《上海移通网络有限</w:t>
      </w:r>
      <w:r>
        <w:rPr>
          <w:spacing w:val="-47"/>
        </w:rPr>
        <w:t> </w:t>
      </w:r>
      <w:r>
        <w:rPr>
          <w:spacing w:val="-47"/>
        </w:rPr>
      </w:r>
      <w:r>
        <w:rPr/>
        <w:t>公司审计报告》。经审计的上海移通</w:t>
      </w:r>
      <w:r>
        <w:rPr>
          <w:rFonts w:ascii="Times New Roman" w:hAnsi="Times New Roman" w:cs="Times New Roman" w:eastAsia="Times New Roman" w:hint="default"/>
        </w:rPr>
        <w:t>2018</w:t>
      </w:r>
      <w:r>
        <w:rPr/>
        <w:t>年度扣非净利润为</w:t>
      </w:r>
      <w:r>
        <w:rPr>
          <w:rFonts w:ascii="Times New Roman" w:hAnsi="Times New Roman" w:cs="Times New Roman" w:eastAsia="Times New Roman" w:hint="default"/>
        </w:rPr>
        <w:t>4,933.45</w:t>
      </w:r>
      <w:r>
        <w:rPr/>
        <w:t>万元，低于</w:t>
      </w:r>
      <w:r>
        <w:rPr>
          <w:rFonts w:ascii="Times New Roman" w:hAnsi="Times New Roman" w:cs="Times New Roman" w:eastAsia="Times New Roman" w:hint="default"/>
        </w:rPr>
        <w:t>2018</w:t>
      </w:r>
      <w:r>
        <w:rPr/>
        <w:t>年度净利润承诺数</w:t>
      </w:r>
      <w:r>
        <w:rPr>
          <w:rFonts w:ascii="Times New Roman" w:hAnsi="Times New Roman" w:cs="Times New Roman" w:eastAsia="Times New Roman" w:hint="default"/>
        </w:rPr>
        <w:t>13,500</w:t>
      </w:r>
      <w:r>
        <w:rPr/>
        <w:t>万元，完成度</w:t>
      </w:r>
      <w:r>
        <w:rPr>
          <w:spacing w:val="-47"/>
        </w:rPr>
        <w:t> </w:t>
      </w:r>
      <w:r>
        <w:rPr>
          <w:spacing w:val="-47"/>
        </w:rPr>
      </w:r>
      <w:r>
        <w:rPr/>
        <w:t>为</w:t>
      </w:r>
      <w:r>
        <w:rPr>
          <w:rFonts w:ascii="Times New Roman" w:hAnsi="Times New Roman" w:cs="Times New Roman" w:eastAsia="Times New Roman" w:hint="default"/>
        </w:rPr>
        <w:t>36.54%</w:t>
      </w:r>
      <w:r>
        <w:rPr/>
        <w:t>，未完成</w:t>
      </w:r>
      <w:r>
        <w:rPr>
          <w:rFonts w:ascii="Times New Roman" w:hAnsi="Times New Roman" w:cs="Times New Roman" w:eastAsia="Times New Roman" w:hint="default"/>
        </w:rPr>
        <w:t>2018</w:t>
      </w:r>
      <w:r>
        <w:rPr/>
        <w:t>年度的业绩承诺。并且上海移通</w:t>
      </w:r>
      <w:r>
        <w:rPr>
          <w:rFonts w:ascii="Times New Roman" w:hAnsi="Times New Roman" w:cs="Times New Roman" w:eastAsia="Times New Roman" w:hint="default"/>
        </w:rPr>
        <w:t>2016</w:t>
      </w:r>
      <w:r>
        <w:rPr/>
        <w:t>年度至</w:t>
      </w:r>
      <w:r>
        <w:rPr>
          <w:rFonts w:ascii="Times New Roman" w:hAnsi="Times New Roman" w:cs="Times New Roman" w:eastAsia="Times New Roman" w:hint="default"/>
        </w:rPr>
        <w:t>2018</w:t>
      </w:r>
      <w:r>
        <w:rPr/>
        <w:t>年度累计实现净利润为</w:t>
      </w:r>
      <w:r>
        <w:rPr>
          <w:rFonts w:ascii="Times New Roman" w:hAnsi="Times New Roman" w:cs="Times New Roman" w:eastAsia="Times New Roman" w:hint="default"/>
        </w:rPr>
        <w:t>23,971.73</w:t>
      </w:r>
      <w:r>
        <w:rPr/>
        <w:t>万元，累计承诺净</w:t>
      </w:r>
      <w:r>
        <w:rPr>
          <w:spacing w:val="-19"/>
        </w:rPr>
        <w:t> </w:t>
      </w:r>
      <w:r>
        <w:rPr>
          <w:spacing w:val="-19"/>
        </w:rPr>
      </w:r>
      <w:r>
        <w:rPr/>
        <w:t>利润为</w:t>
      </w:r>
      <w:r>
        <w:rPr>
          <w:rFonts w:ascii="Times New Roman" w:hAnsi="Times New Roman" w:cs="Times New Roman" w:eastAsia="Times New Roman" w:hint="default"/>
        </w:rPr>
        <w:t>31,900</w:t>
      </w:r>
      <w:r>
        <w:rPr/>
        <w:t>万元，累计实现数低于累计承诺数，根据交易各方签订的收购协议，业绩承诺方应当履行业绩补偿。 此外，根据立信会计师事务所（特殊普通合伙）出具的信会师报字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ZG11235</w:t>
      </w:r>
      <w:r>
        <w:rPr/>
        <w:t>号《商誉减值测试报告》，报告期计提</w:t>
      </w:r>
      <w:r>
        <w:rPr>
          <w:spacing w:val="-84"/>
        </w:rPr>
        <w:t> </w:t>
      </w:r>
      <w:r>
        <w:rPr>
          <w:spacing w:val="-84"/>
        </w:rPr>
      </w:r>
      <w:r>
        <w:rPr/>
        <w:t>收购上海移通形成的商誉资产减值准备</w:t>
      </w:r>
      <w:r>
        <w:rPr>
          <w:rFonts w:ascii="Times New Roman" w:hAnsi="Times New Roman" w:cs="Times New Roman" w:eastAsia="Times New Roman" w:hint="default"/>
        </w:rPr>
        <w:t>64,766.04</w:t>
      </w:r>
      <w:r>
        <w:rPr/>
        <w:t>万元，根据收购协议约定，业绩承诺方还应当履行商誉减值补偿义务。</w:t>
      </w:r>
    </w:p>
    <w:p>
      <w:pPr>
        <w:spacing w:line="240" w:lineRule="auto" w:before="11"/>
        <w:rPr>
          <w:rFonts w:ascii="宋体" w:hAnsi="宋体" w:cs="宋体" w:eastAsia="宋体" w:hint="default"/>
          <w:sz w:val="24"/>
          <w:szCs w:val="24"/>
        </w:rPr>
      </w:pPr>
    </w:p>
    <w:p>
      <w:pPr>
        <w:pStyle w:val="BodyText"/>
        <w:spacing w:line="309" w:lineRule="auto"/>
        <w:ind w:right="1032"/>
        <w:jc w:val="left"/>
      </w:pPr>
      <w:r>
        <w:rPr/>
        <w:t>（</w:t>
      </w:r>
      <w:r>
        <w:rPr>
          <w:rFonts w:ascii="Times New Roman" w:hAnsi="Times New Roman" w:cs="Times New Roman" w:eastAsia="Times New Roman" w:hint="default"/>
        </w:rPr>
        <w:t>3</w:t>
      </w:r>
      <w:r>
        <w:rPr/>
        <w:t>）上海移通后续经营的风险 </w:t>
      </w:r>
      <w:r>
        <w:rPr>
          <w:spacing w:val="-2"/>
        </w:rPr>
        <w:t>对上海移通完成收购后，公司向其委派两名董事进入上海移通董事会，并委派监事和财务总监各一名。收购以来，公司相关</w:t>
      </w:r>
      <w:r>
        <w:rPr>
          <w:spacing w:val="-66"/>
        </w:rPr>
        <w:t> </w:t>
      </w:r>
      <w:r>
        <w:rPr>
          <w:spacing w:val="-66"/>
        </w:rPr>
      </w:r>
      <w:r>
        <w:rPr/>
        <w:t>部门积极推动业务融合及集团化管理相关工作，但上海移通管理团队人员屡次以对赌期经营独立和不得干扰企业经营为由，</w:t>
      </w:r>
      <w:r>
        <w:rPr>
          <w:spacing w:val="-85"/>
        </w:rPr>
        <w:t> </w:t>
      </w:r>
      <w:r>
        <w:rPr>
          <w:spacing w:val="-85"/>
        </w:rPr>
      </w:r>
      <w:r>
        <w:rPr/>
        <w:t>不予积极配合或拖延配合。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月底，在公司业务审计过程中发现子公司上海移通个别员工存在不法行为，为维护公司</w:t>
      </w:r>
      <w:r>
        <w:rPr>
          <w:spacing w:val="-83"/>
        </w:rPr>
        <w:t> </w:t>
      </w:r>
      <w:r>
        <w:rPr>
          <w:spacing w:val="-83"/>
        </w:rPr>
      </w:r>
      <w:r>
        <w:rPr>
          <w:spacing w:val="-2"/>
        </w:rPr>
        <w:t>合法利益，公司于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26</w:t>
      </w:r>
      <w:r>
        <w:rPr>
          <w:spacing w:val="-2"/>
        </w:rPr>
        <w:t>日向公安机关报案。公司于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28</w:t>
      </w:r>
      <w:r>
        <w:rPr>
          <w:spacing w:val="-2"/>
        </w:rPr>
        <w:t>日发布了《</w:t>
      </w:r>
      <w:r>
        <w:rPr>
          <w:rFonts w:ascii="Times New Roman" w:hAnsi="Times New Roman" w:cs="Times New Roman" w:eastAsia="Times New Roman" w:hint="default"/>
          <w:spacing w:val="-2"/>
        </w:rPr>
        <w:t>2018</w:t>
      </w:r>
      <w:r>
        <w:rPr>
          <w:spacing w:val="-2"/>
        </w:rPr>
        <w:t>年度业绩快报》《关于子公司上海移</w:t>
      </w:r>
      <w:r>
        <w:rPr>
          <w:spacing w:val="-49"/>
        </w:rPr>
        <w:t> </w:t>
      </w:r>
      <w:r>
        <w:rPr>
          <w:spacing w:val="-49"/>
        </w:rPr>
      </w:r>
      <w:r>
        <w:rPr>
          <w:spacing w:val="-2"/>
        </w:rPr>
        <w:t>通网络有限公司重大事项的公告》和《计提资产减值准备的公告》，本着审慎原则，鉴于上海移通的经营风险事项，公司第</w:t>
      </w:r>
      <w:r>
        <w:rPr>
          <w:spacing w:val="-69"/>
        </w:rPr>
        <w:t> </w:t>
      </w:r>
      <w:r>
        <w:rPr>
          <w:spacing w:val="-69"/>
        </w:rPr>
      </w:r>
      <w:r>
        <w:rPr>
          <w:spacing w:val="-2"/>
        </w:rPr>
        <w:t>六届董事会第三十五次（临时）会议审议通过了《关于计提资产减值准备的议案》，根据会计师和评估机构的初步测算，对</w:t>
      </w:r>
      <w:r>
        <w:rPr>
          <w:spacing w:val="-67"/>
        </w:rPr>
        <w:t> </w:t>
      </w:r>
      <w:r>
        <w:rPr>
          <w:spacing w:val="-67"/>
        </w:rPr>
      </w:r>
      <w:r>
        <w:rPr>
          <w:spacing w:val="-2"/>
        </w:rPr>
        <w:t>收购上海移通在内的三家子公司形成的商誉拟计提</w:t>
      </w:r>
      <w:r>
        <w:rPr>
          <w:rFonts w:ascii="Times New Roman" w:hAnsi="Times New Roman" w:cs="Times New Roman" w:eastAsia="Times New Roman" w:hint="default"/>
          <w:spacing w:val="-2"/>
        </w:rPr>
        <w:t>107,591.50</w:t>
      </w:r>
      <w:r>
        <w:rPr>
          <w:spacing w:val="-2"/>
        </w:rPr>
        <w:t>万元的资产减值准备（后经审计确认为</w:t>
      </w:r>
      <w:r>
        <w:rPr>
          <w:rFonts w:ascii="Times New Roman" w:hAnsi="Times New Roman" w:cs="Times New Roman" w:eastAsia="Times New Roman" w:hint="default"/>
          <w:spacing w:val="-2"/>
        </w:rPr>
        <w:t>107,739.49</w:t>
      </w:r>
      <w:r>
        <w:rPr>
          <w:spacing w:val="-2"/>
        </w:rPr>
        <w:t>万元），其中</w:t>
      </w:r>
      <w:r>
        <w:rPr>
          <w:spacing w:val="-49"/>
        </w:rPr>
        <w:t> </w:t>
      </w:r>
      <w:r>
        <w:rPr>
          <w:spacing w:val="-49"/>
        </w:rPr>
      </w:r>
      <w:r>
        <w:rPr/>
        <w:t>对收购上海移通</w:t>
      </w:r>
      <w:r>
        <w:rPr>
          <w:rFonts w:ascii="Times New Roman" w:hAnsi="Times New Roman" w:cs="Times New Roman" w:eastAsia="Times New Roman" w:hint="default"/>
        </w:rPr>
        <w:t>51%</w:t>
      </w:r>
      <w:r>
        <w:rPr/>
        <w:t>股权形成的商誉计提减值准备约为</w:t>
      </w:r>
      <w:r>
        <w:rPr>
          <w:rFonts w:ascii="Times New Roman" w:hAnsi="Times New Roman" w:cs="Times New Roman" w:eastAsia="Times New Roman" w:hint="default"/>
        </w:rPr>
        <w:t>64,766.04</w:t>
      </w:r>
      <w:r>
        <w:rPr/>
        <w:t>万元，导致公司</w:t>
      </w:r>
      <w:r>
        <w:rPr>
          <w:rFonts w:ascii="Times New Roman" w:hAnsi="Times New Roman" w:cs="Times New Roman" w:eastAsia="Times New Roman" w:hint="default"/>
        </w:rPr>
        <w:t>2018</w:t>
      </w:r>
      <w:r>
        <w:rPr/>
        <w:t>年度归属于上市公司股东的净利润将大 幅亏损。 </w:t>
      </w:r>
      <w:r>
        <w:rPr>
          <w:spacing w:val="-2"/>
        </w:rPr>
        <w:t>为最大程度地减少对上海移通日常运营的影响，公司已着手对上海移通的治理架构进行调整优化，委派执行董事并更换其法</w:t>
      </w:r>
      <w:r>
        <w:rPr>
          <w:spacing w:val="-64"/>
        </w:rPr>
        <w:t> </w:t>
      </w:r>
      <w:r>
        <w:rPr>
          <w:spacing w:val="-64"/>
        </w:rPr>
      </w:r>
      <w:r>
        <w:rPr>
          <w:spacing w:val="-2"/>
        </w:rPr>
        <w:t>定代表人，努力推进上海移通日常经营运转。因维权结果存在一定的不确定性，公司利益或将面临较大损失，同时上海移通</w:t>
      </w:r>
      <w:r>
        <w:rPr>
          <w:spacing w:val="-66"/>
        </w:rPr>
        <w:t> </w:t>
      </w:r>
      <w:r>
        <w:rPr>
          <w:spacing w:val="-66"/>
        </w:rPr>
      </w:r>
      <w:r>
        <w:rPr/>
        <w:t>作为经营主体亦或因债权债务纠纷、管理层变化等情况出现可持续经营风险。</w:t>
      </w:r>
    </w:p>
    <w:p>
      <w:pPr>
        <w:spacing w:line="240" w:lineRule="auto" w:before="9"/>
        <w:rPr>
          <w:rFonts w:ascii="宋体" w:hAnsi="宋体" w:cs="宋体" w:eastAsia="宋体" w:hint="default"/>
          <w:sz w:val="25"/>
          <w:szCs w:val="25"/>
        </w:rPr>
      </w:pPr>
    </w:p>
    <w:p>
      <w:pPr>
        <w:pStyle w:val="BodyText"/>
        <w:spacing w:line="240" w:lineRule="auto"/>
        <w:ind w:right="0"/>
        <w:jc w:val="both"/>
      </w:pPr>
      <w:r>
        <w:rPr/>
        <w:t>（</w:t>
      </w:r>
      <w:r>
        <w:rPr>
          <w:rFonts w:ascii="Times New Roman" w:hAnsi="Times New Roman" w:cs="Times New Roman" w:eastAsia="Times New Roman" w:hint="default"/>
        </w:rPr>
        <w:t>4</w:t>
      </w:r>
      <w:r>
        <w:rPr/>
        <w:t>）后续工作</w:t>
      </w:r>
    </w:p>
    <w:p>
      <w:pPr>
        <w:pStyle w:val="BodyText"/>
        <w:spacing w:line="300" w:lineRule="auto" w:before="63"/>
        <w:ind w:right="1128"/>
        <w:jc w:val="both"/>
      </w:pPr>
      <w:r>
        <w:rPr/>
        <w:t>①公司已采取法律手段维护自身合法权益，截至本公告披露之日，公司已收到公安机关立案通知书，具体详见公司于</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日发布的《关于收到公安机关立案通知的公告》，目前案件相关调查工作尚在推进过程中，公司将继续积极配合有</w:t>
      </w:r>
      <w:r>
        <w:rPr>
          <w:spacing w:val="-83"/>
        </w:rPr>
        <w:t> </w:t>
      </w:r>
      <w:r>
        <w:rPr>
          <w:spacing w:val="-83"/>
        </w:rPr>
      </w:r>
      <w:r>
        <w:rPr/>
        <w:t>关部门的调查。</w:t>
      </w:r>
    </w:p>
    <w:p>
      <w:pPr>
        <w:pStyle w:val="BodyText"/>
        <w:spacing w:line="240" w:lineRule="auto" w:before="31"/>
        <w:ind w:right="0"/>
        <w:jc w:val="both"/>
      </w:pPr>
      <w:r>
        <w:rPr/>
        <w:t>②公司董事会和管理层将进一步提升规范运作水平，强化内部管理与风险控制，加强对被投资主体的有效管理与监督。</w:t>
      </w:r>
    </w:p>
    <w:p>
      <w:pPr>
        <w:pStyle w:val="BodyText"/>
        <w:spacing w:line="316" w:lineRule="auto" w:before="76"/>
        <w:ind w:right="1131"/>
        <w:jc w:val="both"/>
      </w:pPr>
      <w:r>
        <w:rPr>
          <w:spacing w:val="-2"/>
        </w:rPr>
        <w:t>③公司已着手对上海移通的治理架构进行调整优化，委派执行董事并更换法定代表人，同时派驻管理和技术人员，进行员工</w:t>
      </w:r>
      <w:r>
        <w:rPr>
          <w:spacing w:val="-66"/>
        </w:rPr>
        <w:t> </w:t>
      </w:r>
      <w:r>
        <w:rPr>
          <w:spacing w:val="-66"/>
        </w:rPr>
      </w:r>
      <w:r>
        <w:rPr>
          <w:spacing w:val="-2"/>
        </w:rPr>
        <w:t>安抚、客户及供应商拜访等工作，努力推进上海移通运维体系和经营的正常运转。此外，公司已对上海移通的资金和资产实</w:t>
      </w:r>
      <w:r>
        <w:rPr>
          <w:spacing w:val="-66"/>
        </w:rPr>
        <w:t> </w:t>
      </w:r>
      <w:r>
        <w:rPr>
          <w:spacing w:val="-66"/>
        </w:rPr>
      </w:r>
      <w:r>
        <w:rPr/>
        <w:t>施有效控制，以防进一步损失。</w:t>
      </w:r>
    </w:p>
    <w:p>
      <w:pPr>
        <w:pStyle w:val="BodyText"/>
        <w:spacing w:line="307" w:lineRule="auto" w:before="19"/>
        <w:ind w:right="1132"/>
        <w:jc w:val="both"/>
      </w:pPr>
      <w:r>
        <w:rPr>
          <w:spacing w:val="-2"/>
        </w:rPr>
        <w:t>④考虑到解决上海移通问题的复杂性，以及可能需要较长的时间周期，公司或将择机采取合法方式处置上海移通股权。并且</w:t>
      </w:r>
      <w:r>
        <w:rPr>
          <w:spacing w:val="-66"/>
        </w:rPr>
        <w:t> </w:t>
      </w:r>
      <w:r>
        <w:rPr>
          <w:spacing w:val="-66"/>
        </w:rPr>
      </w:r>
      <w:r>
        <w:rPr>
          <w:spacing w:val="-2"/>
        </w:rPr>
        <w:t>后期根据司法判定结果，若在相关司法判决生效后</w:t>
      </w:r>
      <w:r>
        <w:rPr>
          <w:rFonts w:ascii="Times New Roman" w:hAnsi="Times New Roman" w:cs="Times New Roman" w:eastAsia="Times New Roman" w:hint="default"/>
          <w:spacing w:val="-2"/>
        </w:rPr>
        <w:t>12</w:t>
      </w:r>
      <w:r>
        <w:rPr>
          <w:spacing w:val="-2"/>
        </w:rPr>
        <w:t>个月内，上海移通的原股东仍无法足额赔偿久其软件之损失的，久其科</w:t>
      </w:r>
      <w:r>
        <w:rPr>
          <w:spacing w:val="-64"/>
        </w:rPr>
        <w:t> </w:t>
      </w:r>
      <w:r>
        <w:rPr>
          <w:spacing w:val="-64"/>
        </w:rPr>
      </w:r>
      <w:r>
        <w:rPr/>
        <w:t>投愿意补偿久其软件，补偿金额为</w:t>
      </w:r>
      <w:r>
        <w:rPr>
          <w:rFonts w:ascii="Times New Roman" w:hAnsi="Times New Roman" w:cs="Times New Roman" w:eastAsia="Times New Roman" w:hint="default"/>
        </w:rPr>
        <w:t>49%</w:t>
      </w:r>
      <w:r>
        <w:rPr/>
        <w:t>股权的交易对价</w:t>
      </w:r>
      <w:r>
        <w:rPr>
          <w:rFonts w:ascii="Times New Roman" w:hAnsi="Times New Roman" w:cs="Times New Roman" w:eastAsia="Times New Roman" w:hint="default"/>
        </w:rPr>
        <w:t>8</w:t>
      </w:r>
      <w:r>
        <w:rPr/>
        <w:t>亿元减去久其软件已实际获得的对应</w:t>
      </w:r>
      <w:r>
        <w:rPr>
          <w:rFonts w:ascii="Times New Roman" w:hAnsi="Times New Roman" w:cs="Times New Roman" w:eastAsia="Times New Roman" w:hint="default"/>
        </w:rPr>
        <w:t>49%</w:t>
      </w:r>
      <w:r>
        <w:rPr/>
        <w:t>股权部分的赔偿金（包含</w:t>
      </w:r>
      <w:r>
        <w:rPr>
          <w:spacing w:val="-30"/>
        </w:rPr>
        <w:t> </w:t>
      </w:r>
      <w:r>
        <w:rPr>
          <w:spacing w:val="-30"/>
        </w:rPr>
      </w:r>
      <w:r>
        <w:rPr/>
        <w:t>但不限于退还的股权款、追偿的其他损失等），以减少对上市公司的不利影响。</w:t>
      </w:r>
    </w:p>
    <w:p>
      <w:pPr>
        <w:pStyle w:val="BodyText"/>
        <w:spacing w:line="240" w:lineRule="auto" w:before="26"/>
        <w:ind w:right="0"/>
        <w:jc w:val="both"/>
      </w:pPr>
      <w:r>
        <w:rPr/>
        <w:t>⑤公司将根据有关事件进展情况，按照交易所的相关规定，及时履行信息披露义务。</w:t>
      </w:r>
    </w:p>
    <w:p>
      <w:pPr>
        <w:spacing w:after="0" w:line="240" w:lineRule="auto"/>
        <w:jc w:val="both"/>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2966" w:right="0"/>
        <w:jc w:val="left"/>
        <w:rPr>
          <w:b w:val="0"/>
          <w:bCs w:val="0"/>
        </w:rPr>
      </w:pPr>
      <w:bookmarkStart w:name="第六节 股份变动及股东情况" w:id="106"/>
      <w:bookmarkEnd w:id="106"/>
      <w:r>
        <w:rPr>
          <w:b w:val="0"/>
          <w:bCs w:val="0"/>
        </w:rPr>
      </w:r>
      <w:bookmarkStart w:name="_bookmark4" w:id="107"/>
      <w:bookmarkEnd w:id="107"/>
      <w:r>
        <w:rPr>
          <w:b w:val="0"/>
          <w:bCs w:val="0"/>
        </w:rPr>
      </w:r>
      <w:r>
        <w:rPr/>
        <w:t>第六节</w:t>
      </w:r>
      <w:r>
        <w:rPr>
          <w:spacing w:val="-8"/>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8"/>
      <w:bookmarkEnd w:id="108"/>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9"/>
      <w:bookmarkEnd w:id="109"/>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1901"/>
        <w:gridCol w:w="1003"/>
        <w:gridCol w:w="727"/>
        <w:gridCol w:w="806"/>
        <w:gridCol w:w="430"/>
        <w:gridCol w:w="991"/>
        <w:gridCol w:w="1052"/>
        <w:gridCol w:w="1055"/>
        <w:gridCol w:w="991"/>
        <w:gridCol w:w="727"/>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34"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7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1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0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
        </w:tc>
        <w:tc>
          <w:tcPr>
            <w:tcW w:w="1730" w:type="dxa"/>
            <w:gridSpan w:val="2"/>
            <w:vMerge/>
            <w:tcBorders>
              <w:left w:val="single" w:sz="4" w:space="0" w:color="000000"/>
              <w:bottom w:val="single" w:sz="4" w:space="0" w:color="000000"/>
              <w:right w:val="single" w:sz="4" w:space="0" w:color="000000"/>
            </w:tcBorders>
            <w:shd w:val="clear" w:color="auto" w:fill="D2D2D2"/>
          </w:tcPr>
          <w:p>
            <w:pPr/>
          </w:p>
        </w:tc>
        <w:tc>
          <w:tcPr>
            <w:tcW w:w="4334" w:type="dxa"/>
            <w:gridSpan w:val="5"/>
            <w:vMerge/>
            <w:tcBorders>
              <w:left w:val="single" w:sz="4" w:space="0" w:color="000000"/>
              <w:bottom w:val="single" w:sz="4" w:space="0" w:color="000000"/>
              <w:right w:val="single" w:sz="4" w:space="0" w:color="000000"/>
            </w:tcBorders>
            <w:shd w:val="clear" w:color="auto" w:fill="D2D2D2"/>
          </w:tcPr>
          <w:p>
            <w:pPr/>
          </w:p>
        </w:tc>
        <w:tc>
          <w:tcPr>
            <w:tcW w:w="171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7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0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77"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806" w:type="dxa"/>
            <w:vMerge/>
            <w:tcBorders>
              <w:left w:val="single" w:sz="4" w:space="0" w:color="000000"/>
              <w:bottom w:val="single" w:sz="4" w:space="0" w:color="000000"/>
              <w:right w:val="single" w:sz="4" w:space="0" w:color="000000"/>
            </w:tcBorders>
            <w:shd w:val="clear" w:color="auto" w:fill="D2D2D2"/>
          </w:tcPr>
          <w:p>
            <w:pPr/>
          </w:p>
        </w:tc>
        <w:tc>
          <w:tcPr>
            <w:tcW w:w="430"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436,714,508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61.45%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790,000</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-324,694,661</w:t>
            </w:r>
            <w:r>
              <w:rPr>
                <w:rFonts w:ascii="Times New Roman"/>
                <w:sz w:val="18"/>
              </w:rPr>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-323,904,661</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112,809,847</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15.86%</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436,714,508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61.45%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790,000</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-324,694,661</w:t>
            </w:r>
            <w:r>
              <w:rPr>
                <w:rFonts w:ascii="Times New Roman"/>
                <w:sz w:val="18"/>
              </w:rPr>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-323,904,661</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112,809,847</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15.86%</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171,143,843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24.08%</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-171,143,843</w:t>
            </w:r>
            <w:r>
              <w:rPr>
                <w:rFonts w:ascii="Times New Roman"/>
                <w:sz w:val="18"/>
              </w:rPr>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-171,143,843</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265,570,665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37.37%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790,000</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-153,550,818</w:t>
            </w:r>
            <w:r>
              <w:rPr>
                <w:rFonts w:ascii="Times New Roman"/>
                <w:sz w:val="18"/>
              </w:rPr>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-152,760,818</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112,809,847</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15.86%</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274,012,909</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38.55%</w:t>
            </w:r>
          </w:p>
        </w:tc>
        <w:tc>
          <w:tcPr>
            <w:tcW w:w="80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324,403,822</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324,403,822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598,416,731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84.14%</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274,012,909</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38.55%</w:t>
            </w:r>
          </w:p>
        </w:tc>
        <w:tc>
          <w:tcPr>
            <w:tcW w:w="80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324,403,822</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324,403,822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598,416,731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84.14%</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710,727,417</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790,000</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-290,839</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499,161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711,226,578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both"/>
      </w:pPr>
      <w:r>
        <w:rPr/>
        <w:t>股份变动的原因</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both"/>
      </w:pPr>
      <w:r>
        <w:rPr/>
        <w:t>（</w:t>
      </w:r>
      <w:r>
        <w:rPr>
          <w:rFonts w:ascii="Times New Roman" w:hAnsi="Times New Roman" w:cs="Times New Roman" w:eastAsia="Times New Roman" w:hint="default"/>
        </w:rPr>
        <w:t>1</w:t>
      </w:r>
      <w:r>
        <w:rPr>
          <w:spacing w:val="-87"/>
        </w:rPr>
        <w:t>）</w:t>
      </w:r>
      <w:r>
        <w:rPr/>
        <w:t>公司公开发行的可转换公司债券自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日起进入转股期</w:t>
      </w:r>
      <w:r>
        <w:rPr>
          <w:spacing w:val="-87"/>
        </w:rPr>
        <w:t>，</w:t>
      </w:r>
      <w:r>
        <w:rPr/>
        <w:t>部分债券持有人在报告期实施转股导致总股本增加。</w:t>
      </w:r>
    </w:p>
    <w:p>
      <w:pPr>
        <w:pStyle w:val="BodyText"/>
        <w:spacing w:line="302" w:lineRule="auto" w:before="102"/>
        <w:ind w:right="1043"/>
        <w:jc w:val="both"/>
      </w:pPr>
      <w:r>
        <w:rPr/>
        <w:t>（</w:t>
      </w:r>
      <w:r>
        <w:rPr>
          <w:rFonts w:ascii="Times New Roman" w:hAnsi="Times New Roman" w:cs="Times New Roman" w:eastAsia="Times New Roman" w:hint="default"/>
        </w:rPr>
        <w:t>2</w:t>
      </w:r>
      <w:r>
        <w:rPr/>
        <w:t>）因公司控股股东和两名实际控制人为公司以现金及发行股份的方式购买亿起联科技</w:t>
      </w:r>
      <w:r>
        <w:rPr>
          <w:rFonts w:ascii="Times New Roman" w:hAnsi="Times New Roman" w:cs="Times New Roman" w:eastAsia="Times New Roman" w:hint="default"/>
        </w:rPr>
        <w:t>100%</w:t>
      </w:r>
      <w:r>
        <w:rPr/>
        <w:t>股权并募集配套资金暨关联交 易相关事宜所作股份限售承诺已于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5</w:t>
      </w:r>
      <w:r>
        <w:rPr/>
        <w:t>日届满，其所持部分股份解锁条件达成，并于本报告期办理了解除限售手续。</w:t>
      </w:r>
    </w:p>
    <w:p>
      <w:pPr>
        <w:pStyle w:val="BodyText"/>
        <w:spacing w:line="309" w:lineRule="auto" w:before="49"/>
        <w:ind w:right="1132"/>
        <w:jc w:val="both"/>
      </w:pPr>
      <w:r>
        <w:rPr/>
        <w:t>（</w:t>
      </w:r>
      <w:r>
        <w:rPr>
          <w:rFonts w:ascii="Times New Roman" w:hAnsi="Times New Roman" w:cs="Times New Roman" w:eastAsia="Times New Roman" w:hint="default"/>
        </w:rPr>
        <w:t>3</w:t>
      </w:r>
      <w:r>
        <w:rPr/>
        <w:t>）由于交易对手方承诺的亿起联科技</w:t>
      </w:r>
      <w:r>
        <w:rPr>
          <w:rFonts w:ascii="Times New Roman" w:hAnsi="Times New Roman" w:cs="Times New Roman" w:eastAsia="Times New Roman" w:hint="default"/>
        </w:rPr>
        <w:t>2017</w:t>
      </w:r>
      <w:r>
        <w:rPr/>
        <w:t>年度业绩未达成，公司定向回购并注销了交易对手方王新、李勇所持的部分有</w:t>
      </w:r>
      <w:r>
        <w:rPr>
          <w:spacing w:val="-83"/>
        </w:rPr>
        <w:t> </w:t>
      </w:r>
      <w:r>
        <w:rPr>
          <w:spacing w:val="-83"/>
        </w:rPr>
      </w:r>
      <w:r>
        <w:rPr>
          <w:spacing w:val="-2"/>
        </w:rPr>
        <w:t>限售条件股份，导致总股本减少。交易对手方履行了股份补偿义务后，公司在报告期为其所持有的第四期有限售条件股份办</w:t>
      </w:r>
      <w:r>
        <w:rPr>
          <w:spacing w:val="-66"/>
        </w:rPr>
        <w:t> </w:t>
      </w:r>
      <w:r>
        <w:rPr>
          <w:spacing w:val="-66"/>
        </w:rPr>
      </w:r>
      <w:r>
        <w:rPr/>
        <w:t>理了解除限售。</w:t>
      </w:r>
    </w:p>
    <w:p>
      <w:pPr>
        <w:pStyle w:val="BodyText"/>
        <w:spacing w:line="302" w:lineRule="auto" w:before="62"/>
        <w:ind w:right="1130"/>
        <w:jc w:val="both"/>
      </w:pPr>
      <w:r>
        <w:rPr/>
        <w:t>（</w:t>
      </w:r>
      <w:r>
        <w:rPr>
          <w:rFonts w:ascii="Times New Roman" w:hAnsi="Times New Roman" w:cs="Times New Roman" w:eastAsia="Times New Roman" w:hint="default"/>
        </w:rPr>
        <w:t>4</w:t>
      </w:r>
      <w:r>
        <w:rPr/>
        <w:t>）由于部分股权激励对象离职或个人</w:t>
      </w:r>
      <w:r>
        <w:rPr>
          <w:rFonts w:ascii="Times New Roman" w:hAnsi="Times New Roman" w:cs="Times New Roman" w:eastAsia="Times New Roman" w:hint="default"/>
        </w:rPr>
        <w:t>2017</w:t>
      </w:r>
      <w:r>
        <w:rPr/>
        <w:t>年度考核指标未达标，公司在报告期对</w:t>
      </w:r>
      <w:r>
        <w:rPr>
          <w:rFonts w:ascii="Times New Roman" w:hAnsi="Times New Roman" w:cs="Times New Roman" w:eastAsia="Times New Roman" w:hint="default"/>
        </w:rPr>
        <w:t>10</w:t>
      </w:r>
      <w:r>
        <w:rPr/>
        <w:t>名激励对象持有的股权激励限制性股</w:t>
      </w:r>
      <w:r>
        <w:rPr>
          <w:spacing w:val="-83"/>
        </w:rPr>
        <w:t> </w:t>
      </w:r>
      <w:r>
        <w:rPr>
          <w:spacing w:val="-83"/>
        </w:rPr>
      </w:r>
      <w:r>
        <w:rPr/>
        <w:t>票实施回购注销，导致总股本减少。</w:t>
      </w:r>
    </w:p>
    <w:p>
      <w:pPr>
        <w:pStyle w:val="BodyText"/>
        <w:spacing w:line="302" w:lineRule="auto" w:before="69"/>
        <w:ind w:right="1130"/>
        <w:jc w:val="both"/>
      </w:pPr>
      <w:r>
        <w:rPr/>
        <w:t>（</w:t>
      </w:r>
      <w:r>
        <w:rPr>
          <w:rFonts w:ascii="Times New Roman" w:hAnsi="Times New Roman" w:cs="Times New Roman" w:eastAsia="Times New Roman" w:hint="default"/>
        </w:rPr>
        <w:t>5</w:t>
      </w:r>
      <w:r>
        <w:rPr/>
        <w:t>）由于交易对手方承诺的华夏电通</w:t>
      </w:r>
      <w:r>
        <w:rPr>
          <w:rFonts w:ascii="Times New Roman" w:hAnsi="Times New Roman" w:cs="Times New Roman" w:eastAsia="Times New Roman" w:hint="default"/>
        </w:rPr>
        <w:t>2017</w:t>
      </w:r>
      <w:r>
        <w:rPr/>
        <w:t>年度业绩达成，公司在报告期为栗军等</w:t>
      </w:r>
      <w:r>
        <w:rPr>
          <w:rFonts w:ascii="Times New Roman" w:hAnsi="Times New Roman" w:cs="Times New Roman" w:eastAsia="Times New Roman" w:hint="default"/>
        </w:rPr>
        <w:t>32</w:t>
      </w:r>
      <w:r>
        <w:rPr/>
        <w:t>名交易对手方所持的第三期有限售条件</w:t>
      </w:r>
      <w:r>
        <w:rPr>
          <w:spacing w:val="-83"/>
        </w:rPr>
        <w:t> </w:t>
      </w:r>
      <w:r>
        <w:rPr>
          <w:spacing w:val="-83"/>
        </w:rPr>
      </w:r>
      <w:r>
        <w:rPr/>
        <w:t>股份办理了解除限售手续。</w:t>
      </w:r>
    </w:p>
    <w:p>
      <w:pPr>
        <w:pStyle w:val="BodyText"/>
        <w:spacing w:line="302" w:lineRule="auto" w:before="68"/>
        <w:ind w:right="1130"/>
        <w:jc w:val="both"/>
      </w:pPr>
      <w:r>
        <w:rPr>
          <w:spacing w:val="-2"/>
        </w:rPr>
        <w:t>（</w:t>
      </w:r>
      <w:r>
        <w:rPr>
          <w:rFonts w:ascii="Times New Roman" w:hAnsi="Times New Roman" w:cs="Times New Roman" w:eastAsia="Times New Roman" w:hint="default"/>
          <w:spacing w:val="-2"/>
        </w:rPr>
        <w:t>6</w:t>
      </w:r>
      <w:r>
        <w:rPr>
          <w:spacing w:val="-2"/>
        </w:rPr>
        <w:t>）由于</w:t>
      </w:r>
      <w:r>
        <w:rPr>
          <w:rFonts w:ascii="Times New Roman" w:hAnsi="Times New Roman" w:cs="Times New Roman" w:eastAsia="Times New Roman" w:hint="default"/>
          <w:spacing w:val="-2"/>
        </w:rPr>
        <w:t>2017</w:t>
      </w:r>
      <w:r>
        <w:rPr>
          <w:spacing w:val="-2"/>
        </w:rPr>
        <w:t>年度限制性股票激励计划首次授予部分第一个解除限售期解除限售条件达成，公司在报告期为</w:t>
      </w:r>
      <w:r>
        <w:rPr>
          <w:rFonts w:ascii="Times New Roman" w:hAnsi="Times New Roman" w:cs="Times New Roman" w:eastAsia="Times New Roman" w:hint="default"/>
          <w:spacing w:val="-2"/>
        </w:rPr>
        <w:t>309</w:t>
      </w:r>
      <w:r>
        <w:rPr>
          <w:spacing w:val="-2"/>
        </w:rPr>
        <w:t>名激励对象</w:t>
      </w:r>
      <w:r>
        <w:rPr>
          <w:spacing w:val="-56"/>
        </w:rPr>
        <w:t> </w:t>
      </w:r>
      <w:r>
        <w:rPr/>
        <w:t>持有的部分限制性股票办理了解除限售手续。</w:t>
      </w:r>
    </w:p>
    <w:p>
      <w:pPr>
        <w:pStyle w:val="BodyText"/>
        <w:spacing w:line="300" w:lineRule="auto" w:before="68"/>
        <w:ind w:right="1128"/>
        <w:jc w:val="both"/>
      </w:pPr>
      <w:r>
        <w:rPr/>
        <w:t>（</w:t>
      </w:r>
      <w:r>
        <w:rPr>
          <w:rFonts w:ascii="Times New Roman" w:hAnsi="Times New Roman" w:cs="Times New Roman" w:eastAsia="Times New Roman" w:hint="default"/>
        </w:rPr>
        <w:t>7</w:t>
      </w:r>
      <w:r>
        <w:rPr/>
        <w:t>）因交易对手方栗军及久其科技等</w:t>
      </w:r>
      <w:r>
        <w:rPr>
          <w:rFonts w:ascii="Times New Roman" w:hAnsi="Times New Roman" w:cs="Times New Roman" w:eastAsia="Times New Roman" w:hint="default"/>
        </w:rPr>
        <w:t>9</w:t>
      </w:r>
      <w:r>
        <w:rPr/>
        <w:t>名配套融资认购方为公司以现金及发行股份的方式购买华夏电通</w:t>
      </w:r>
      <w:r>
        <w:rPr>
          <w:rFonts w:ascii="Times New Roman" w:hAnsi="Times New Roman" w:cs="Times New Roman" w:eastAsia="Times New Roman" w:hint="default"/>
        </w:rPr>
        <w:t>100%</w:t>
      </w:r>
      <w:r>
        <w:rPr/>
        <w:t>股权并募集配</w:t>
      </w:r>
      <w:r>
        <w:rPr>
          <w:spacing w:val="-53"/>
        </w:rPr>
        <w:t> </w:t>
      </w:r>
      <w:r>
        <w:rPr>
          <w:spacing w:val="-53"/>
        </w:rPr>
      </w:r>
      <w:r>
        <w:rPr>
          <w:spacing w:val="-2"/>
        </w:rPr>
        <w:t>套资金暨关联交易相关事宜所作股份限售承诺已于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10</w:t>
      </w:r>
      <w:r>
        <w:rPr>
          <w:spacing w:val="-2"/>
        </w:rPr>
        <w:t>日届满，其所持部分股份解锁条件达成，并于报告期内办理</w:t>
      </w:r>
      <w:r>
        <w:rPr>
          <w:spacing w:val="-56"/>
        </w:rPr>
        <w:t> </w:t>
      </w:r>
      <w:r>
        <w:rPr>
          <w:spacing w:val="-56"/>
        </w:rPr>
      </w:r>
      <w:r>
        <w:rPr/>
        <w:t>了解除限售手续。</w:t>
      </w:r>
    </w:p>
    <w:p>
      <w:pPr>
        <w:pStyle w:val="BodyText"/>
        <w:spacing w:line="240" w:lineRule="auto" w:before="72"/>
        <w:ind w:right="0"/>
        <w:jc w:val="both"/>
      </w:pPr>
      <w:r>
        <w:rPr/>
        <w:t>（</w:t>
      </w:r>
      <w:r>
        <w:rPr>
          <w:rFonts w:ascii="Times New Roman" w:hAnsi="Times New Roman" w:cs="Times New Roman" w:eastAsia="Times New Roman" w:hint="default"/>
        </w:rPr>
        <w:t>8</w:t>
      </w:r>
      <w:r>
        <w:rPr/>
        <w:t>）报告期公司完成了</w:t>
      </w:r>
      <w:r>
        <w:rPr>
          <w:rFonts w:ascii="Times New Roman" w:hAnsi="Times New Roman" w:cs="Times New Roman" w:eastAsia="Times New Roman" w:hint="default"/>
        </w:rPr>
        <w:t>2017</w:t>
      </w:r>
      <w:r>
        <w:rPr/>
        <w:t>年度限制性股票激励计划预留授予登记，导致总股本增加。</w:t>
      </w:r>
    </w:p>
    <w:p>
      <w:pPr>
        <w:pStyle w:val="BodyText"/>
        <w:spacing w:line="240" w:lineRule="auto" w:before="103"/>
        <w:ind w:right="0"/>
        <w:jc w:val="both"/>
      </w:pPr>
      <w:r>
        <w:rPr/>
        <w:t>（</w:t>
      </w:r>
      <w:r>
        <w:rPr>
          <w:rFonts w:ascii="Times New Roman" w:hAnsi="Times New Roman" w:cs="Times New Roman" w:eastAsia="Times New Roman" w:hint="default"/>
        </w:rPr>
        <w:t>9</w:t>
      </w:r>
      <w:r>
        <w:rPr/>
        <w:t>）由于公司董事王新于报告期申请辞去董事职务，导致高管锁定股数量增加。</w:t>
      </w:r>
    </w:p>
    <w:p>
      <w:pPr>
        <w:pStyle w:val="BodyText"/>
        <w:spacing w:line="240" w:lineRule="auto" w:before="102"/>
        <w:ind w:right="0"/>
        <w:jc w:val="both"/>
      </w:pPr>
      <w:r>
        <w:rPr/>
        <w:t>（</w:t>
      </w:r>
      <w:r>
        <w:rPr>
          <w:rFonts w:ascii="Times New Roman" w:hAnsi="Times New Roman" w:cs="Times New Roman" w:eastAsia="Times New Roman" w:hint="default"/>
        </w:rPr>
        <w:t>10</w:t>
      </w:r>
      <w:r>
        <w:rPr/>
        <w:t>）由于公司董事王新、栗军于</w:t>
      </w:r>
      <w:r>
        <w:rPr>
          <w:rFonts w:ascii="Times New Roman" w:hAnsi="Times New Roman" w:cs="Times New Roman" w:eastAsia="Times New Roman" w:hint="default"/>
        </w:rPr>
        <w:t>2017</w:t>
      </w:r>
      <w:r>
        <w:rPr/>
        <w:t>年减持了其所持有的部分公司股份，导致本报告期高管锁定股数量减少。</w:t>
      </w:r>
    </w:p>
    <w:p>
      <w:pPr>
        <w:pStyle w:val="BodyText"/>
        <w:spacing w:line="240" w:lineRule="auto" w:before="102"/>
        <w:ind w:right="0"/>
        <w:jc w:val="both"/>
      </w:pPr>
      <w:r>
        <w:rPr/>
        <w:t>（</w:t>
      </w:r>
      <w:r>
        <w:rPr>
          <w:rFonts w:ascii="Times New Roman" w:hAnsi="Times New Roman" w:cs="Times New Roman" w:eastAsia="Times New Roman" w:hint="default"/>
        </w:rPr>
        <w:t>11</w:t>
      </w:r>
      <w:r>
        <w:rPr/>
        <w:t>）公司部分董事、高级管理人员基于对公司发展的信心，分别于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12</w:t>
      </w:r>
      <w:r>
        <w:rPr/>
        <w:t>月和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月多次通过二级市场增持</w:t>
      </w:r>
    </w:p>
    <w:p>
      <w:pPr>
        <w:spacing w:after="0" w:line="240" w:lineRule="auto"/>
        <w:jc w:val="both"/>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357" w:lineRule="auto" w:before="44"/>
        <w:ind w:right="6972"/>
        <w:jc w:val="left"/>
      </w:pPr>
      <w:r>
        <w:rPr/>
        <w:t>公司股份，导致本报告期高管锁定股数量增加。 股份变动的批准情况</w:t>
      </w:r>
    </w:p>
    <w:p>
      <w:pPr>
        <w:pStyle w:val="BodyText"/>
        <w:spacing w:line="240" w:lineRule="auto" w:before="2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0"/>
        <w:jc w:val="left"/>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17</w:t>
      </w:r>
      <w:r>
        <w:rPr>
          <w:spacing w:val="-2"/>
        </w:rPr>
        <w:t>日，公司召开</w:t>
      </w:r>
      <w:r>
        <w:rPr>
          <w:rFonts w:ascii="Times New Roman" w:hAnsi="Times New Roman" w:cs="Times New Roman" w:eastAsia="Times New Roman" w:hint="default"/>
          <w:spacing w:val="-2"/>
        </w:rPr>
        <w:t>2017</w:t>
      </w:r>
      <w:r>
        <w:rPr>
          <w:spacing w:val="-2"/>
        </w:rPr>
        <w:t>年度股东大会，审议通过了《关于回购注销部分激励对象已获授但尚未解锁的限制性股</w:t>
      </w:r>
      <w:r>
        <w:rPr>
          <w:spacing w:val="-55"/>
        </w:rPr>
        <w:t> </w:t>
      </w:r>
      <w:r>
        <w:rPr>
          <w:spacing w:val="-55"/>
        </w:rPr>
      </w:r>
      <w:r>
        <w:rPr/>
        <w:t>票的议案》和《关于定向回购王新、李勇</w:t>
      </w:r>
      <w:r>
        <w:rPr>
          <w:rFonts w:ascii="Times New Roman" w:hAnsi="Times New Roman" w:cs="Times New Roman" w:eastAsia="Times New Roman" w:hint="default"/>
        </w:rPr>
        <w:t>2017</w:t>
      </w:r>
      <w:r>
        <w:rPr/>
        <w:t>年度应补偿股份暨关联交易的议案》。</w:t>
      </w:r>
    </w:p>
    <w:p>
      <w:pPr>
        <w:pStyle w:val="BodyText"/>
        <w:spacing w:line="300" w:lineRule="auto" w:before="13"/>
        <w:ind w:right="1122"/>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日，公司召开第六届董事会第二十八次（临时）会议，审议通过了《关于向公司</w:t>
      </w:r>
      <w:r>
        <w:rPr>
          <w:rFonts w:ascii="Times New Roman" w:hAnsi="Times New Roman" w:cs="Times New Roman" w:eastAsia="Times New Roman" w:hint="default"/>
        </w:rPr>
        <w:t>2017</w:t>
      </w:r>
      <w:r>
        <w:rPr/>
        <w:t>年度限制性股票激励 计划激励对象授予预留限制性股票的议案》。</w:t>
      </w:r>
    </w:p>
    <w:p>
      <w:pPr>
        <w:pStyle w:val="BodyText"/>
        <w:spacing w:line="240" w:lineRule="auto" w:before="72"/>
        <w:ind w:right="0"/>
        <w:jc w:val="left"/>
      </w:pPr>
      <w:r>
        <w:rPr/>
        <w:t>股份变动的过户情况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0"/>
        <w:jc w:val="left"/>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19</w:t>
      </w:r>
      <w:r>
        <w:rPr>
          <w:spacing w:val="-2"/>
        </w:rPr>
        <w:t>日，公司在中国证券登记结算有限责任公司深圳分公司办理完成对部分</w:t>
      </w:r>
      <w:r>
        <w:rPr>
          <w:rFonts w:ascii="Times New Roman" w:hAnsi="Times New Roman" w:cs="Times New Roman" w:eastAsia="Times New Roman" w:hint="default"/>
          <w:spacing w:val="-2"/>
        </w:rPr>
        <w:t>2017</w:t>
      </w:r>
      <w:r>
        <w:rPr>
          <w:spacing w:val="-2"/>
        </w:rPr>
        <w:t>年度股权激励限制性股票以及</w:t>
      </w:r>
      <w:r>
        <w:rPr>
          <w:spacing w:val="-52"/>
        </w:rPr>
        <w:t> </w:t>
      </w:r>
      <w:r>
        <w:rPr/>
        <w:t>王新、李勇业绩补偿股份的回购和注销。</w:t>
      </w:r>
    </w:p>
    <w:p>
      <w:pPr>
        <w:pStyle w:val="BodyText"/>
        <w:spacing w:line="300" w:lineRule="auto" w:before="31"/>
        <w:ind w:right="1118"/>
        <w:jc w:val="left"/>
      </w:pPr>
      <w:r>
        <w:rPr>
          <w:spacing w:val="-2"/>
        </w:rPr>
        <w:t>（</w:t>
      </w:r>
      <w:r>
        <w:rPr>
          <w:rFonts w:ascii="Times New Roman" w:hAnsi="Times New Roman" w:cs="Times New Roman" w:eastAsia="Times New Roman" w:hint="default"/>
          <w:spacing w:val="-2"/>
        </w:rPr>
        <w:t>2</w:t>
      </w:r>
      <w:r>
        <w:rPr>
          <w:spacing w:val="-2"/>
        </w:rPr>
        <w:t>）公司</w:t>
      </w:r>
      <w:r>
        <w:rPr>
          <w:rFonts w:ascii="Times New Roman" w:hAnsi="Times New Roman" w:cs="Times New Roman" w:eastAsia="Times New Roman" w:hint="default"/>
          <w:spacing w:val="-2"/>
        </w:rPr>
        <w:t>2017</w:t>
      </w:r>
      <w:r>
        <w:rPr>
          <w:spacing w:val="-2"/>
        </w:rPr>
        <w:t>年度限制性股票激励计划预留授予登记于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7</w:t>
      </w:r>
      <w:r>
        <w:rPr>
          <w:spacing w:val="-2"/>
        </w:rPr>
        <w:t>日在中国证券登记结算有限责任公司深圳分公司办理完</w:t>
      </w:r>
      <w:r>
        <w:rPr>
          <w:spacing w:val="-52"/>
        </w:rPr>
        <w:t> </w:t>
      </w:r>
      <w:r>
        <w:rPr/>
        <w:t>毕。</w:t>
      </w:r>
    </w:p>
    <w:p>
      <w:pPr>
        <w:pStyle w:val="BodyText"/>
        <w:spacing w:line="240" w:lineRule="auto" w:before="72"/>
        <w:ind w:right="0"/>
        <w:jc w:val="left"/>
      </w:pPr>
      <w:r>
        <w:rPr/>
        <w:t>股份回购的实施进展情况</w:t>
      </w:r>
    </w:p>
    <w:p>
      <w:pPr>
        <w:pStyle w:val="BodyText"/>
        <w:spacing w:line="338" w:lineRule="auto" w:before="117"/>
        <w:ind w:right="69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采用集中竞价方式减持回购股份的实施进展情况</w:t>
      </w:r>
    </w:p>
    <w:p>
      <w:pPr>
        <w:pStyle w:val="BodyText"/>
        <w:spacing w:line="340" w:lineRule="auto" w:before="42"/>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19"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本报告期股份变动后，按照截至报告期末公司总股本</w:t>
      </w:r>
      <w:r>
        <w:rPr>
          <w:rFonts w:ascii="Times New Roman" w:hAnsi="Times New Roman" w:cs="Times New Roman" w:eastAsia="Times New Roman" w:hint="default"/>
          <w:spacing w:val="-2"/>
        </w:rPr>
        <w:t>711,226,578</w:t>
      </w:r>
      <w:r>
        <w:rPr>
          <w:spacing w:val="-2"/>
        </w:rPr>
        <w:t>股计算。</w:t>
      </w:r>
      <w:r>
        <w:rPr>
          <w:rFonts w:ascii="Times New Roman" w:hAnsi="Times New Roman" w:cs="Times New Roman" w:eastAsia="Times New Roman" w:hint="default"/>
          <w:spacing w:val="-2"/>
        </w:rPr>
        <w:t>2017</w:t>
      </w:r>
      <w:r>
        <w:rPr>
          <w:spacing w:val="-2"/>
        </w:rPr>
        <w:t>年度基本每股收益为</w:t>
      </w:r>
      <w:r>
        <w:rPr>
          <w:rFonts w:ascii="Times New Roman" w:hAnsi="Times New Roman" w:cs="Times New Roman" w:eastAsia="Times New Roman" w:hint="default"/>
          <w:spacing w:val="-2"/>
        </w:rPr>
        <w:t>0.4316</w:t>
      </w:r>
      <w:r>
        <w:rPr>
          <w:spacing w:val="-2"/>
        </w:rPr>
        <w:t>元</w:t>
      </w:r>
      <w:r>
        <w:rPr>
          <w:rFonts w:ascii="Times New Roman" w:hAnsi="Times New Roman" w:cs="Times New Roman" w:eastAsia="Times New Roman" w:hint="default"/>
          <w:spacing w:val="-2"/>
        </w:rPr>
        <w:t>/</w:t>
      </w:r>
      <w:r>
        <w:rPr>
          <w:spacing w:val="-2"/>
        </w:rPr>
        <w:t>股，稀释每股收</w:t>
      </w:r>
      <w:r>
        <w:rPr>
          <w:spacing w:val="-51"/>
        </w:rPr>
        <w:t> </w:t>
      </w:r>
      <w:r>
        <w:rPr>
          <w:spacing w:val="-51"/>
        </w:rPr>
      </w:r>
      <w:r>
        <w:rPr/>
        <w:t>益为</w:t>
      </w:r>
      <w:r>
        <w:rPr>
          <w:rFonts w:ascii="Times New Roman" w:hAnsi="Times New Roman" w:cs="Times New Roman" w:eastAsia="Times New Roman" w:hint="default"/>
        </w:rPr>
        <w:t>0.4316</w:t>
      </w:r>
      <w:r>
        <w:rPr/>
        <w:t>元</w:t>
      </w:r>
      <w:r>
        <w:rPr>
          <w:rFonts w:ascii="Times New Roman" w:hAnsi="Times New Roman" w:cs="Times New Roman" w:eastAsia="Times New Roman" w:hint="default"/>
        </w:rPr>
        <w:t>/</w:t>
      </w:r>
      <w:r>
        <w:rPr/>
        <w:t>股，归属于公司普通股股东的每股净资产为</w:t>
      </w:r>
      <w:r>
        <w:rPr>
          <w:rFonts w:ascii="Times New Roman" w:hAnsi="Times New Roman" w:cs="Times New Roman" w:eastAsia="Times New Roman" w:hint="default"/>
        </w:rPr>
        <w:t>3.6754</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2018</w:t>
      </w:r>
      <w:r>
        <w:rPr/>
        <w:t>年前三季度基本每股收益为</w:t>
      </w:r>
      <w:r>
        <w:rPr>
          <w:rFonts w:ascii="Times New Roman" w:hAnsi="Times New Roman" w:cs="Times New Roman" w:eastAsia="Times New Roman" w:hint="default"/>
        </w:rPr>
        <w:t>0.2352</w:t>
      </w:r>
      <w:r>
        <w:rPr/>
        <w:t>元</w:t>
      </w:r>
      <w:r>
        <w:rPr>
          <w:rFonts w:ascii="Times New Roman" w:hAnsi="Times New Roman" w:cs="Times New Roman" w:eastAsia="Times New Roman" w:hint="default"/>
        </w:rPr>
        <w:t>/</w:t>
      </w:r>
      <w:r>
        <w:rPr/>
        <w:t>股，稀释</w:t>
      </w:r>
    </w:p>
    <w:p>
      <w:pPr>
        <w:pStyle w:val="BodyText"/>
        <w:spacing w:line="340" w:lineRule="auto"/>
        <w:ind w:right="4622"/>
        <w:jc w:val="left"/>
      </w:pPr>
      <w:r>
        <w:rPr/>
        <w:t>每股收益为</w:t>
      </w:r>
      <w:r>
        <w:rPr>
          <w:rFonts w:ascii="Times New Roman" w:hAnsi="Times New Roman" w:cs="Times New Roman" w:eastAsia="Times New Roman" w:hint="default"/>
        </w:rPr>
        <w:t>0.2352</w:t>
      </w:r>
      <w:r>
        <w:rPr/>
        <w:t>元</w:t>
      </w:r>
      <w:r>
        <w:rPr>
          <w:rFonts w:ascii="Times New Roman" w:hAnsi="Times New Roman" w:cs="Times New Roman" w:eastAsia="Times New Roman" w:hint="default"/>
        </w:rPr>
        <w:t>/</w:t>
      </w:r>
      <w:r>
        <w:rPr/>
        <w:t>股，归属于公司普通股股东的每股净资产为</w:t>
      </w:r>
      <w:r>
        <w:rPr>
          <w:rFonts w:ascii="Times New Roman" w:hAnsi="Times New Roman" w:cs="Times New Roman" w:eastAsia="Times New Roman" w:hint="default"/>
        </w:rPr>
        <w:t>2.9831</w:t>
      </w:r>
      <w:r>
        <w:rPr/>
        <w:t>元</w:t>
      </w:r>
      <w:r>
        <w:rPr>
          <w:rFonts w:ascii="Times New Roman" w:hAnsi="Times New Roman" w:cs="Times New Roman" w:eastAsia="Times New Roman" w:hint="default"/>
        </w:rPr>
        <w:t>/</w:t>
      </w:r>
      <w:r>
        <w:rPr/>
        <w:t>股。 公司认为必要或证券监管机构要求披露的其他内容</w:t>
      </w:r>
    </w:p>
    <w:p>
      <w:pPr>
        <w:pStyle w:val="BodyText"/>
        <w:spacing w:line="319" w:lineRule="auto" w:before="41"/>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19</w:t>
      </w:r>
      <w:r>
        <w:rPr>
          <w:spacing w:val="-2"/>
        </w:rPr>
        <w:t>日，公司实际控制人董泰湘与上海海通证券资产管理有限公司（以下简称</w:t>
      </w:r>
      <w:r>
        <w:rPr>
          <w:rFonts w:ascii="Times New Roman" w:hAnsi="Times New Roman" w:cs="Times New Roman" w:eastAsia="Times New Roman" w:hint="default"/>
          <w:spacing w:val="-2"/>
        </w:rPr>
        <w:t>“</w:t>
      </w:r>
      <w:r>
        <w:rPr>
          <w:spacing w:val="-2"/>
        </w:rPr>
        <w:t>海通资管</w:t>
      </w:r>
      <w:r>
        <w:rPr>
          <w:rFonts w:ascii="Times New Roman" w:hAnsi="Times New Roman" w:cs="Times New Roman" w:eastAsia="Times New Roman" w:hint="default"/>
          <w:spacing w:val="-2"/>
        </w:rPr>
        <w:t>”</w:t>
      </w:r>
      <w:r>
        <w:rPr>
          <w:spacing w:val="-2"/>
        </w:rPr>
        <w:t>）签署了《久其软件股票</w:t>
      </w:r>
      <w:r>
        <w:rPr>
          <w:spacing w:val="-36"/>
        </w:rPr>
        <w:t> </w:t>
      </w:r>
      <w:r>
        <w:rPr>
          <w:spacing w:val="-36"/>
        </w:rPr>
      </w:r>
      <w:r>
        <w:rPr>
          <w:spacing w:val="-1"/>
        </w:rPr>
        <w:t>转让合同》，通过协议转让的方式将其持有的公司</w:t>
      </w:r>
      <w:r>
        <w:rPr>
          <w:rFonts w:ascii="Times New Roman" w:hAnsi="Times New Roman" w:cs="Times New Roman" w:eastAsia="Times New Roman" w:hint="default"/>
          <w:spacing w:val="-1"/>
        </w:rPr>
        <w:t>3,600</w:t>
      </w:r>
      <w:r>
        <w:rPr>
          <w:spacing w:val="-1"/>
        </w:rPr>
        <w:t>万股（占公司总股本的</w:t>
      </w:r>
      <w:r>
        <w:rPr>
          <w:rFonts w:ascii="Times New Roman" w:hAnsi="Times New Roman" w:cs="Times New Roman" w:eastAsia="Times New Roman" w:hint="default"/>
          <w:spacing w:val="-1"/>
        </w:rPr>
        <w:t>5.06%</w:t>
      </w:r>
      <w:r>
        <w:rPr>
          <w:spacing w:val="-1"/>
        </w:rPr>
        <w:t>）股份转让给海通资管管理的“海通投</w:t>
      </w:r>
    </w:p>
    <w:p>
      <w:pPr>
        <w:pStyle w:val="BodyText"/>
        <w:spacing w:line="300" w:lineRule="auto"/>
        <w:ind w:right="1130"/>
        <w:jc w:val="both"/>
      </w:pPr>
      <w:r>
        <w:rPr/>
        <w:t>融宝</w:t>
      </w:r>
      <w:r>
        <w:rPr>
          <w:rFonts w:ascii="宋体" w:hAnsi="宋体" w:cs="宋体" w:eastAsia="宋体" w:hint="default"/>
        </w:rPr>
        <w:t>1</w:t>
      </w:r>
      <w:r>
        <w:rPr/>
        <w:t>号集合资产管理计划”，转让价格为人民币</w:t>
      </w:r>
      <w:r>
        <w:rPr>
          <w:rFonts w:ascii="Times New Roman" w:hAnsi="Times New Roman" w:cs="Times New Roman" w:eastAsia="Times New Roman" w:hint="default"/>
        </w:rPr>
        <w:t>6.72</w:t>
      </w:r>
      <w:r>
        <w:rPr/>
        <w:t>元</w:t>
      </w:r>
      <w:r>
        <w:rPr>
          <w:rFonts w:ascii="Times New Roman" w:hAnsi="Times New Roman" w:cs="Times New Roman" w:eastAsia="Times New Roman" w:hint="default"/>
        </w:rPr>
        <w:t>/</w:t>
      </w:r>
      <w:r>
        <w:rPr/>
        <w:t>股，转让总价为人民币</w:t>
      </w:r>
      <w:r>
        <w:rPr>
          <w:rFonts w:ascii="Times New Roman" w:hAnsi="Times New Roman" w:cs="Times New Roman" w:eastAsia="Times New Roman" w:hint="default"/>
        </w:rPr>
        <w:t>24,192</w:t>
      </w:r>
      <w:r>
        <w:rPr/>
        <w:t>万元，用于偿还其质押融资借款。相</w:t>
      </w:r>
      <w:r>
        <w:rPr>
          <w:spacing w:val="-49"/>
        </w:rPr>
        <w:t> </w:t>
      </w:r>
      <w:r>
        <w:rPr>
          <w:spacing w:val="-49"/>
        </w:rPr>
      </w:r>
      <w:r>
        <w:rPr/>
        <w:t>关股权过户登记手续已于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日在中国证券登记结算有限责任公司办理完成。本次股份协议转让完成后，董泰湘持</w:t>
      </w:r>
      <w:r>
        <w:rPr>
          <w:spacing w:val="-83"/>
        </w:rPr>
        <w:t> </w:t>
      </w:r>
      <w:r>
        <w:rPr>
          <w:spacing w:val="-83"/>
        </w:rPr>
      </w:r>
      <w:r>
        <w:rPr>
          <w:spacing w:val="-1"/>
        </w:rPr>
        <w:t>有公司股份</w:t>
      </w:r>
      <w:r>
        <w:rPr>
          <w:rFonts w:ascii="Times New Roman" w:hAnsi="Times New Roman" w:cs="Times New Roman" w:eastAsia="Times New Roman" w:hint="default"/>
          <w:spacing w:val="-1"/>
        </w:rPr>
        <w:t>71,610,093</w:t>
      </w:r>
      <w:r>
        <w:rPr>
          <w:spacing w:val="-1"/>
        </w:rPr>
        <w:t>股（占公司总股本的</w:t>
      </w:r>
      <w:r>
        <w:rPr>
          <w:rFonts w:ascii="Times New Roman" w:hAnsi="Times New Roman" w:cs="Times New Roman" w:eastAsia="Times New Roman" w:hint="default"/>
          <w:spacing w:val="-1"/>
        </w:rPr>
        <w:t>10.07%</w:t>
      </w:r>
      <w:r>
        <w:rPr>
          <w:spacing w:val="-1"/>
        </w:rPr>
        <w:t>），公司控股股东和实际控制人合计持有公司股份</w:t>
      </w:r>
      <w:r>
        <w:rPr>
          <w:rFonts w:ascii="Times New Roman" w:hAnsi="Times New Roman" w:cs="Times New Roman" w:eastAsia="Times New Roman" w:hint="default"/>
          <w:spacing w:val="-1"/>
        </w:rPr>
        <w:t>314,403,490</w:t>
      </w:r>
      <w:r>
        <w:rPr>
          <w:spacing w:val="-1"/>
        </w:rPr>
        <w:t>股（占公司</w:t>
      </w:r>
      <w:r>
        <w:rPr>
          <w:spacing w:val="-40"/>
        </w:rPr>
        <w:t> </w:t>
      </w:r>
      <w:r>
        <w:rPr>
          <w:spacing w:val="-40"/>
        </w:rPr>
      </w:r>
      <w:r>
        <w:rPr>
          <w:spacing w:val="-2"/>
        </w:rPr>
        <w:t>总股本的</w:t>
      </w:r>
      <w:r>
        <w:rPr>
          <w:rFonts w:ascii="Times New Roman" w:hAnsi="Times New Roman" w:cs="Times New Roman" w:eastAsia="Times New Roman" w:hint="default"/>
          <w:spacing w:val="-2"/>
        </w:rPr>
        <w:t>44.21%</w:t>
      </w:r>
      <w:r>
        <w:rPr>
          <w:spacing w:val="-2"/>
        </w:rPr>
        <w:t>），本次权益变动未导致公司控股股东、实际控制人发生变更。具体情况详见公司于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21</w:t>
      </w:r>
      <w:r>
        <w:rPr>
          <w:spacing w:val="-2"/>
        </w:rPr>
        <w:t>日和</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17"/>
        </w:rPr>
        <w:t>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日在巨潮资讯网（</w:t>
      </w:r>
      <w:hyperlink r:id="rId13">
        <w:r>
          <w:rPr>
            <w:rFonts w:ascii="Times New Roman" w:hAnsi="Times New Roman" w:cs="Times New Roman" w:eastAsia="Times New Roman" w:hint="default"/>
          </w:rPr>
          <w:t>www.cninfo.com.cn</w:t>
        </w:r>
      </w:hyperlink>
      <w:r>
        <w:rPr/>
        <w:t>）上披露的相关公告。</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2、限售股份变动情况" w:id="110"/>
      <w:bookmarkEnd w:id="110"/>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before="44"/>
        <w:ind w:left="0" w:right="1105"/>
        <w:jc w:val="right"/>
      </w:pPr>
      <w:r>
        <w:rPr/>
        <w:pict>
          <v:shape style="position:absolute;margin-left:56.459999pt;margin-top:-44.368263pt;width:480.8pt;height:87.5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02"/>
                    <w:gridCol w:w="1020"/>
                    <w:gridCol w:w="1020"/>
                    <w:gridCol w:w="1020"/>
                    <w:gridCol w:w="1021"/>
                    <w:gridCol w:w="1021"/>
                    <w:gridCol w:w="3396"/>
                  </w:tblGrid>
                  <w:tr>
                    <w:trPr>
                      <w:trHeight w:val="714" w:hRule="exact"/>
                    </w:trPr>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3" w:right="54"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5" w:right="53"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5" w:right="53"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6" w:right="53"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6"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北京久其科 技投资有限 公司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170,133,271</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170,133,271</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日已解除限售</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166,090,983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股</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日已解除限售</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4,042,288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p>
                    </w:tc>
                  </w:tr>
                </w:tbl>
                <w:p>
                  <w:pPr/>
                </w:p>
              </w:txbxContent>
            </v:textbox>
            <w10:wrap type="none"/>
          </v:shape>
        </w:pict>
      </w:r>
      <w:r>
        <w:rPr/>
        <w:t>；</w:t>
      </w:r>
    </w:p>
    <w:p>
      <w:pPr>
        <w:spacing w:after="0" w:line="240" w:lineRule="auto"/>
        <w:jc w:val="right"/>
        <w:sectPr>
          <w:pgSz w:w="11910" w:h="16840"/>
          <w:pgMar w:header="877" w:footer="979" w:top="110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80.8pt;height:687.55pt;mso-position-horizontal-relative:page;mso-position-vertical-relative:page;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02"/>
                    <w:gridCol w:w="1020"/>
                    <w:gridCol w:w="1020"/>
                    <w:gridCol w:w="1020"/>
                    <w:gridCol w:w="1021"/>
                    <w:gridCol w:w="1021"/>
                    <w:gridCol w:w="3396"/>
                  </w:tblGrid>
                  <w:tr>
                    <w:trPr>
                      <w:trHeight w:val="714" w:hRule="exact"/>
                    </w:trPr>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3" w:right="54"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5" w:right="53"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5" w:right="53"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6" w:right="53"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董泰湘</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107,610,093</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107,610,093</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日已全部解除限售</w:t>
                        </w:r>
                      </w:p>
                    </w:tc>
                  </w:tr>
                  <w:tr>
                    <w:trPr>
                      <w:trHeight w:val="71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76,935,259</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76,755,649</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58,519,520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58,699,130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高管股例行 限售</w:t>
                        </w:r>
                      </w:p>
                    </w:tc>
                    <w:tc>
                      <w:tcPr>
                        <w:tcW w:w="33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1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日已解除限售</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76,755,649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 解限后仍需遵循高管股例行限售规定</w:t>
                        </w:r>
                      </w:p>
                    </w:tc>
                  </w:tr>
                  <w:tr>
                    <w:trPr>
                      <w:trHeight w:val="71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欧阳曜</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13,337,475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13,337,476</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高管股例行 限售</w:t>
                        </w:r>
                      </w:p>
                    </w:tc>
                    <w:tc>
                      <w:tcPr>
                        <w:tcW w:w="3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3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施瑞丰</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2,582,198</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75,001</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2,657,199</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6"/>
                          <w:jc w:val="both"/>
                          <w:rPr>
                            <w:rFonts w:ascii="宋体" w:hAnsi="宋体" w:cs="宋体" w:eastAsia="宋体" w:hint="default"/>
                            <w:sz w:val="18"/>
                            <w:szCs w:val="18"/>
                          </w:rPr>
                        </w:pPr>
                        <w:r>
                          <w:rPr>
                            <w:rFonts w:ascii="宋体" w:hAnsi="宋体" w:cs="宋体" w:eastAsia="宋体" w:hint="default"/>
                            <w:sz w:val="18"/>
                            <w:szCs w:val="18"/>
                          </w:rPr>
                          <w:t>增持而增加 高管股；高 管股例行限 售</w:t>
                        </w:r>
                      </w:p>
                    </w:tc>
                    <w:tc>
                      <w:tcPr>
                        <w:tcW w:w="3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邱安超</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452,607</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452,607</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高管股例行 限售</w:t>
                        </w:r>
                      </w:p>
                    </w:tc>
                    <w:tc>
                      <w:tcPr>
                        <w:tcW w:w="3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朱晓钧</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312,000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312,000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高管股例行 限售</w:t>
                        </w:r>
                      </w:p>
                    </w:tc>
                    <w:tc>
                      <w:tcPr>
                        <w:tcW w:w="3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3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王海霞</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280,456</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108,000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388,456</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6"/>
                          <w:jc w:val="both"/>
                          <w:rPr>
                            <w:rFonts w:ascii="宋体" w:hAnsi="宋体" w:cs="宋体" w:eastAsia="宋体" w:hint="default"/>
                            <w:sz w:val="18"/>
                            <w:szCs w:val="18"/>
                          </w:rPr>
                        </w:pPr>
                        <w:r>
                          <w:rPr>
                            <w:rFonts w:ascii="宋体" w:hAnsi="宋体" w:cs="宋体" w:eastAsia="宋体" w:hint="default"/>
                            <w:sz w:val="18"/>
                            <w:szCs w:val="18"/>
                          </w:rPr>
                          <w:t>增持而增加 限售股；高 管股例行限 售</w:t>
                        </w:r>
                      </w:p>
                    </w:tc>
                    <w:tc>
                      <w:tcPr>
                        <w:tcW w:w="3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刘文圣</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201,825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201,825</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高管股例行 限售</w:t>
                        </w:r>
                      </w:p>
                    </w:tc>
                    <w:tc>
                      <w:tcPr>
                        <w:tcW w:w="3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曾超</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198,412</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198,412</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高管股例行 限售</w:t>
                        </w:r>
                      </w:p>
                    </w:tc>
                    <w:tc>
                      <w:tcPr>
                        <w:tcW w:w="3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96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王新</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21,882,428</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14,721,338</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9,217,214</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16,378,304</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86"/>
                          <w:jc w:val="left"/>
                          <w:rPr>
                            <w:rFonts w:ascii="宋体" w:hAnsi="宋体" w:cs="宋体" w:eastAsia="宋体" w:hint="default"/>
                            <w:sz w:val="18"/>
                            <w:szCs w:val="18"/>
                          </w:rPr>
                        </w:pPr>
                        <w:r>
                          <w:rPr>
                            <w:rFonts w:ascii="宋体" w:hAnsi="宋体" w:cs="宋体" w:eastAsia="宋体" w:hint="default"/>
                            <w:sz w:val="18"/>
                            <w:szCs w:val="18"/>
                          </w:rPr>
                          <w:t>重组项目承 诺股份限 售；董事离 任股份限售</w:t>
                        </w:r>
                      </w:p>
                    </w:tc>
                    <w:tc>
                      <w:tcPr>
                        <w:tcW w:w="3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公司已于</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日回购注销应补偿</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限售股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104,124 </w:t>
                        </w:r>
                        <w:r>
                          <w:rPr>
                            <w:rFonts w:ascii="宋体" w:hAnsi="宋体" w:cs="宋体" w:eastAsia="宋体" w:hint="default"/>
                            <w:spacing w:val="-3"/>
                            <w:sz w:val="18"/>
                            <w:szCs w:val="18"/>
                          </w:rPr>
                          <w:t>股。根据交易协议约定的各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3"/>
                            <w:sz w:val="18"/>
                            <w:szCs w:val="18"/>
                          </w:rPr>
                          <w:t>项解锁条件均成就后，</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日已</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解除限售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9,146,607</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股；</w:t>
                        </w:r>
                        <w:r>
                          <w:rPr>
                            <w:rFonts w:ascii="Times New Roman" w:hAnsi="Times New Roman" w:cs="Times New Roman" w:eastAsia="Times New Roman" w:hint="default"/>
                            <w:spacing w:val="-6"/>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02" w:lineRule="auto" w:before="63"/>
                          <w:ind w:left="22" w:right="31"/>
                          <w:jc w:val="left"/>
                          <w:rPr>
                            <w:rFonts w:ascii="宋体" w:hAnsi="宋体" w:cs="宋体" w:eastAsia="宋体" w:hint="default"/>
                            <w:sz w:val="18"/>
                            <w:szCs w:val="18"/>
                          </w:rPr>
                        </w:pPr>
                        <w:r>
                          <w:rPr>
                            <w:rFonts w:ascii="宋体" w:hAnsi="宋体" w:cs="宋体" w:eastAsia="宋体" w:hint="default"/>
                            <w:sz w:val="18"/>
                            <w:szCs w:val="18"/>
                          </w:rPr>
                          <w:t>可解除限售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1,526,526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股。解限后仍需遵循 离任高管股限售规定</w:t>
                        </w:r>
                      </w:p>
                    </w:tc>
                  </w:tr>
                  <w:tr>
                    <w:trPr>
                      <w:trHeight w:val="165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李勇</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8,130,211</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6,978,623</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1,151,588</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86"/>
                          <w:jc w:val="left"/>
                          <w:rPr>
                            <w:rFonts w:ascii="宋体" w:hAnsi="宋体" w:cs="宋体" w:eastAsia="宋体" w:hint="default"/>
                            <w:sz w:val="18"/>
                            <w:szCs w:val="18"/>
                          </w:rPr>
                        </w:pPr>
                        <w:r>
                          <w:rPr>
                            <w:rFonts w:ascii="宋体" w:hAnsi="宋体" w:cs="宋体" w:eastAsia="宋体" w:hint="default"/>
                            <w:sz w:val="18"/>
                            <w:szCs w:val="18"/>
                          </w:rPr>
                          <w:t>重组项目承 诺股份限售</w:t>
                        </w:r>
                      </w:p>
                    </w:tc>
                    <w:tc>
                      <w:tcPr>
                        <w:tcW w:w="3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公司已于</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日回购注销应补偿</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限售股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78,549 </w:t>
                        </w:r>
                        <w:r>
                          <w:rPr>
                            <w:rFonts w:ascii="宋体" w:hAnsi="宋体" w:cs="宋体" w:eastAsia="宋体" w:hint="default"/>
                            <w:sz w:val="18"/>
                            <w:szCs w:val="18"/>
                          </w:rPr>
                          <w:t>股。根据交易协议约定的各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3"/>
                            <w:sz w:val="18"/>
                            <w:szCs w:val="18"/>
                          </w:rPr>
                          <w:t>项解锁条件均成就后，</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日已</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解除限售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6,900,074</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股；</w:t>
                        </w:r>
                        <w:r>
                          <w:rPr>
                            <w:rFonts w:ascii="Times New Roman" w:hAnsi="Times New Roman" w:cs="Times New Roman" w:eastAsia="Times New Roman" w:hint="default"/>
                            <w:spacing w:val="-6"/>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可解除限售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1,151,588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33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栗军</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17,143,010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14,106,202</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10,956,202</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13,993,010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重组项目承 诺股份限 售；高管股 例行限售</w:t>
                        </w:r>
                      </w:p>
                    </w:tc>
                    <w:tc>
                      <w:tcPr>
                        <w:tcW w:w="3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根据交易协议约定的各项解锁条件均成就 </w:t>
                        </w:r>
                        <w:r>
                          <w:rPr>
                            <w:rFonts w:ascii="宋体" w:hAnsi="宋体" w:cs="宋体" w:eastAsia="宋体" w:hint="default"/>
                            <w:spacing w:val="-13"/>
                            <w:sz w:val="18"/>
                            <w:szCs w:val="18"/>
                          </w:rPr>
                          <w:t>后，</w:t>
                        </w:r>
                        <w:r>
                          <w:rPr>
                            <w:rFonts w:ascii="Times New Roman" w:hAnsi="Times New Roman" w:cs="Times New Roman" w:eastAsia="Times New Roman" w:hint="default"/>
                            <w:spacing w:val="-13"/>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日已解除限售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9,737,303</w:t>
                        </w:r>
                      </w:p>
                      <w:p>
                        <w:pPr>
                          <w:pStyle w:val="TableParagraph"/>
                          <w:spacing w:line="249"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日已解</w:t>
                        </w:r>
                        <w:r>
                          <w:rPr>
                            <w:rFonts w:ascii="宋体" w:hAnsi="宋体" w:cs="宋体" w:eastAsia="宋体" w:hint="default"/>
                            <w:spacing w:val="1"/>
                            <w:sz w:val="18"/>
                            <w:szCs w:val="18"/>
                          </w:rPr>
                          <w:t>除</w:t>
                        </w:r>
                        <w:r>
                          <w:rPr>
                            <w:rFonts w:ascii="宋体" w:hAnsi="宋体" w:cs="宋体" w:eastAsia="宋体" w:hint="default"/>
                            <w:sz w:val="18"/>
                            <w:szCs w:val="18"/>
                          </w:rPr>
                          <w:t>限售</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1,218,899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股。解限后仍需遵循高管股例行限售规定</w:t>
                        </w:r>
                      </w:p>
                    </w:tc>
                  </w:tr>
                  <w:tr>
                    <w:trPr>
                      <w:trHeight w:val="71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李俊峰等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名交易对方</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5,391,619</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5,391,619</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3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根据交易协议约定的各项解锁条件均成就 后，</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日已全部解除限售</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0" w:right="1106"/>
        <w:jc w:val="right"/>
      </w:pPr>
      <w:r>
        <w:rPr/>
        <w:t>，</w:t>
      </w:r>
    </w:p>
    <w:p>
      <w:pPr>
        <w:spacing w:after="0" w:line="240" w:lineRule="auto"/>
        <w:jc w:val="righ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0" w:right="1108"/>
        <w:jc w:val="right"/>
      </w:pPr>
      <w:r>
        <w:rPr/>
        <w:pict>
          <v:shape style="position:absolute;margin-left:56.459999pt;margin-top:-203.768265pt;width:480.8pt;height:288.2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02"/>
                    <w:gridCol w:w="1020"/>
                    <w:gridCol w:w="1020"/>
                    <w:gridCol w:w="1020"/>
                    <w:gridCol w:w="1021"/>
                    <w:gridCol w:w="1021"/>
                    <w:gridCol w:w="3396"/>
                  </w:tblGrid>
                  <w:tr>
                    <w:trPr>
                      <w:trHeight w:val="714" w:hRule="exact"/>
                    </w:trPr>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3" w:right="54"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5" w:right="53"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5" w:right="53"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6" w:right="53"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6"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鼎新成长等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名配套融资 认购方</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5,052,844</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5,052,844</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日已全部解除限售</w:t>
                        </w:r>
                      </w:p>
                    </w:tc>
                  </w:tr>
                  <w:tr>
                    <w:trPr>
                      <w:trHeight w:val="227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2" w:lineRule="auto"/>
                          <w:ind w:left="22" w:right="23"/>
                          <w:jc w:val="left"/>
                          <w:rPr>
                            <w:rFonts w:ascii="宋体" w:hAnsi="宋体" w:cs="宋体" w:eastAsia="宋体" w:hint="default"/>
                            <w:sz w:val="18"/>
                            <w:szCs w:val="18"/>
                          </w:rPr>
                        </w:pPr>
                        <w:r>
                          <w:rPr>
                            <w:rFonts w:ascii="宋体" w:hAnsi="宋体" w:cs="宋体" w:eastAsia="宋体" w:hint="default"/>
                            <w:sz w:val="18"/>
                            <w:szCs w:val="18"/>
                          </w:rPr>
                          <w:t>限制性股票 股权激励首 次授予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326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 激励对象</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7,070,800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2,820,960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4,249,840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86"/>
                          <w:jc w:val="left"/>
                          <w:rPr>
                            <w:rFonts w:ascii="宋体" w:hAnsi="宋体" w:cs="宋体" w:eastAsia="宋体" w:hint="default"/>
                            <w:sz w:val="18"/>
                            <w:szCs w:val="18"/>
                          </w:rPr>
                        </w:pPr>
                        <w:r>
                          <w:rPr>
                            <w:rFonts w:ascii="宋体" w:hAnsi="宋体" w:cs="宋体" w:eastAsia="宋体" w:hint="default"/>
                            <w:sz w:val="18"/>
                            <w:szCs w:val="18"/>
                          </w:rPr>
                          <w:t>限制性股票 股权激励</w:t>
                        </w:r>
                      </w:p>
                    </w:tc>
                    <w:tc>
                      <w:tcPr>
                        <w:tcW w:w="339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公司已于</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日回购注销部分限 制性股票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116,000</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股。根据公司《</w:t>
                        </w:r>
                        <w:r>
                          <w:rPr>
                            <w:rFonts w:ascii="Times New Roman" w:hAnsi="Times New Roman" w:cs="Times New Roman" w:eastAsia="Times New Roman" w:hint="default"/>
                            <w:spacing w:val="-7"/>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 </w:t>
                        </w:r>
                        <w:r>
                          <w:rPr>
                            <w:rFonts w:ascii="宋体" w:hAnsi="宋体" w:cs="宋体" w:eastAsia="宋体" w:hint="default"/>
                            <w:spacing w:val="-5"/>
                            <w:sz w:val="18"/>
                            <w:szCs w:val="18"/>
                          </w:rPr>
                          <w:t>限制性股票激励计划》约定的各项解锁条件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均成就后，</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日已解除限售</w:t>
                        </w:r>
                      </w:p>
                      <w:p>
                        <w:pPr>
                          <w:pStyle w:val="TableParagraph"/>
                          <w:spacing w:line="240" w:lineRule="auto" w:before="7"/>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2,704,960 </w:t>
                        </w:r>
                        <w:r>
                          <w:rPr>
                            <w:rFonts w:ascii="宋体" w:hAnsi="宋体" w:cs="宋体" w:eastAsia="宋体" w:hint="default"/>
                            <w:sz w:val="18"/>
                            <w:szCs w:val="18"/>
                          </w:rPr>
                          <w:t>股</w:t>
                        </w:r>
                        <w:r>
                          <w:rPr>
                            <w:rFonts w:ascii="宋体" w:hAnsi="宋体" w:cs="宋体" w:eastAsia="宋体" w:hint="default"/>
                            <w:spacing w:val="-81"/>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可解除限售</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2,124,920 </w:t>
                        </w:r>
                        <w:r>
                          <w:rPr>
                            <w:rFonts w:ascii="宋体" w:hAnsi="宋体" w:cs="宋体" w:eastAsia="宋体" w:hint="default"/>
                            <w:sz w:val="18"/>
                            <w:szCs w:val="18"/>
                          </w:rPr>
                          <w:t>股</w:t>
                        </w:r>
                        <w:r>
                          <w:rPr>
                            <w:rFonts w:ascii="宋体" w:hAnsi="宋体" w:cs="宋体" w:eastAsia="宋体" w:hint="default"/>
                            <w:spacing w:val="-81"/>
                            <w:sz w:val="18"/>
                            <w:szCs w:val="18"/>
                          </w:rPr>
                          <w:t>；</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可解除限售</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2,124,920 </w:t>
                        </w:r>
                        <w:r>
                          <w:rPr>
                            <w:rFonts w:ascii="宋体" w:hAnsi="宋体" w:cs="宋体" w:eastAsia="宋体" w:hint="default"/>
                            <w:sz w:val="18"/>
                            <w:szCs w:val="18"/>
                          </w:rPr>
                          <w:t>股</w:t>
                        </w:r>
                      </w:p>
                    </w:tc>
                  </w:tr>
                  <w:tr>
                    <w:trPr>
                      <w:trHeight w:val="133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限制性股票 股权激励预 留授予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激励对象</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790,000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790,000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86"/>
                          <w:jc w:val="left"/>
                          <w:rPr>
                            <w:rFonts w:ascii="宋体" w:hAnsi="宋体" w:cs="宋体" w:eastAsia="宋体" w:hint="default"/>
                            <w:sz w:val="18"/>
                            <w:szCs w:val="18"/>
                          </w:rPr>
                        </w:pPr>
                        <w:r>
                          <w:rPr>
                            <w:rFonts w:ascii="宋体" w:hAnsi="宋体" w:cs="宋体" w:eastAsia="宋体" w:hint="default"/>
                            <w:sz w:val="18"/>
                            <w:szCs w:val="18"/>
                          </w:rPr>
                          <w:t>限制性股票 股权激励</w:t>
                        </w:r>
                      </w:p>
                    </w:tc>
                    <w:tc>
                      <w:tcPr>
                        <w:tcW w:w="33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7"/>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根据公司《</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年度限制性股票激励计划 约定的各项解锁条件均成就后，</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1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日可解除限售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日可解除限售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402" w:hRule="exact"/>
                    </w:trPr>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436,714,508</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403,570,599</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79,665,938</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112,809,847</w:t>
                        </w:r>
                      </w:p>
                    </w:tc>
                    <w:tc>
                      <w:tcPr>
                        <w:tcW w:w="1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Heading2"/>
        <w:spacing w:line="240" w:lineRule="auto" w:before="26"/>
        <w:ind w:right="0"/>
        <w:jc w:val="left"/>
        <w:rPr>
          <w:b w:val="0"/>
          <w:bCs w:val="0"/>
        </w:rPr>
      </w:pPr>
      <w:bookmarkStart w:name="二、证券发行与上市情况" w:id="111"/>
      <w:bookmarkEnd w:id="111"/>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12"/>
      <w:bookmarkEnd w:id="112"/>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8"/>
              <w:jc w:val="left"/>
              <w:rPr>
                <w:rFonts w:ascii="Times New Roman" w:hAnsi="Times New Roman" w:cs="Times New Roman" w:eastAsia="Times New Roman" w:hint="default"/>
                <w:sz w:val="18"/>
                <w:szCs w:val="18"/>
              </w:rPr>
            </w:pPr>
            <w:r>
              <w:rPr>
                <w:rFonts w:ascii="宋体" w:hAnsi="宋体" w:cs="宋体" w:eastAsia="宋体" w:hint="default"/>
                <w:sz w:val="18"/>
                <w:szCs w:val="18"/>
              </w:rPr>
              <w:t>限制性股票股权 激励</w:t>
            </w:r>
            <w:r>
              <w:rPr>
                <w:rFonts w:ascii="Times New Roman" w:hAnsi="Times New Roman" w:cs="Times New Roman" w:eastAsia="Times New Roman" w:hint="default"/>
                <w:sz w:val="18"/>
                <w:szCs w:val="18"/>
              </w:rPr>
              <w:t>(</w:t>
            </w:r>
            <w:r>
              <w:rPr>
                <w:rFonts w:ascii="宋体" w:hAnsi="宋体" w:cs="宋体" w:eastAsia="宋体" w:hint="default"/>
                <w:sz w:val="18"/>
                <w:szCs w:val="18"/>
              </w:rPr>
              <w:t>预留授予</w:t>
            </w:r>
            <w:r>
              <w:rPr>
                <w:rFonts w:ascii="Times New Roman" w:hAnsi="Times New Roman" w:cs="Times New Roman" w:eastAsia="Times New Roman" w:hint="default"/>
                <w:sz w:val="18"/>
                <w:szCs w:val="18"/>
              </w:rPr>
              <w:t>)</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7" w:right="0"/>
              <w:jc w:val="left"/>
              <w:rPr>
                <w:rFonts w:ascii="Times New Roman" w:hAnsi="Times New Roman" w:cs="Times New Roman" w:eastAsia="Times New Roman" w:hint="default"/>
                <w:sz w:val="18"/>
                <w:szCs w:val="18"/>
              </w:rPr>
            </w:pPr>
            <w:r>
              <w:rPr>
                <w:rFonts w:ascii="Times New Roman"/>
                <w:sz w:val="18"/>
              </w:rPr>
              <w:t>790,000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7" w:right="0"/>
              <w:jc w:val="left"/>
              <w:rPr>
                <w:rFonts w:ascii="Times New Roman" w:hAnsi="Times New Roman" w:cs="Times New Roman" w:eastAsia="Times New Roman" w:hint="default"/>
                <w:sz w:val="18"/>
                <w:szCs w:val="18"/>
              </w:rPr>
            </w:pPr>
            <w:r>
              <w:rPr>
                <w:rFonts w:ascii="Times New Roman"/>
                <w:sz w:val="18"/>
              </w:rPr>
              <w:t>790,000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right="0"/>
        <w:jc w:val="left"/>
      </w:pPr>
      <w:r>
        <w:rPr/>
        <w:t>报告期内证券发行（不含优先股）情况的说明</w:t>
      </w:r>
    </w:p>
    <w:p>
      <w:pPr>
        <w:pStyle w:val="BodyText"/>
        <w:spacing w:line="300" w:lineRule="auto" w:before="116"/>
        <w:ind w:right="1130"/>
        <w:jc w:val="both"/>
      </w:pPr>
      <w:r>
        <w:rPr>
          <w:spacing w:val="-5"/>
        </w:rPr>
        <w:t>公司于</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9</w:t>
      </w:r>
      <w:r>
        <w:rPr>
          <w:spacing w:val="-5"/>
        </w:rPr>
        <w:t>月</w:t>
      </w:r>
      <w:r>
        <w:rPr>
          <w:rFonts w:ascii="Times New Roman" w:hAnsi="Times New Roman" w:cs="Times New Roman" w:eastAsia="Times New Roman" w:hint="default"/>
          <w:spacing w:val="-5"/>
        </w:rPr>
        <w:t>6</w:t>
      </w:r>
      <w:r>
        <w:rPr>
          <w:spacing w:val="-5"/>
        </w:rPr>
        <w:t>日召开第六届董事会第二十八次（临时）会议和第六届监事会第十六次（临时）会议，分别审议通过了《关</w:t>
      </w:r>
      <w:r>
        <w:rPr>
          <w:spacing w:val="-67"/>
        </w:rPr>
        <w:t> </w:t>
      </w:r>
      <w:r>
        <w:rPr>
          <w:spacing w:val="-67"/>
        </w:rPr>
      </w:r>
      <w:r>
        <w:rPr>
          <w:spacing w:val="-2"/>
        </w:rPr>
        <w:t>于向公司</w:t>
      </w:r>
      <w:r>
        <w:rPr>
          <w:rFonts w:ascii="Times New Roman" w:hAnsi="Times New Roman" w:cs="Times New Roman" w:eastAsia="Times New Roman" w:hint="default"/>
          <w:spacing w:val="-2"/>
        </w:rPr>
        <w:t>2017</w:t>
      </w:r>
      <w:r>
        <w:rPr>
          <w:spacing w:val="-2"/>
        </w:rPr>
        <w:t>年度限制性股票激励计划激励对象授予预留限制性股票的议案》，确定预留限制性股票的授予日为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9"/>
        </w:rPr>
        <w:t> </w:t>
      </w:r>
      <w:r>
        <w:rPr>
          <w:spacing w:val="-1"/>
        </w:rPr>
        <w:t>日，公司拟向满足授予条件的</w:t>
      </w:r>
      <w:r>
        <w:rPr>
          <w:rFonts w:ascii="Times New Roman" w:hAnsi="Times New Roman" w:cs="Times New Roman" w:eastAsia="Times New Roman" w:hint="default"/>
          <w:spacing w:val="-1"/>
        </w:rPr>
        <w:t>41</w:t>
      </w:r>
      <w:r>
        <w:rPr>
          <w:spacing w:val="-1"/>
        </w:rPr>
        <w:t>名激励对象授予预留的</w:t>
      </w:r>
      <w:r>
        <w:rPr>
          <w:rFonts w:ascii="Times New Roman" w:hAnsi="Times New Roman" w:cs="Times New Roman" w:eastAsia="Times New Roman" w:hint="default"/>
          <w:spacing w:val="-1"/>
        </w:rPr>
        <w:t>80</w:t>
      </w:r>
      <w:r>
        <w:rPr>
          <w:spacing w:val="-1"/>
        </w:rPr>
        <w:t>万股限制性股票，授予价格为</w:t>
      </w:r>
      <w:r>
        <w:rPr>
          <w:rFonts w:ascii="Times New Roman" w:hAnsi="Times New Roman" w:cs="Times New Roman" w:eastAsia="Times New Roman" w:hint="default"/>
          <w:spacing w:val="-1"/>
        </w:rPr>
        <w:t>5</w:t>
      </w:r>
      <w:r>
        <w:rPr>
          <w:spacing w:val="-1"/>
        </w:rPr>
        <w:t>元</w:t>
      </w:r>
      <w:r>
        <w:rPr>
          <w:rFonts w:ascii="Times New Roman" w:hAnsi="Times New Roman" w:cs="Times New Roman" w:eastAsia="Times New Roman" w:hint="default"/>
          <w:spacing w:val="-1"/>
        </w:rPr>
        <w:t>/</w:t>
      </w:r>
      <w:r>
        <w:rPr>
          <w:spacing w:val="-1"/>
        </w:rPr>
        <w:t>股。在预留限制性股票授予过程</w:t>
      </w:r>
      <w:r>
        <w:rPr>
          <w:spacing w:val="-78"/>
        </w:rPr>
        <w:t> </w:t>
      </w:r>
      <w:r>
        <w:rPr>
          <w:spacing w:val="-78"/>
        </w:rPr>
      </w:r>
      <w:r>
        <w:rPr/>
        <w:t>中，有</w:t>
      </w:r>
      <w:r>
        <w:rPr>
          <w:rFonts w:ascii="Times New Roman" w:hAnsi="Times New Roman" w:cs="Times New Roman" w:eastAsia="Times New Roman" w:hint="default"/>
        </w:rPr>
        <w:t>3</w:t>
      </w:r>
      <w:r>
        <w:rPr/>
        <w:t>名激励对象由于个人原因自愿放弃认购，因此本次实际授予</w:t>
      </w:r>
      <w:r>
        <w:rPr>
          <w:rFonts w:ascii="Times New Roman" w:hAnsi="Times New Roman" w:cs="Times New Roman" w:eastAsia="Times New Roman" w:hint="default"/>
        </w:rPr>
        <w:t>38</w:t>
      </w:r>
      <w:r>
        <w:rPr/>
        <w:t>名激励对象共计</w:t>
      </w:r>
      <w:r>
        <w:rPr>
          <w:rFonts w:ascii="Times New Roman" w:hAnsi="Times New Roman" w:cs="Times New Roman" w:eastAsia="Times New Roman" w:hint="default"/>
        </w:rPr>
        <w:t>79</w:t>
      </w:r>
      <w:r>
        <w:rPr/>
        <w:t>万股限制性股票。本次授予的预留 限制性股票已完成授予登记，并于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日上市。具体情况详见公司于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8</w:t>
      </w:r>
      <w:r>
        <w:rPr/>
        <w:t>日和</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日披露在巨潮资讯网</w:t>
      </w:r>
    </w:p>
    <w:p>
      <w:pPr>
        <w:pStyle w:val="BodyText"/>
        <w:spacing w:line="240" w:lineRule="auto" w:before="13"/>
        <w:ind w:right="0"/>
        <w:jc w:val="left"/>
      </w:pPr>
      <w:r>
        <w:rPr/>
        <w:t>（</w:t>
      </w:r>
      <w:hyperlink r:id="rId13">
        <w:r>
          <w:rPr>
            <w:rFonts w:ascii="Times New Roman" w:hAnsi="Times New Roman" w:cs="Times New Roman" w:eastAsia="Times New Roman" w:hint="default"/>
          </w:rPr>
          <w:t>www.cninfo.com.cn</w:t>
        </w:r>
      </w:hyperlink>
      <w:r>
        <w:rPr/>
        <w:t>）上的相关公告。</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公司股份总数及股东结构的变动、公司资产和负债结构的变动情况说明" w:id="113"/>
      <w:bookmarkEnd w:id="113"/>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报告期内，受公司可转债转股、回购注销应补偿股份和部分限制性股票、以及授予</w:t>
      </w:r>
      <w:r>
        <w:rPr>
          <w:rFonts w:ascii="Times New Roman" w:hAnsi="Times New Roman" w:cs="Times New Roman" w:eastAsia="Times New Roman" w:hint="default"/>
          <w:spacing w:val="-2"/>
        </w:rPr>
        <w:t>2017</w:t>
      </w:r>
      <w:r>
        <w:rPr>
          <w:spacing w:val="-2"/>
        </w:rPr>
        <w:t>年度股权激励计划预留限制性股票的</w:t>
      </w:r>
      <w:r>
        <w:rPr>
          <w:spacing w:val="-62"/>
        </w:rPr>
        <w:t> </w:t>
      </w:r>
      <w:r>
        <w:rPr>
          <w:spacing w:val="-2"/>
        </w:rPr>
        <w:t>影响，本报告期末较期初的股份总数及股东结构发生一定变化，具体详见本节</w:t>
      </w:r>
      <w:r>
        <w:rPr>
          <w:rFonts w:ascii="Times New Roman" w:hAnsi="Times New Roman" w:cs="Times New Roman" w:eastAsia="Times New Roman" w:hint="default"/>
          <w:spacing w:val="-2"/>
        </w:rPr>
        <w:t>“</w:t>
      </w:r>
      <w:r>
        <w:rPr>
          <w:spacing w:val="-2"/>
        </w:rPr>
        <w:t>一、股本变动情况</w:t>
      </w:r>
      <w:r>
        <w:rPr>
          <w:rFonts w:ascii="Times New Roman" w:hAnsi="Times New Roman" w:cs="Times New Roman" w:eastAsia="Times New Roman" w:hint="default"/>
          <w:spacing w:val="-2"/>
        </w:rPr>
        <w:t>”</w:t>
      </w:r>
      <w:r>
        <w:rPr>
          <w:spacing w:val="-2"/>
        </w:rPr>
        <w:t>。报告期公司股份变动情</w:t>
      </w:r>
    </w:p>
    <w:p>
      <w:pPr>
        <w:pStyle w:val="BodyText"/>
        <w:spacing w:line="233" w:lineRule="exact"/>
        <w:ind w:right="0"/>
        <w:jc w:val="left"/>
      </w:pPr>
      <w:r>
        <w:rPr/>
        <w:t>况不涉及公司控股股东和实际控制人发生变化，同时对公司资产和负债结构的变动未造成较大影响。公司报告期资产和负债</w:t>
      </w:r>
    </w:p>
    <w:p>
      <w:pPr>
        <w:spacing w:after="0" w:line="233" w:lineRule="exact"/>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right="0"/>
        <w:jc w:val="left"/>
      </w:pPr>
      <w:r>
        <w:rPr/>
        <w:t>的变动情况请参照本报告</w:t>
      </w:r>
      <w:r>
        <w:rPr>
          <w:rFonts w:ascii="Times New Roman" w:hAnsi="Times New Roman" w:cs="Times New Roman" w:eastAsia="Times New Roman" w:hint="default"/>
        </w:rPr>
        <w:t>“</w:t>
      </w:r>
      <w:r>
        <w:rPr/>
        <w:t>第四节 管理层分析与讨论</w:t>
      </w:r>
      <w:r>
        <w:rPr>
          <w:spacing w:val="-38"/>
        </w:rPr>
        <w:t> </w:t>
      </w:r>
      <w:r>
        <w:rPr/>
        <w:t>四、资产及负债状况分析</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3、现存的内部职工股情况" w:id="114"/>
      <w:bookmarkEnd w:id="114"/>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15"/>
      <w:bookmarkEnd w:id="115"/>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6"/>
      <w:bookmarkEnd w:id="116"/>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022"/>
        <w:gridCol w:w="978"/>
        <w:gridCol w:w="816"/>
        <w:gridCol w:w="1104"/>
        <w:gridCol w:w="1080"/>
        <w:gridCol w:w="1177"/>
        <w:gridCol w:w="1246"/>
        <w:gridCol w:w="1250"/>
        <w:gridCol w:w="1022"/>
      </w:tblGrid>
      <w:tr>
        <w:trPr>
          <w:trHeight w:val="161" w:hRule="exact"/>
        </w:trPr>
        <w:tc>
          <w:tcPr>
            <w:tcW w:w="1022" w:type="dxa"/>
            <w:vMerge w:val="restart"/>
            <w:tcBorders>
              <w:top w:val="single" w:sz="4" w:space="0" w:color="000000"/>
              <w:left w:val="single" w:sz="4" w:space="0" w:color="000000"/>
              <w:right w:val="single" w:sz="4" w:space="0" w:color="000000"/>
            </w:tcBorders>
            <w:shd w:val="clear" w:color="auto" w:fill="D2D2D2"/>
          </w:tcPr>
          <w:p>
            <w:pPr/>
          </w:p>
        </w:tc>
        <w:tc>
          <w:tcPr>
            <w:tcW w:w="978"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38" w:right="0"/>
              <w:jc w:val="left"/>
              <w:rPr>
                <w:rFonts w:ascii="Times New Roman" w:hAnsi="Times New Roman" w:cs="Times New Roman" w:eastAsia="Times New Roman" w:hint="default"/>
                <w:sz w:val="18"/>
                <w:szCs w:val="18"/>
              </w:rPr>
            </w:pPr>
            <w:r>
              <w:rPr>
                <w:rFonts w:ascii="Times New Roman"/>
                <w:sz w:val="18"/>
              </w:rPr>
              <w:t>45,910</w:t>
            </w:r>
          </w:p>
        </w:tc>
        <w:tc>
          <w:tcPr>
            <w:tcW w:w="8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04"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64" w:right="0"/>
              <w:jc w:val="left"/>
              <w:rPr>
                <w:rFonts w:ascii="Times New Roman" w:hAnsi="Times New Roman" w:cs="Times New Roman" w:eastAsia="Times New Roman" w:hint="default"/>
                <w:sz w:val="18"/>
                <w:szCs w:val="18"/>
              </w:rPr>
            </w:pPr>
            <w:r>
              <w:rPr>
                <w:rFonts w:ascii="Times New Roman"/>
                <w:sz w:val="18"/>
              </w:rPr>
              <w:t>49,406</w:t>
            </w:r>
          </w:p>
        </w:tc>
        <w:tc>
          <w:tcPr>
            <w:tcW w:w="2257" w:type="dxa"/>
            <w:gridSpan w:val="2"/>
            <w:vMerge w:val="restart"/>
            <w:tcBorders>
              <w:top w:val="single" w:sz="4" w:space="0" w:color="000000"/>
              <w:left w:val="single" w:sz="4" w:space="0" w:color="000000"/>
              <w:right w:val="single" w:sz="4" w:space="0" w:color="000000"/>
            </w:tcBorders>
            <w:shd w:val="clear" w:color="auto" w:fill="D2D2D2"/>
          </w:tcPr>
          <w:p>
            <w:pPr/>
          </w:p>
        </w:tc>
        <w:tc>
          <w:tcPr>
            <w:tcW w:w="1246" w:type="dxa"/>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12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7" w:right="51"/>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3"/>
                <w:sz w:val="18"/>
                <w:szCs w:val="18"/>
              </w:rPr>
              <w:t>数（如有）（参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022"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1022" w:type="dxa"/>
            <w:vMerge/>
            <w:tcBorders>
              <w:left w:val="single" w:sz="4" w:space="0" w:color="000000"/>
              <w:bottom w:val="nil" w:sz="6" w:space="0" w:color="auto"/>
              <w:right w:val="single" w:sz="4" w:space="0" w:color="000000"/>
            </w:tcBorders>
            <w:shd w:val="clear" w:color="auto" w:fill="D2D2D2"/>
          </w:tcPr>
          <w:p>
            <w:pPr/>
          </w:p>
        </w:tc>
        <w:tc>
          <w:tcPr>
            <w:tcW w:w="978" w:type="dxa"/>
            <w:vMerge/>
            <w:tcBorders>
              <w:left w:val="single" w:sz="9" w:space="0" w:color="D2D2D2"/>
              <w:right w:val="single" w:sz="9" w:space="0" w:color="D2D2D2"/>
            </w:tcBorders>
          </w:tcPr>
          <w:p>
            <w:pPr/>
          </w:p>
        </w:tc>
        <w:tc>
          <w:tcPr>
            <w:tcW w:w="81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7" w:right="67"/>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104" w:type="dxa"/>
            <w:vMerge/>
            <w:tcBorders>
              <w:left w:val="single" w:sz="9" w:space="0" w:color="D2D2D2"/>
              <w:right w:val="single" w:sz="9" w:space="0" w:color="D2D2D2"/>
            </w:tcBorders>
          </w:tcPr>
          <w:p>
            <w:pPr/>
          </w:p>
        </w:tc>
        <w:tc>
          <w:tcPr>
            <w:tcW w:w="2257" w:type="dxa"/>
            <w:gridSpan w:val="2"/>
            <w:vMerge/>
            <w:tcBorders>
              <w:left w:val="single" w:sz="4" w:space="0" w:color="000000"/>
              <w:bottom w:val="nil" w:sz="6" w:space="0" w:color="auto"/>
              <w:right w:val="single" w:sz="4" w:space="0" w:color="000000"/>
            </w:tcBorders>
            <w:shd w:val="clear" w:color="auto" w:fill="D2D2D2"/>
          </w:tcPr>
          <w:p>
            <w:pPr/>
          </w:p>
        </w:tc>
        <w:tc>
          <w:tcPr>
            <w:tcW w:w="1246" w:type="dxa"/>
            <w:vMerge/>
            <w:tcBorders>
              <w:left w:val="single" w:sz="9" w:space="0" w:color="D2D2D2"/>
              <w:right w:val="single" w:sz="13" w:space="0" w:color="D2D2D2"/>
            </w:tcBorders>
          </w:tcPr>
          <w:p>
            <w:pPr/>
          </w:p>
        </w:tc>
        <w:tc>
          <w:tcPr>
            <w:tcW w:w="1250" w:type="dxa"/>
            <w:vMerge/>
            <w:tcBorders>
              <w:left w:val="single" w:sz="4" w:space="0" w:color="000000"/>
              <w:right w:val="single" w:sz="4" w:space="0" w:color="000000"/>
            </w:tcBorders>
            <w:shd w:val="clear" w:color="auto" w:fill="D2D2D2"/>
          </w:tcPr>
          <w:p>
            <w:pPr/>
          </w:p>
        </w:tc>
        <w:tc>
          <w:tcPr>
            <w:tcW w:w="1022" w:type="dxa"/>
            <w:vMerge/>
            <w:tcBorders>
              <w:left w:val="single" w:sz="13" w:space="0" w:color="D2D2D2"/>
              <w:right w:val="single" w:sz="4" w:space="0" w:color="000000"/>
            </w:tcBorders>
          </w:tcPr>
          <w:p>
            <w:pPr/>
          </w:p>
        </w:tc>
      </w:tr>
      <w:tr>
        <w:trPr>
          <w:trHeight w:val="1016" w:hRule="exact"/>
        </w:trPr>
        <w:tc>
          <w:tcPr>
            <w:tcW w:w="1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报告期末普 通股股东总 数</w:t>
            </w:r>
          </w:p>
        </w:tc>
        <w:tc>
          <w:tcPr>
            <w:tcW w:w="978" w:type="dxa"/>
            <w:vMerge/>
            <w:tcBorders>
              <w:left w:val="single" w:sz="9" w:space="0" w:color="D2D2D2"/>
              <w:right w:val="single" w:sz="9" w:space="0" w:color="D2D2D2"/>
            </w:tcBorders>
          </w:tcPr>
          <w:p>
            <w:pPr/>
          </w:p>
        </w:tc>
        <w:tc>
          <w:tcPr>
            <w:tcW w:w="816" w:type="dxa"/>
            <w:vMerge/>
            <w:tcBorders>
              <w:left w:val="single" w:sz="4" w:space="0" w:color="000000"/>
              <w:right w:val="single" w:sz="4" w:space="0" w:color="000000"/>
            </w:tcBorders>
            <w:shd w:val="clear" w:color="auto" w:fill="D2D2D2"/>
          </w:tcPr>
          <w:p>
            <w:pPr/>
          </w:p>
        </w:tc>
        <w:tc>
          <w:tcPr>
            <w:tcW w:w="1104" w:type="dxa"/>
            <w:vMerge/>
            <w:tcBorders>
              <w:left w:val="single" w:sz="9" w:space="0" w:color="D2D2D2"/>
              <w:right w:val="single" w:sz="9" w:space="0" w:color="D2D2D2"/>
            </w:tcBorders>
          </w:tcPr>
          <w:p>
            <w:pPr/>
          </w:p>
        </w:tc>
        <w:tc>
          <w:tcPr>
            <w:tcW w:w="2257"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8" w:right="20"/>
              <w:jc w:val="both"/>
              <w:rPr>
                <w:rFonts w:ascii="宋体" w:hAnsi="宋体" w:cs="宋体" w:eastAsia="宋体" w:hint="default"/>
                <w:sz w:val="18"/>
                <w:szCs w:val="18"/>
              </w:rPr>
            </w:pPr>
            <w:r>
              <w:rPr>
                <w:rFonts w:ascii="宋体" w:hAnsi="宋体" w:cs="宋体" w:eastAsia="宋体" w:hint="default"/>
                <w:sz w:val="18"/>
                <w:szCs w:val="18"/>
              </w:rPr>
              <w:t>报告期末表决权恢复的优先 </w:t>
            </w:r>
            <w:r>
              <w:rPr>
                <w:rFonts w:ascii="宋体" w:hAnsi="宋体" w:cs="宋体" w:eastAsia="宋体" w:hint="default"/>
                <w:spacing w:val="-11"/>
                <w:sz w:val="18"/>
                <w:szCs w:val="18"/>
              </w:rPr>
              <w:t>股股东总数（如有）（参见注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46" w:type="dxa"/>
            <w:vMerge/>
            <w:tcBorders>
              <w:left w:val="single" w:sz="9" w:space="0" w:color="D2D2D2"/>
              <w:right w:val="single" w:sz="13" w:space="0" w:color="D2D2D2"/>
            </w:tcBorders>
          </w:tcPr>
          <w:p>
            <w:pPr/>
          </w:p>
        </w:tc>
        <w:tc>
          <w:tcPr>
            <w:tcW w:w="1250" w:type="dxa"/>
            <w:vMerge/>
            <w:tcBorders>
              <w:left w:val="single" w:sz="4" w:space="0" w:color="000000"/>
              <w:right w:val="single" w:sz="4" w:space="0" w:color="000000"/>
            </w:tcBorders>
            <w:shd w:val="clear" w:color="auto" w:fill="D2D2D2"/>
          </w:tcPr>
          <w:p>
            <w:pPr/>
          </w:p>
        </w:tc>
        <w:tc>
          <w:tcPr>
            <w:tcW w:w="1022" w:type="dxa"/>
            <w:vMerge/>
            <w:tcBorders>
              <w:left w:val="single" w:sz="13" w:space="0" w:color="D2D2D2"/>
              <w:right w:val="single" w:sz="4" w:space="0" w:color="000000"/>
            </w:tcBorders>
          </w:tcPr>
          <w:p>
            <w:pPr/>
          </w:p>
        </w:tc>
      </w:tr>
      <w:tr>
        <w:trPr>
          <w:trHeight w:val="312" w:hRule="exact"/>
        </w:trPr>
        <w:tc>
          <w:tcPr>
            <w:tcW w:w="1022" w:type="dxa"/>
            <w:vMerge w:val="restart"/>
            <w:tcBorders>
              <w:top w:val="nil" w:sz="6" w:space="0" w:color="auto"/>
              <w:left w:val="single" w:sz="4" w:space="0" w:color="000000"/>
              <w:right w:val="single" w:sz="4" w:space="0" w:color="000000"/>
            </w:tcBorders>
            <w:shd w:val="clear" w:color="auto" w:fill="D2D2D2"/>
          </w:tcPr>
          <w:p>
            <w:pPr/>
          </w:p>
        </w:tc>
        <w:tc>
          <w:tcPr>
            <w:tcW w:w="978" w:type="dxa"/>
            <w:vMerge/>
            <w:tcBorders>
              <w:left w:val="single" w:sz="9" w:space="0" w:color="D2D2D2"/>
              <w:right w:val="single" w:sz="9" w:space="0" w:color="D2D2D2"/>
            </w:tcBorders>
          </w:tcPr>
          <w:p>
            <w:pPr/>
          </w:p>
        </w:tc>
        <w:tc>
          <w:tcPr>
            <w:tcW w:w="816" w:type="dxa"/>
            <w:vMerge/>
            <w:tcBorders>
              <w:left w:val="single" w:sz="4" w:space="0" w:color="000000"/>
              <w:bottom w:val="nil" w:sz="6" w:space="0" w:color="auto"/>
              <w:right w:val="single" w:sz="4" w:space="0" w:color="000000"/>
            </w:tcBorders>
            <w:shd w:val="clear" w:color="auto" w:fill="D2D2D2"/>
          </w:tcPr>
          <w:p>
            <w:pPr/>
          </w:p>
        </w:tc>
        <w:tc>
          <w:tcPr>
            <w:tcW w:w="1104" w:type="dxa"/>
            <w:vMerge/>
            <w:tcBorders>
              <w:left w:val="single" w:sz="9" w:space="0" w:color="D2D2D2"/>
              <w:right w:val="single" w:sz="9" w:space="0" w:color="D2D2D2"/>
            </w:tcBorders>
          </w:tcPr>
          <w:p>
            <w:pPr/>
          </w:p>
        </w:tc>
        <w:tc>
          <w:tcPr>
            <w:tcW w:w="2257" w:type="dxa"/>
            <w:gridSpan w:val="2"/>
            <w:vMerge w:val="restart"/>
            <w:tcBorders>
              <w:top w:val="nil" w:sz="6" w:space="0" w:color="auto"/>
              <w:left w:val="single" w:sz="4" w:space="0" w:color="000000"/>
              <w:right w:val="single" w:sz="4" w:space="0" w:color="000000"/>
            </w:tcBorders>
            <w:shd w:val="clear" w:color="auto" w:fill="D2D2D2"/>
          </w:tcPr>
          <w:p>
            <w:pPr/>
          </w:p>
        </w:tc>
        <w:tc>
          <w:tcPr>
            <w:tcW w:w="1246" w:type="dxa"/>
            <w:vMerge/>
            <w:tcBorders>
              <w:left w:val="single" w:sz="9" w:space="0" w:color="D2D2D2"/>
              <w:right w:val="single" w:sz="13" w:space="0" w:color="D2D2D2"/>
            </w:tcBorders>
          </w:tcPr>
          <w:p>
            <w:pPr/>
          </w:p>
        </w:tc>
        <w:tc>
          <w:tcPr>
            <w:tcW w:w="1250" w:type="dxa"/>
            <w:vMerge/>
            <w:tcBorders>
              <w:left w:val="single" w:sz="4" w:space="0" w:color="000000"/>
              <w:right w:val="single" w:sz="4" w:space="0" w:color="000000"/>
            </w:tcBorders>
            <w:shd w:val="clear" w:color="auto" w:fill="D2D2D2"/>
          </w:tcPr>
          <w:p>
            <w:pPr/>
          </w:p>
        </w:tc>
        <w:tc>
          <w:tcPr>
            <w:tcW w:w="1022" w:type="dxa"/>
            <w:vMerge/>
            <w:tcBorders>
              <w:left w:val="single" w:sz="13" w:space="0" w:color="D2D2D2"/>
              <w:right w:val="single" w:sz="4" w:space="0" w:color="000000"/>
            </w:tcBorders>
          </w:tcPr>
          <w:p>
            <w:pPr/>
          </w:p>
        </w:tc>
      </w:tr>
      <w:tr>
        <w:trPr>
          <w:trHeight w:val="166" w:hRule="exact"/>
        </w:trPr>
        <w:tc>
          <w:tcPr>
            <w:tcW w:w="1022" w:type="dxa"/>
            <w:vMerge/>
            <w:tcBorders>
              <w:left w:val="single" w:sz="4" w:space="0" w:color="000000"/>
              <w:bottom w:val="single" w:sz="4" w:space="0" w:color="000000"/>
              <w:right w:val="single" w:sz="4" w:space="0" w:color="000000"/>
            </w:tcBorders>
            <w:shd w:val="clear" w:color="auto" w:fill="D2D2D2"/>
          </w:tcPr>
          <w:p>
            <w:pPr/>
          </w:p>
        </w:tc>
        <w:tc>
          <w:tcPr>
            <w:tcW w:w="978" w:type="dxa"/>
            <w:vMerge/>
            <w:tcBorders>
              <w:left w:val="single" w:sz="9" w:space="0" w:color="D2D2D2"/>
              <w:bottom w:val="single" w:sz="4" w:space="0" w:color="000000"/>
              <w:right w:val="single" w:sz="9" w:space="0" w:color="D2D2D2"/>
            </w:tcBorders>
          </w:tcPr>
          <w:p>
            <w:pPr/>
          </w:p>
        </w:tc>
        <w:tc>
          <w:tcPr>
            <w:tcW w:w="8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04" w:type="dxa"/>
            <w:vMerge/>
            <w:tcBorders>
              <w:left w:val="single" w:sz="9" w:space="0" w:color="D2D2D2"/>
              <w:bottom w:val="single" w:sz="4" w:space="0" w:color="000000"/>
              <w:right w:val="single" w:sz="9" w:space="0" w:color="D2D2D2"/>
            </w:tcBorders>
          </w:tcPr>
          <w:p>
            <w:pPr/>
          </w:p>
        </w:tc>
        <w:tc>
          <w:tcPr>
            <w:tcW w:w="2257" w:type="dxa"/>
            <w:gridSpan w:val="2"/>
            <w:vMerge/>
            <w:tcBorders>
              <w:left w:val="single" w:sz="4" w:space="0" w:color="000000"/>
              <w:bottom w:val="single" w:sz="4" w:space="0" w:color="000000"/>
              <w:right w:val="single" w:sz="4" w:space="0" w:color="000000"/>
            </w:tcBorders>
            <w:shd w:val="clear" w:color="auto" w:fill="D2D2D2"/>
          </w:tcPr>
          <w:p>
            <w:pPr/>
          </w:p>
        </w:tc>
        <w:tc>
          <w:tcPr>
            <w:tcW w:w="1246" w:type="dxa"/>
            <w:vMerge/>
            <w:tcBorders>
              <w:left w:val="single" w:sz="9" w:space="0" w:color="D2D2D2"/>
              <w:bottom w:val="single" w:sz="4" w:space="0" w:color="000000"/>
              <w:right w:val="single" w:sz="13" w:space="0" w:color="D2D2D2"/>
            </w:tcBorders>
          </w:tcPr>
          <w:p>
            <w:pPr/>
          </w:p>
        </w:tc>
        <w:tc>
          <w:tcPr>
            <w:tcW w:w="1250" w:type="dxa"/>
            <w:vMerge/>
            <w:tcBorders>
              <w:left w:val="single" w:sz="4" w:space="0" w:color="000000"/>
              <w:bottom w:val="single" w:sz="4" w:space="0" w:color="000000"/>
              <w:right w:val="single" w:sz="4" w:space="0" w:color="000000"/>
            </w:tcBorders>
            <w:shd w:val="clear" w:color="auto" w:fill="D2D2D2"/>
          </w:tcPr>
          <w:p>
            <w:pPr/>
          </w:p>
        </w:tc>
        <w:tc>
          <w:tcPr>
            <w:tcW w:w="1022" w:type="dxa"/>
            <w:vMerge/>
            <w:tcBorders>
              <w:left w:val="single" w:sz="13" w:space="0" w:color="D2D2D2"/>
              <w:bottom w:val="single" w:sz="4" w:space="0" w:color="000000"/>
              <w:right w:val="single" w:sz="4" w:space="0" w:color="000000"/>
            </w:tcBorders>
          </w:tcPr>
          <w:p>
            <w:pPr/>
          </w:p>
        </w:tc>
      </w:tr>
      <w:tr>
        <w:trPr>
          <w:trHeight w:val="392" w:hRule="exact"/>
        </w:trPr>
        <w:tc>
          <w:tcPr>
            <w:tcW w:w="969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125"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10" w:hRule="exact"/>
        </w:trPr>
        <w:tc>
          <w:tcPr>
            <w:tcW w:w="1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97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0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277" w:right="95"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8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82" w:right="85"/>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17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44" w:right="41"/>
              <w:jc w:val="left"/>
              <w:rPr>
                <w:rFonts w:ascii="宋体" w:hAnsi="宋体" w:cs="宋体" w:eastAsia="宋体" w:hint="default"/>
                <w:sz w:val="18"/>
                <w:szCs w:val="18"/>
              </w:rPr>
            </w:pPr>
            <w:r>
              <w:rPr>
                <w:rFonts w:ascii="宋体" w:hAnsi="宋体" w:cs="宋体" w:eastAsia="宋体" w:hint="default"/>
                <w:sz w:val="18"/>
                <w:szCs w:val="18"/>
              </w:rPr>
              <w:t>持有有限售条 件的股份数量</w:t>
            </w:r>
          </w:p>
        </w:tc>
        <w:tc>
          <w:tcPr>
            <w:tcW w:w="124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74" w:right="79"/>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22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9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2" w:hRule="exact"/>
        </w:trPr>
        <w:tc>
          <w:tcPr>
            <w:tcW w:w="10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04" w:type="dxa"/>
            <w:vMerge/>
            <w:tcBorders>
              <w:left w:val="single" w:sz="4" w:space="0" w:color="000000"/>
              <w:right w:val="single" w:sz="4" w:space="0" w:color="000000"/>
            </w:tcBorders>
            <w:shd w:val="clear" w:color="auto" w:fill="D2D2D2"/>
          </w:tcPr>
          <w:p>
            <w:pPr/>
          </w:p>
        </w:tc>
        <w:tc>
          <w:tcPr>
            <w:tcW w:w="1080" w:type="dxa"/>
            <w:vMerge/>
            <w:tcBorders>
              <w:left w:val="single" w:sz="4" w:space="0" w:color="000000"/>
              <w:right w:val="single" w:sz="4" w:space="0" w:color="000000"/>
            </w:tcBorders>
            <w:shd w:val="clear" w:color="auto" w:fill="D2D2D2"/>
          </w:tcPr>
          <w:p>
            <w:pPr/>
          </w:p>
        </w:tc>
        <w:tc>
          <w:tcPr>
            <w:tcW w:w="1177" w:type="dxa"/>
            <w:vMerge/>
            <w:tcBorders>
              <w:left w:val="single" w:sz="4" w:space="0" w:color="000000"/>
              <w:right w:val="single" w:sz="4" w:space="0" w:color="000000"/>
            </w:tcBorders>
            <w:shd w:val="clear" w:color="auto" w:fill="D2D2D2"/>
          </w:tcPr>
          <w:p>
            <w:pPr/>
          </w:p>
        </w:tc>
        <w:tc>
          <w:tcPr>
            <w:tcW w:w="1246" w:type="dxa"/>
            <w:vMerge/>
            <w:tcBorders>
              <w:left w:val="single" w:sz="4" w:space="0" w:color="000000"/>
              <w:right w:val="single" w:sz="4" w:space="0" w:color="000000"/>
            </w:tcBorders>
            <w:shd w:val="clear" w:color="auto" w:fill="D2D2D2"/>
          </w:tcPr>
          <w:p>
            <w:pPr/>
          </w:p>
        </w:tc>
        <w:tc>
          <w:tcPr>
            <w:tcW w:w="2272"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022" w:type="dxa"/>
            <w:vMerge/>
            <w:tcBorders>
              <w:left w:val="single" w:sz="4" w:space="0" w:color="000000"/>
              <w:bottom w:val="nil" w:sz="6" w:space="0" w:color="auto"/>
              <w:right w:val="single" w:sz="4" w:space="0" w:color="000000"/>
            </w:tcBorders>
            <w:shd w:val="clear" w:color="auto" w:fill="D2D2D2"/>
          </w:tcPr>
          <w:p>
            <w:pPr/>
          </w:p>
        </w:tc>
        <w:tc>
          <w:tcPr>
            <w:tcW w:w="978" w:type="dxa"/>
            <w:vMerge/>
            <w:tcBorders>
              <w:left w:val="single" w:sz="4" w:space="0" w:color="000000"/>
              <w:bottom w:val="nil" w:sz="6" w:space="0" w:color="auto"/>
              <w:right w:val="single" w:sz="4" w:space="0" w:color="000000"/>
            </w:tcBorders>
            <w:shd w:val="clear" w:color="auto" w:fill="D2D2D2"/>
          </w:tcPr>
          <w:p>
            <w:pPr/>
          </w:p>
        </w:tc>
        <w:tc>
          <w:tcPr>
            <w:tcW w:w="816" w:type="dxa"/>
            <w:vMerge/>
            <w:tcBorders>
              <w:left w:val="single" w:sz="4" w:space="0" w:color="000000"/>
              <w:bottom w:val="nil" w:sz="6" w:space="0" w:color="auto"/>
              <w:right w:val="single" w:sz="4" w:space="0" w:color="000000"/>
            </w:tcBorders>
            <w:shd w:val="clear" w:color="auto" w:fill="D2D2D2"/>
          </w:tcPr>
          <w:p>
            <w:pPr/>
          </w:p>
        </w:tc>
        <w:tc>
          <w:tcPr>
            <w:tcW w:w="1104" w:type="dxa"/>
            <w:vMerge/>
            <w:tcBorders>
              <w:left w:val="single" w:sz="4" w:space="0" w:color="000000"/>
              <w:right w:val="single" w:sz="4" w:space="0" w:color="000000"/>
            </w:tcBorders>
            <w:shd w:val="clear" w:color="auto" w:fill="D2D2D2"/>
          </w:tcPr>
          <w:p>
            <w:pPr/>
          </w:p>
        </w:tc>
        <w:tc>
          <w:tcPr>
            <w:tcW w:w="1080" w:type="dxa"/>
            <w:vMerge/>
            <w:tcBorders>
              <w:left w:val="single" w:sz="4" w:space="0" w:color="000000"/>
              <w:right w:val="single" w:sz="4" w:space="0" w:color="000000"/>
            </w:tcBorders>
            <w:shd w:val="clear" w:color="auto" w:fill="D2D2D2"/>
          </w:tcPr>
          <w:p>
            <w:pPr/>
          </w:p>
        </w:tc>
        <w:tc>
          <w:tcPr>
            <w:tcW w:w="1177" w:type="dxa"/>
            <w:vMerge/>
            <w:tcBorders>
              <w:left w:val="single" w:sz="4" w:space="0" w:color="000000"/>
              <w:right w:val="single" w:sz="4" w:space="0" w:color="000000"/>
            </w:tcBorders>
            <w:shd w:val="clear" w:color="auto" w:fill="D2D2D2"/>
          </w:tcPr>
          <w:p>
            <w:pPr/>
          </w:p>
        </w:tc>
        <w:tc>
          <w:tcPr>
            <w:tcW w:w="1246" w:type="dxa"/>
            <w:vMerge/>
            <w:tcBorders>
              <w:left w:val="single" w:sz="4" w:space="0" w:color="000000"/>
              <w:right w:val="single" w:sz="4" w:space="0" w:color="000000"/>
            </w:tcBorders>
            <w:shd w:val="clear" w:color="auto" w:fill="D2D2D2"/>
          </w:tcPr>
          <w:p>
            <w:pPr/>
          </w:p>
        </w:tc>
        <w:tc>
          <w:tcPr>
            <w:tcW w:w="12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84" w:hRule="exact"/>
        </w:trPr>
        <w:tc>
          <w:tcPr>
            <w:tcW w:w="1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978" w:type="dxa"/>
            <w:tcBorders>
              <w:top w:val="nil" w:sz="6" w:space="0" w:color="auto"/>
              <w:left w:val="single" w:sz="4" w:space="0" w:color="000000"/>
              <w:bottom w:val="single" w:sz="4" w:space="0" w:color="000000"/>
              <w:right w:val="single" w:sz="4" w:space="0" w:color="000000"/>
            </w:tcBorders>
            <w:shd w:val="clear" w:color="auto" w:fill="D2D2D2"/>
          </w:tcPr>
          <w:p>
            <w:pPr/>
          </w:p>
        </w:tc>
        <w:tc>
          <w:tcPr>
            <w:tcW w:w="8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04" w:type="dxa"/>
            <w:vMerge/>
            <w:tcBorders>
              <w:left w:val="single" w:sz="4" w:space="0" w:color="000000"/>
              <w:bottom w:val="single" w:sz="4" w:space="0" w:color="000000"/>
              <w:right w:val="single" w:sz="4" w:space="0" w:color="000000"/>
            </w:tcBorders>
            <w:shd w:val="clear" w:color="auto" w:fill="D2D2D2"/>
          </w:tcPr>
          <w:p>
            <w:pPr/>
          </w:p>
        </w:tc>
        <w:tc>
          <w:tcPr>
            <w:tcW w:w="1080" w:type="dxa"/>
            <w:vMerge/>
            <w:tcBorders>
              <w:left w:val="single" w:sz="4" w:space="0" w:color="000000"/>
              <w:bottom w:val="single" w:sz="4" w:space="0" w:color="000000"/>
              <w:right w:val="single" w:sz="4" w:space="0" w:color="000000"/>
            </w:tcBorders>
            <w:shd w:val="clear" w:color="auto" w:fill="D2D2D2"/>
          </w:tcPr>
          <w:p>
            <w:pPr/>
          </w:p>
        </w:tc>
        <w:tc>
          <w:tcPr>
            <w:tcW w:w="1177" w:type="dxa"/>
            <w:vMerge/>
            <w:tcBorders>
              <w:left w:val="single" w:sz="4" w:space="0" w:color="000000"/>
              <w:bottom w:val="single" w:sz="4" w:space="0" w:color="000000"/>
              <w:right w:val="single" w:sz="4" w:space="0" w:color="000000"/>
            </w:tcBorders>
            <w:shd w:val="clear" w:color="auto" w:fill="D2D2D2"/>
          </w:tcPr>
          <w:p>
            <w:pPr/>
          </w:p>
        </w:tc>
        <w:tc>
          <w:tcPr>
            <w:tcW w:w="1246" w:type="dxa"/>
            <w:vMerge/>
            <w:tcBorders>
              <w:left w:val="single" w:sz="4" w:space="0" w:color="000000"/>
              <w:bottom w:val="single" w:sz="4" w:space="0" w:color="000000"/>
              <w:right w:val="single" w:sz="4" w:space="0" w:color="000000"/>
            </w:tcBorders>
            <w:shd w:val="clear" w:color="auto" w:fill="D2D2D2"/>
          </w:tcPr>
          <w:p>
            <w:pPr/>
          </w:p>
        </w:tc>
        <w:tc>
          <w:tcPr>
            <w:tcW w:w="1250" w:type="dxa"/>
            <w:vMerge/>
            <w:tcBorders>
              <w:left w:val="single" w:sz="4" w:space="0" w:color="000000"/>
              <w:bottom w:val="single" w:sz="4" w:space="0" w:color="000000"/>
              <w:right w:val="single" w:sz="4" w:space="0" w:color="000000"/>
            </w:tcBorders>
            <w:shd w:val="clear" w:color="auto" w:fill="D2D2D2"/>
          </w:tcPr>
          <w:p>
            <w:pPr/>
          </w:p>
        </w:tc>
        <w:tc>
          <w:tcPr>
            <w:tcW w:w="1022" w:type="dxa"/>
            <w:vMerge/>
            <w:tcBorders>
              <w:left w:val="single" w:sz="4" w:space="0" w:color="000000"/>
              <w:bottom w:val="single" w:sz="4" w:space="0" w:color="000000"/>
              <w:right w:val="single" w:sz="4" w:space="0" w:color="000000"/>
            </w:tcBorders>
            <w:shd w:val="clear" w:color="auto" w:fill="D2D2D2"/>
          </w:tcPr>
          <w:p>
            <w:pPr/>
          </w:p>
        </w:tc>
      </w:tr>
      <w:tr>
        <w:trPr>
          <w:trHeight w:val="1049"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4"/>
              <w:ind w:left="22" w:right="87"/>
              <w:jc w:val="both"/>
              <w:rPr>
                <w:rFonts w:ascii="宋体" w:hAnsi="宋体" w:cs="宋体" w:eastAsia="宋体" w:hint="default"/>
                <w:sz w:val="18"/>
                <w:szCs w:val="18"/>
              </w:rPr>
            </w:pPr>
            <w:r>
              <w:rPr>
                <w:rFonts w:ascii="宋体" w:hAnsi="宋体" w:cs="宋体" w:eastAsia="宋体" w:hint="default"/>
                <w:sz w:val="18"/>
                <w:szCs w:val="18"/>
              </w:rPr>
              <w:t>北京久其科 技投资有限 公司</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16" w:lineRule="auto"/>
              <w:ind w:left="23" w:right="42"/>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23.13%</w:t>
            </w:r>
          </w:p>
        </w:tc>
        <w:tc>
          <w:tcPr>
            <w:tcW w:w="1104"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164,527,890</w:t>
            </w:r>
          </w:p>
        </w:tc>
        <w:tc>
          <w:tcPr>
            <w:tcW w:w="1080"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-5,605,381</w:t>
            </w:r>
            <w:r>
              <w:rPr>
                <w:rFonts w:ascii="Times New Roman"/>
                <w:sz w:val="18"/>
              </w:rPr>
            </w:r>
          </w:p>
        </w:tc>
        <w:tc>
          <w:tcPr>
            <w:tcW w:w="1177"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46"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164,527,890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1"/>
              <w:jc w:val="center"/>
              <w:rPr>
                <w:rFonts w:ascii="宋体" w:hAnsi="宋体" w:cs="宋体" w:eastAsia="宋体" w:hint="default"/>
                <w:sz w:val="18"/>
                <w:szCs w:val="18"/>
              </w:rPr>
            </w:pPr>
            <w:r>
              <w:rPr>
                <w:rFonts w:ascii="宋体" w:hAnsi="宋体" w:cs="宋体" w:eastAsia="宋体" w:hint="default"/>
                <w:sz w:val="18"/>
                <w:szCs w:val="18"/>
              </w:rPr>
              <w:t>质押</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98,272,299</w:t>
            </w:r>
          </w:p>
        </w:tc>
      </w:tr>
      <w:tr>
        <w:trPr>
          <w:trHeight w:val="402"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董泰湘</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15.13%</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107,610,093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107,610,093</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质押</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87,280,000</w:t>
            </w:r>
          </w:p>
        </w:tc>
      </w:tr>
      <w:tr>
        <w:trPr>
          <w:trHeight w:val="402"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11.00%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78,265,507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58,699,130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19,566,377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质押</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69,770,000</w:t>
            </w:r>
          </w:p>
        </w:tc>
      </w:tr>
      <w:tr>
        <w:trPr>
          <w:trHeight w:val="402"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欧阳曜</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2.50%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17,783,301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13,337,476</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4,445,825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质押</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6,920,000</w:t>
            </w:r>
          </w:p>
        </w:tc>
      </w:tr>
      <w:tr>
        <w:trPr>
          <w:trHeight w:val="402"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王新</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2.30%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16,378,304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-5,504,124</w:t>
            </w:r>
            <w:r>
              <w:rPr>
                <w:rFonts w:ascii="Times New Roman"/>
                <w:sz w:val="18"/>
              </w:rPr>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16,378,304</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质押</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2,460,000</w:t>
            </w:r>
          </w:p>
        </w:tc>
      </w:tr>
      <w:tr>
        <w:trPr>
          <w:trHeight w:val="402"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栗军</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2.11%</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14,997,347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-3,660,000</w:t>
            </w:r>
            <w:r>
              <w:rPr>
                <w:rFonts w:ascii="Times New Roman"/>
                <w:sz w:val="18"/>
              </w:rPr>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13,993,010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1,004,337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质押</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8,460,000</w:t>
            </w:r>
          </w:p>
        </w:tc>
      </w:tr>
      <w:tr>
        <w:trPr>
          <w:trHeight w:val="402"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李勇</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1.67%</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11,893,798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-3,210,679</w:t>
            </w:r>
            <w:r>
              <w:rPr>
                <w:rFonts w:ascii="Times New Roman"/>
                <w:sz w:val="18"/>
              </w:rPr>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1,151,588</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10,742,210</w:t>
            </w:r>
          </w:p>
        </w:tc>
        <w:tc>
          <w:tcPr>
            <w:tcW w:w="1250"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沈栋梁</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0.79%</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5,597,781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-133,470</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5,597,781</w:t>
            </w:r>
          </w:p>
        </w:tc>
        <w:tc>
          <w:tcPr>
            <w:tcW w:w="1250"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深圳尚道众 盈二号投资 合伙企业</w:t>
            </w:r>
          </w:p>
          <w:p>
            <w:pPr>
              <w:pStyle w:val="TableParagraph"/>
              <w:spacing w:line="319" w:lineRule="auto" w:before="19"/>
              <w:ind w:left="22" w:right="267"/>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42"/>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0.69%</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4,896,475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3,306,384</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4,896,475</w:t>
            </w:r>
          </w:p>
        </w:tc>
        <w:tc>
          <w:tcPr>
            <w:tcW w:w="1250"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李贺欣</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0.51%</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3,660,100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3,660,100</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3,660,100</w:t>
            </w:r>
          </w:p>
        </w:tc>
        <w:tc>
          <w:tcPr>
            <w:tcW w:w="1250"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9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战略投资者或一般法人 因配售新股成为前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w:t>
            </w:r>
            <w:r>
              <w:rPr>
                <w:rFonts w:ascii="宋体" w:hAnsi="宋体" w:cs="宋体" w:eastAsia="宋体" w:hint="default"/>
                <w:spacing w:val="-9"/>
                <w:sz w:val="18"/>
                <w:szCs w:val="18"/>
              </w:rPr>
              <w:t>股东的情况（如有）（参</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69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988"/>
        <w:gridCol w:w="5430"/>
        <w:gridCol w:w="1261"/>
        <w:gridCol w:w="1016"/>
      </w:tblGrid>
      <w:tr>
        <w:trPr>
          <w:trHeight w:val="161" w:hRule="exact"/>
        </w:trPr>
        <w:tc>
          <w:tcPr>
            <w:tcW w:w="1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7707" w:type="dxa"/>
            <w:gridSpan w:val="3"/>
            <w:vMerge w:val="restart"/>
            <w:tcBorders>
              <w:top w:val="single" w:sz="4" w:space="0" w:color="000000"/>
              <w:left w:val="single" w:sz="9" w:space="0" w:color="D2D2D2"/>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董泰湘与赵福君系夫妻关系，且二人与股东欧阳曜均为北京久其科技投资有限公司股东，三人分 别直接持有北京久其科技投资有限公司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5.25%</w:t>
            </w:r>
            <w:r>
              <w:rPr>
                <w:rFonts w:ascii="宋体" w:hAnsi="宋体" w:cs="宋体" w:eastAsia="宋体" w:hint="default"/>
                <w:sz w:val="18"/>
                <w:szCs w:val="18"/>
              </w:rPr>
              <w:t>、</w:t>
            </w:r>
            <w:r>
              <w:rPr>
                <w:rFonts w:ascii="Times New Roman" w:hAnsi="Times New Roman" w:cs="Times New Roman" w:eastAsia="Times New Roman" w:hint="default"/>
                <w:sz w:val="18"/>
                <w:szCs w:val="18"/>
              </w:rPr>
              <w:t>2.625%</w:t>
            </w:r>
            <w:r>
              <w:rPr>
                <w:rFonts w:ascii="宋体" w:hAnsi="宋体" w:cs="宋体" w:eastAsia="宋体" w:hint="default"/>
                <w:sz w:val="18"/>
                <w:szCs w:val="18"/>
              </w:rPr>
              <w:t>、</w:t>
            </w:r>
            <w:r>
              <w:rPr>
                <w:rFonts w:ascii="Times New Roman" w:hAnsi="Times New Roman" w:cs="Times New Roman" w:eastAsia="Times New Roman" w:hint="default"/>
                <w:sz w:val="18"/>
                <w:szCs w:val="18"/>
              </w:rPr>
              <w:t>1.05%</w:t>
            </w:r>
            <w:r>
              <w:rPr>
                <w:rFonts w:ascii="宋体" w:hAnsi="宋体" w:cs="宋体" w:eastAsia="宋体" w:hint="default"/>
                <w:sz w:val="18"/>
                <w:szCs w:val="18"/>
              </w:rPr>
              <w:t>的股权；此外，董泰湘和赵福君通 过天津君泰融汇投资中心（有限合伙）间接持有北京久其科技投资有限公司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89.5%</w:t>
            </w:r>
            <w:r>
              <w:rPr>
                <w:rFonts w:ascii="宋体" w:hAnsi="宋体" w:cs="宋体" w:eastAsia="宋体" w:hint="default"/>
                <w:sz w:val="18"/>
                <w:szCs w:val="18"/>
              </w:rPr>
              <w:t>股权。</w:t>
            </w:r>
          </w:p>
        </w:tc>
      </w:tr>
      <w:tr>
        <w:trPr>
          <w:trHeight w:val="704" w:hRule="exact"/>
        </w:trPr>
        <w:tc>
          <w:tcPr>
            <w:tcW w:w="19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上述股东关联关系或一 致行动的说明</w:t>
            </w:r>
          </w:p>
        </w:tc>
        <w:tc>
          <w:tcPr>
            <w:tcW w:w="7707" w:type="dxa"/>
            <w:gridSpan w:val="3"/>
            <w:vMerge/>
            <w:tcBorders>
              <w:left w:val="single" w:sz="9" w:space="0" w:color="D2D2D2"/>
              <w:right w:val="single" w:sz="4" w:space="0" w:color="000000"/>
            </w:tcBorders>
          </w:tcPr>
          <w:p>
            <w:pPr/>
          </w:p>
        </w:tc>
      </w:tr>
      <w:tr>
        <w:trPr>
          <w:trHeight w:val="161" w:hRule="exact"/>
        </w:trPr>
        <w:tc>
          <w:tcPr>
            <w:tcW w:w="1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7707" w:type="dxa"/>
            <w:gridSpan w:val="3"/>
            <w:vMerge/>
            <w:tcBorders>
              <w:left w:val="single" w:sz="9" w:space="0" w:color="D2D2D2"/>
              <w:bottom w:val="single" w:sz="4" w:space="0" w:color="000000"/>
              <w:right w:val="single" w:sz="4" w:space="0" w:color="000000"/>
            </w:tcBorders>
          </w:tcPr>
          <w:p>
            <w:pPr/>
          </w:p>
        </w:tc>
      </w:tr>
      <w:tr>
        <w:trPr>
          <w:trHeight w:val="402" w:hRule="exact"/>
        </w:trPr>
        <w:tc>
          <w:tcPr>
            <w:tcW w:w="969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1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227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19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5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62"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27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8" w:type="dxa"/>
            <w:vMerge/>
            <w:tcBorders>
              <w:left w:val="single" w:sz="4" w:space="0" w:color="000000"/>
              <w:bottom w:val="nil" w:sz="6" w:space="0" w:color="auto"/>
              <w:right w:val="single" w:sz="4" w:space="0" w:color="000000"/>
            </w:tcBorders>
            <w:shd w:val="clear" w:color="auto" w:fill="D2D2D2"/>
          </w:tcPr>
          <w:p>
            <w:pPr/>
          </w:p>
        </w:tc>
        <w:tc>
          <w:tcPr>
            <w:tcW w:w="5430" w:type="dxa"/>
            <w:vMerge/>
            <w:tcBorders>
              <w:left w:val="single" w:sz="4" w:space="0" w:color="000000"/>
              <w:bottom w:val="nil" w:sz="6" w:space="0" w:color="auto"/>
              <w:right w:val="single" w:sz="4" w:space="0" w:color="000000"/>
            </w:tcBorders>
            <w:shd w:val="clear" w:color="auto" w:fill="D2D2D2"/>
          </w:tcPr>
          <w:p>
            <w:pPr/>
          </w:p>
        </w:tc>
        <w:tc>
          <w:tcPr>
            <w:tcW w:w="1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5"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1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1" w:type="dxa"/>
            <w:vMerge/>
            <w:tcBorders>
              <w:left w:val="single" w:sz="4" w:space="0" w:color="000000"/>
              <w:bottom w:val="single" w:sz="4" w:space="0" w:color="000000"/>
              <w:right w:val="single" w:sz="4" w:space="0" w:color="000000"/>
            </w:tcBorders>
            <w:shd w:val="clear" w:color="auto" w:fill="D2D2D2"/>
          </w:tcPr>
          <w:p>
            <w:pPr/>
          </w:p>
        </w:tc>
        <w:tc>
          <w:tcPr>
            <w:tcW w:w="101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北京久其科技投资有限 公司</w:t>
            </w: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164,527,890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164,527,890</w:t>
            </w:r>
          </w:p>
        </w:tc>
      </w:tr>
      <w:tr>
        <w:trPr>
          <w:trHeight w:val="40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董泰湘</w:t>
            </w: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107,610,093</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107,610,093</w:t>
            </w:r>
          </w:p>
        </w:tc>
      </w:tr>
      <w:tr>
        <w:trPr>
          <w:trHeight w:val="40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19,566,377</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19,566,377</w:t>
            </w:r>
          </w:p>
        </w:tc>
      </w:tr>
      <w:tr>
        <w:trPr>
          <w:trHeight w:val="40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李勇</w:t>
            </w: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10,742,210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10,742,210</w:t>
            </w:r>
          </w:p>
        </w:tc>
      </w:tr>
      <w:tr>
        <w:trPr>
          <w:trHeight w:val="40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沈栋梁</w:t>
            </w: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5,597,781</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5,597,781</w:t>
            </w:r>
          </w:p>
        </w:tc>
      </w:tr>
      <w:tr>
        <w:trPr>
          <w:trHeight w:val="714"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深圳尚道众盈二号投资 合伙企业（有限合伙）</w:t>
            </w: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4,896,475</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4,896,475</w:t>
            </w:r>
          </w:p>
        </w:tc>
      </w:tr>
      <w:tr>
        <w:trPr>
          <w:trHeight w:val="40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欧阳曜</w:t>
            </w: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4,445,825</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4,445,825</w:t>
            </w:r>
          </w:p>
        </w:tc>
      </w:tr>
      <w:tr>
        <w:trPr>
          <w:trHeight w:val="40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李贺欣</w:t>
            </w: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3,660,100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3,660,100</w:t>
            </w:r>
          </w:p>
        </w:tc>
      </w:tr>
      <w:tr>
        <w:trPr>
          <w:trHeight w:val="1026"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中国人寿保险股份有限 公司－传统－普通保险 产品</w:t>
            </w:r>
            <w:r>
              <w:rPr>
                <w:rFonts w:ascii="Times New Roman" w:hAnsi="Times New Roman" w:cs="Times New Roman" w:eastAsia="Times New Roman" w:hint="default"/>
                <w:sz w:val="18"/>
                <w:szCs w:val="18"/>
              </w:rPr>
              <w:t>-005L-CT001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深</w:t>
            </w: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2,600,639</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2,600,639</w:t>
            </w:r>
          </w:p>
        </w:tc>
      </w:tr>
      <w:tr>
        <w:trPr>
          <w:trHeight w:val="40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毕丽萍</w:t>
            </w: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2,213,103</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2,213,103</w:t>
            </w:r>
          </w:p>
        </w:tc>
      </w:tr>
      <w:tr>
        <w:trPr>
          <w:trHeight w:val="1962"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w:t>
            </w:r>
          </w:p>
          <w:p>
            <w:pPr>
              <w:pStyle w:val="TableParagraph"/>
              <w:spacing w:line="309" w:lineRule="auto" w:before="63"/>
              <w:ind w:left="22" w:right="108"/>
              <w:jc w:val="both"/>
              <w:rPr>
                <w:rFonts w:ascii="宋体" w:hAnsi="宋体" w:cs="宋体" w:eastAsia="宋体" w:hint="default"/>
                <w:sz w:val="18"/>
                <w:szCs w:val="18"/>
              </w:rPr>
            </w:pPr>
            <w:r>
              <w:rPr>
                <w:rFonts w:ascii="宋体" w:hAnsi="宋体" w:cs="宋体" w:eastAsia="宋体" w:hint="default"/>
                <w:sz w:val="18"/>
                <w:szCs w:val="18"/>
              </w:rPr>
              <w:t>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 一致行动的说明</w:t>
            </w:r>
          </w:p>
        </w:tc>
        <w:tc>
          <w:tcPr>
            <w:tcW w:w="7707" w:type="dxa"/>
            <w:gridSpan w:val="3"/>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8" w:right="17"/>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名股东中，董泰湘与赵福君系夫妻关系，二人与股东欧阳曜均为北京久其科技投资有限 公司股东，三人分别直接持有北京久其科技投资有限公司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5.25%</w:t>
            </w:r>
            <w:r>
              <w:rPr>
                <w:rFonts w:ascii="宋体" w:hAnsi="宋体" w:cs="宋体" w:eastAsia="宋体" w:hint="default"/>
                <w:sz w:val="18"/>
                <w:szCs w:val="18"/>
              </w:rPr>
              <w:t>、</w:t>
            </w:r>
            <w:r>
              <w:rPr>
                <w:rFonts w:ascii="Times New Roman" w:hAnsi="Times New Roman" w:cs="Times New Roman" w:eastAsia="Times New Roman" w:hint="default"/>
                <w:sz w:val="18"/>
                <w:szCs w:val="18"/>
              </w:rPr>
              <w:t>2.625%</w:t>
            </w:r>
            <w:r>
              <w:rPr>
                <w:rFonts w:ascii="宋体" w:hAnsi="宋体" w:cs="宋体" w:eastAsia="宋体" w:hint="default"/>
                <w:sz w:val="18"/>
                <w:szCs w:val="18"/>
              </w:rPr>
              <w:t>、</w:t>
            </w:r>
            <w:r>
              <w:rPr>
                <w:rFonts w:ascii="Times New Roman" w:hAnsi="Times New Roman" w:cs="Times New Roman" w:eastAsia="Times New Roman" w:hint="default"/>
                <w:sz w:val="18"/>
                <w:szCs w:val="18"/>
              </w:rPr>
              <w:t>1.05%</w:t>
            </w:r>
            <w:r>
              <w:rPr>
                <w:rFonts w:ascii="宋体" w:hAnsi="宋体" w:cs="宋体" w:eastAsia="宋体" w:hint="default"/>
                <w:sz w:val="18"/>
                <w:szCs w:val="18"/>
              </w:rPr>
              <w:t>的股权；此外， 董泰湘和赵福君通过天津君泰融汇投资中心（有限合伙）间接持有北京久其科技投资有限公司 </w:t>
            </w:r>
            <w:r>
              <w:rPr>
                <w:rFonts w:ascii="Times New Roman" w:hAnsi="Times New Roman" w:cs="Times New Roman" w:eastAsia="Times New Roman" w:hint="default"/>
                <w:spacing w:val="-3"/>
                <w:sz w:val="18"/>
                <w:szCs w:val="18"/>
              </w:rPr>
              <w:t>89.5%</w:t>
            </w:r>
            <w:r>
              <w:rPr>
                <w:rFonts w:ascii="宋体" w:hAnsi="宋体" w:cs="宋体" w:eastAsia="宋体" w:hint="default"/>
                <w:spacing w:val="-3"/>
                <w:sz w:val="18"/>
                <w:szCs w:val="18"/>
              </w:rPr>
              <w:t>股权。未知公司其他前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名无限售流通股股东之间，以及前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名股东之间，是否存在关联关系，也未知他们是否属于《上市公司收购管理办法》中规定的一致 行动人。</w:t>
            </w:r>
          </w:p>
        </w:tc>
      </w:tr>
      <w:tr>
        <w:trPr>
          <w:trHeight w:val="1026"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6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 融资融券业务情况说明</w:t>
            </w:r>
          </w:p>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7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17"/>
      <w:bookmarkEnd w:id="117"/>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592"/>
        <w:jc w:val="left"/>
      </w:pPr>
      <w:r>
        <w:rPr/>
        <w:t>控股股东性质：自然人控股 控股股东类型：法人</w:t>
      </w:r>
    </w:p>
    <w:tbl>
      <w:tblPr>
        <w:tblW w:w="0" w:type="auto"/>
        <w:jc w:val="left"/>
        <w:tblInd w:w="149" w:type="dxa"/>
        <w:tblLayout w:type="fixed"/>
        <w:tblCellMar>
          <w:top w:w="0" w:type="dxa"/>
          <w:left w:w="0" w:type="dxa"/>
          <w:bottom w:w="0" w:type="dxa"/>
          <w:right w:w="0" w:type="dxa"/>
        </w:tblCellMar>
        <w:tblLook w:val="01E0"/>
      </w:tblPr>
      <w:tblGrid>
        <w:gridCol w:w="1997"/>
        <w:gridCol w:w="1829"/>
        <w:gridCol w:w="1894"/>
        <w:gridCol w:w="1935"/>
        <w:gridCol w:w="1914"/>
      </w:tblGrid>
      <w:tr>
        <w:trPr>
          <w:trHeight w:val="714"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818" w:right="75"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97"/>
        <w:gridCol w:w="1829"/>
        <w:gridCol w:w="1894"/>
        <w:gridCol w:w="1935"/>
        <w:gridCol w:w="1914"/>
      </w:tblGrid>
      <w:tr>
        <w:trPr>
          <w:trHeight w:val="714"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北京久其科技投资有限 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董泰湘</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9111010863361327XD</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（统一社会信用代码）</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8"/>
              <w:jc w:val="left"/>
              <w:rPr>
                <w:rFonts w:ascii="宋体" w:hAnsi="宋体" w:cs="宋体" w:eastAsia="宋体" w:hint="default"/>
                <w:sz w:val="18"/>
                <w:szCs w:val="18"/>
              </w:rPr>
            </w:pPr>
            <w:r>
              <w:rPr>
                <w:rFonts w:ascii="宋体" w:hAnsi="宋体" w:cs="宋体" w:eastAsia="宋体" w:hint="default"/>
                <w:sz w:val="18"/>
                <w:szCs w:val="18"/>
              </w:rPr>
              <w:t>围绕高科技领域开展投 资及投资管理相关工作</w:t>
            </w:r>
          </w:p>
        </w:tc>
      </w:tr>
      <w:tr>
        <w:trPr>
          <w:trHeight w:val="1026"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控股股东报告期内变更</w:t>
      </w:r>
    </w:p>
    <w:p>
      <w:pPr>
        <w:pStyle w:val="BodyText"/>
        <w:spacing w:line="338" w:lineRule="auto" w:before="117"/>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及其一致行动人" w:id="118"/>
      <w:bookmarkEnd w:id="118"/>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2"/>
        <w:jc w:val="left"/>
      </w:pPr>
      <w:r>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spacing w:line="240" w:lineRule="auto" w:before="44"/>
        <w:ind w:left="0" w:right="1149"/>
        <w:jc w:val="right"/>
      </w:pPr>
      <w:r>
        <w:rPr/>
        <w:pict>
          <v:shape style="position:absolute;margin-left:56.459999pt;margin-top:-107.948303pt;width:479.2pt;height:274.650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董泰湘</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50"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、董泰湘女士，</w:t>
                        </w:r>
                        <w:r>
                          <w:rPr>
                            <w:rFonts w:ascii="Times New Roman" w:hAnsi="Times New Roman" w:cs="Times New Roman" w:eastAsia="Times New Roman" w:hint="default"/>
                            <w:sz w:val="18"/>
                            <w:szCs w:val="18"/>
                          </w:rPr>
                          <w:t>1964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月出生，研究生学历。历任北京船舶工业管理干部学院讲师、太 </w:t>
                        </w:r>
                        <w:r>
                          <w:rPr>
                            <w:rFonts w:ascii="宋体" w:hAnsi="宋体" w:cs="宋体" w:eastAsia="宋体" w:hint="default"/>
                            <w:spacing w:val="-3"/>
                            <w:sz w:val="18"/>
                            <w:szCs w:val="18"/>
                          </w:rPr>
                          <w:t>平洋软件（中国）有限公司技术部经理、久其软件董事长。现任天津君泰融汇投资中心（有</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限合伙）执行事务合伙人，北京久其智通数据科技有限公司董事长，久其科技，久其政务 </w:t>
                        </w:r>
                        <w:r>
                          <w:rPr>
                            <w:rFonts w:ascii="宋体" w:hAnsi="宋体" w:cs="宋体" w:eastAsia="宋体" w:hint="default"/>
                            <w:spacing w:val="-2"/>
                            <w:sz w:val="18"/>
                            <w:szCs w:val="18"/>
                          </w:rPr>
                          <w:t>北京久其移动商务科技有限公司、北京紫金山居文化有限公司执行董事、深圳市前海方成微</w:t>
                        </w:r>
                        <w:r>
                          <w:rPr>
                            <w:rFonts w:ascii="宋体" w:hAnsi="宋体" w:cs="宋体" w:eastAsia="宋体" w:hint="default"/>
                            <w:sz w:val="18"/>
                            <w:szCs w:val="18"/>
                          </w:rPr>
                          <w:t> 电子有限公司董事，北京滑氏红木家具有限公司监事。</w:t>
                        </w:r>
                      </w:p>
                      <w:p>
                        <w:pPr>
                          <w:pStyle w:val="TableParagraph"/>
                          <w:spacing w:line="314" w:lineRule="auto" w:before="5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、赵福君先生，</w:t>
                        </w:r>
                        <w:r>
                          <w:rPr>
                            <w:rFonts w:ascii="Times New Roman" w:hAnsi="Times New Roman" w:cs="Times New Roman" w:eastAsia="Times New Roman" w:hint="default"/>
                            <w:sz w:val="18"/>
                            <w:szCs w:val="18"/>
                          </w:rPr>
                          <w:t>1964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月出生，研究生学历。历任北京船舶工业管理干部学院计算机系 </w:t>
                        </w:r>
                        <w:r>
                          <w:rPr>
                            <w:rFonts w:ascii="宋体" w:hAnsi="宋体" w:cs="宋体" w:eastAsia="宋体" w:hint="default"/>
                            <w:spacing w:val="-5"/>
                            <w:sz w:val="18"/>
                            <w:szCs w:val="18"/>
                          </w:rPr>
                          <w:t>主任、副教授、久其科技经理。现任公司董事长，并兼任久金所董事长，海南互联网研究院</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5"/>
                            <w:sz w:val="18"/>
                            <w:szCs w:val="18"/>
                          </w:rPr>
                          <w:t>海南久其、上海久其、成都久其、重庆久其、西安久其、新疆久其执行董事，久其政务董事</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北京紫金山居文化有限公司监事，财政部会计信息化委员会咨询专家，中关村大数据联盟副</w:t>
                        </w:r>
                        <w:r>
                          <w:rPr>
                            <w:rFonts w:ascii="宋体" w:hAnsi="宋体" w:cs="宋体" w:eastAsia="宋体" w:hint="default"/>
                            <w:sz w:val="18"/>
                            <w:szCs w:val="18"/>
                          </w:rPr>
                          <w:t> 理事长，中国信息产业商会互联网众创分会副理事长。</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除久其软件外，董泰湘女士和赵福君先生过去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年未曾控股其他的境内外上市公司。</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240" w:lineRule="auto" w:before="44"/>
        <w:ind w:left="0" w:right="1138"/>
        <w:jc w:val="right"/>
      </w:pPr>
      <w:r>
        <w:rPr/>
        <w:t>、</w:t>
      </w:r>
    </w:p>
    <w:p>
      <w:pPr>
        <w:pStyle w:val="BodyText"/>
        <w:spacing w:line="240" w:lineRule="auto" w:before="76"/>
        <w:ind w:left="0" w:right="114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right="0"/>
        <w:jc w:val="left"/>
      </w:pPr>
      <w:r>
        <w:rPr/>
        <w:t>实际控制人报告期内变更</w:t>
      </w:r>
    </w:p>
    <w:p>
      <w:pPr>
        <w:pStyle w:val="BodyText"/>
        <w:spacing w:line="348" w:lineRule="auto" w:before="116"/>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after="0" w:line="348" w:lineRule="auto"/>
        <w:jc w:val="left"/>
        <w:sectPr>
          <w:pgSz w:w="11910" w:h="16840"/>
          <w:pgMar w:header="877" w:footer="979" w:top="1100" w:bottom="1160" w:left="980" w:right="0"/>
        </w:sectPr>
      </w:pPr>
    </w:p>
    <w:p>
      <w:pPr>
        <w:spacing w:line="240" w:lineRule="auto" w:before="4"/>
        <w:rPr>
          <w:rFonts w:ascii="宋体" w:hAnsi="宋体" w:cs="宋体" w:eastAsia="宋体" w:hint="default"/>
          <w:sz w:val="25"/>
          <w:szCs w:val="25"/>
        </w:rPr>
      </w:pPr>
    </w:p>
    <w:p>
      <w:pPr>
        <w:spacing w:line="3718" w:lineRule="exact"/>
        <w:ind w:left="2542" w:right="0" w:firstLine="0"/>
        <w:rPr>
          <w:rFonts w:ascii="宋体" w:hAnsi="宋体" w:cs="宋体" w:eastAsia="宋体" w:hint="default"/>
          <w:sz w:val="20"/>
          <w:szCs w:val="20"/>
        </w:rPr>
      </w:pPr>
      <w:r>
        <w:rPr>
          <w:rFonts w:ascii="宋体" w:hAnsi="宋体" w:cs="宋体" w:eastAsia="宋体" w:hint="default"/>
          <w:position w:val="-73"/>
          <w:sz w:val="20"/>
          <w:szCs w:val="20"/>
        </w:rPr>
        <w:drawing>
          <wp:inline distT="0" distB="0" distL="0" distR="0">
            <wp:extent cx="3081417" cy="2361247"/>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23" cstate="print"/>
                    <a:stretch>
                      <a:fillRect/>
                    </a:stretch>
                  </pic:blipFill>
                  <pic:spPr>
                    <a:xfrm>
                      <a:off x="0" y="0"/>
                      <a:ext cx="3081417" cy="2361247"/>
                    </a:xfrm>
                    <a:prstGeom prst="rect">
                      <a:avLst/>
                    </a:prstGeom>
                  </pic:spPr>
                </pic:pic>
              </a:graphicData>
            </a:graphic>
          </wp:inline>
        </w:drawing>
      </w:r>
      <w:r>
        <w:rPr>
          <w:rFonts w:ascii="宋体" w:hAnsi="宋体" w:cs="宋体" w:eastAsia="宋体" w:hint="default"/>
          <w:position w:val="-73"/>
          <w:sz w:val="20"/>
          <w:szCs w:val="20"/>
        </w:rPr>
      </w:r>
    </w:p>
    <w:p>
      <w:pPr>
        <w:spacing w:line="240" w:lineRule="auto" w:before="1"/>
        <w:rPr>
          <w:rFonts w:ascii="宋体" w:hAnsi="宋体" w:cs="宋体" w:eastAsia="宋体" w:hint="default"/>
          <w:sz w:val="14"/>
          <w:szCs w:val="14"/>
        </w:rPr>
      </w:pPr>
    </w:p>
    <w:p>
      <w:pPr>
        <w:pStyle w:val="BodyText"/>
        <w:spacing w:line="240" w:lineRule="auto" w:before="44"/>
        <w:ind w:right="0"/>
        <w:jc w:val="left"/>
      </w:pPr>
      <w:r>
        <w:rPr/>
        <w:t>实际控制人通过信托或其他资产管理方式控制公司</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19"/>
      <w:bookmarkEnd w:id="119"/>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控股股东、实际控制人、重组方及其他承诺主体股份限制减持情况" w:id="120"/>
      <w:bookmarkEnd w:id="120"/>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t>关于控股股东、实际控制人及其他承诺方股份限制减持情况，详见本报告</w:t>
      </w:r>
      <w:r>
        <w:rPr>
          <w:rFonts w:ascii="Times New Roman" w:hAnsi="Times New Roman" w:cs="Times New Roman" w:eastAsia="Times New Roman" w:hint="default"/>
        </w:rPr>
        <w:t>“</w:t>
      </w:r>
      <w:r>
        <w:rPr/>
        <w:t>第五节 重要事项</w:t>
      </w:r>
      <w:r>
        <w:rPr>
          <w:spacing w:val="-38"/>
        </w:rPr>
        <w:t> </w:t>
      </w:r>
      <w:r>
        <w:rPr/>
        <w:t>三、承诺事项履行情况</w:t>
      </w:r>
      <w:r>
        <w:rPr>
          <w:rFonts w:ascii="Times New Roman" w:hAnsi="Times New Roman" w:cs="Times New Roman" w:eastAsia="Times New Roman" w:hint="default"/>
        </w:rPr>
        <w:t>"</w:t>
      </w:r>
      <w:r>
        <w:rPr/>
        <w:t>。</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3286" w:right="0"/>
        <w:jc w:val="left"/>
        <w:rPr>
          <w:b w:val="0"/>
          <w:bCs w:val="0"/>
        </w:rPr>
      </w:pPr>
      <w:bookmarkStart w:name="第七节 优先股相关情况" w:id="121"/>
      <w:bookmarkEnd w:id="121"/>
      <w:r>
        <w:rPr>
          <w:b w:val="0"/>
          <w:bCs w:val="0"/>
        </w:rPr>
      </w:r>
      <w:bookmarkStart w:name="_bookmark5" w:id="122"/>
      <w:bookmarkEnd w:id="122"/>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40" w:lineRule="auto" w:before="44"/>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1680" w:right="0"/>
        <w:jc w:val="left"/>
        <w:rPr>
          <w:b w:val="0"/>
          <w:bCs w:val="0"/>
        </w:rPr>
      </w:pPr>
      <w:bookmarkStart w:name="第八节 董事、监事、高级管理人员和员工情况" w:id="123"/>
      <w:bookmarkEnd w:id="123"/>
      <w:r>
        <w:rPr>
          <w:b w:val="0"/>
          <w:bCs w:val="0"/>
        </w:rPr>
      </w:r>
      <w:bookmarkStart w:name="_bookmark6" w:id="124"/>
      <w:bookmarkEnd w:id="124"/>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5"/>
      <w:bookmarkEnd w:id="125"/>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10"/>
        <w:gridCol w:w="636"/>
        <w:gridCol w:w="425"/>
        <w:gridCol w:w="299"/>
        <w:gridCol w:w="299"/>
        <w:gridCol w:w="810"/>
        <w:gridCol w:w="810"/>
        <w:gridCol w:w="1146"/>
        <w:gridCol w:w="1128"/>
        <w:gridCol w:w="1218"/>
        <w:gridCol w:w="1042"/>
        <w:gridCol w:w="1145"/>
      </w:tblGrid>
      <w:tr>
        <w:trPr>
          <w:trHeight w:val="713"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6" w:right="2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4" w:right="53"/>
              <w:jc w:val="left"/>
              <w:rPr>
                <w:rFonts w:ascii="宋体" w:hAnsi="宋体" w:cs="宋体" w:eastAsia="宋体" w:hint="default"/>
                <w:sz w:val="18"/>
                <w:szCs w:val="18"/>
              </w:rPr>
            </w:pPr>
            <w:r>
              <w:rPr>
                <w:rFonts w:ascii="宋体" w:hAnsi="宋体" w:cs="宋体" w:eastAsia="宋体" w:hint="default"/>
                <w:sz w:val="18"/>
                <w:szCs w:val="18"/>
              </w:rPr>
              <w:t>性 别</w:t>
            </w:r>
          </w:p>
        </w:tc>
        <w:tc>
          <w:tcPr>
            <w:tcW w:w="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4" w:right="53"/>
              <w:jc w:val="left"/>
              <w:rPr>
                <w:rFonts w:ascii="宋体" w:hAnsi="宋体" w:cs="宋体" w:eastAsia="宋体" w:hint="default"/>
                <w:sz w:val="18"/>
                <w:szCs w:val="18"/>
              </w:rPr>
            </w:pPr>
            <w:r>
              <w:rPr>
                <w:rFonts w:ascii="宋体" w:hAnsi="宋体" w:cs="宋体" w:eastAsia="宋体" w:hint="default"/>
                <w:sz w:val="18"/>
                <w:szCs w:val="18"/>
              </w:rPr>
              <w:t>年 龄</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0" w:right="37"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0" w:right="3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3" w:firstLine="86"/>
              <w:jc w:val="left"/>
              <w:rPr>
                <w:rFonts w:ascii="宋体" w:hAnsi="宋体" w:cs="宋体" w:eastAsia="宋体" w:hint="default"/>
                <w:sz w:val="18"/>
                <w:szCs w:val="18"/>
              </w:rPr>
            </w:pPr>
            <w:r>
              <w:rPr>
                <w:rFonts w:ascii="宋体" w:hAnsi="宋体" w:cs="宋体" w:eastAsia="宋体" w:hint="default"/>
                <w:sz w:val="18"/>
                <w:szCs w:val="18"/>
              </w:rPr>
              <w:t>本期增持股 份数量（股）</w:t>
            </w:r>
          </w:p>
        </w:tc>
        <w:tc>
          <w:tcPr>
            <w:tcW w:w="1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4" w:right="63" w:hanging="90"/>
              <w:jc w:val="left"/>
              <w:rPr>
                <w:rFonts w:ascii="宋体" w:hAnsi="宋体" w:cs="宋体" w:eastAsia="宋体" w:hint="default"/>
                <w:sz w:val="18"/>
                <w:szCs w:val="18"/>
              </w:rPr>
            </w:pPr>
            <w:r>
              <w:rPr>
                <w:rFonts w:ascii="宋体" w:hAnsi="宋体" w:cs="宋体" w:eastAsia="宋体" w:hint="default"/>
                <w:sz w:val="18"/>
                <w:szCs w:val="18"/>
              </w:rPr>
              <w:t>本期减持股份 数量（股）</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6" w:right="65" w:hanging="90"/>
              <w:jc w:val="left"/>
              <w:rPr>
                <w:rFonts w:ascii="宋体" w:hAnsi="宋体" w:cs="宋体" w:eastAsia="宋体" w:hint="default"/>
                <w:sz w:val="18"/>
                <w:szCs w:val="18"/>
              </w:rPr>
            </w:pPr>
            <w:r>
              <w:rPr>
                <w:rFonts w:ascii="宋体" w:hAnsi="宋体" w:cs="宋体" w:eastAsia="宋体" w:hint="default"/>
                <w:sz w:val="18"/>
                <w:szCs w:val="18"/>
              </w:rPr>
              <w:t>其他增减变 动（股）</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102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61"/>
              <w:jc w:val="center"/>
              <w:rPr>
                <w:rFonts w:ascii="宋体" w:hAnsi="宋体" w:cs="宋体" w:eastAsia="宋体" w:hint="default"/>
                <w:sz w:val="18"/>
                <w:szCs w:val="18"/>
              </w:rPr>
            </w:pPr>
            <w:r>
              <w:rPr>
                <w:rFonts w:ascii="宋体" w:hAnsi="宋体" w:cs="宋体" w:eastAsia="宋体" w:hint="default"/>
                <w:sz w:val="18"/>
                <w:szCs w:val="18"/>
              </w:rPr>
              <w:t>男</w:t>
            </w:r>
          </w:p>
        </w:tc>
        <w:tc>
          <w:tcPr>
            <w:tcW w:w="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55</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78,265,507</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78,265,507</w:t>
            </w:r>
          </w:p>
        </w:tc>
      </w:tr>
      <w:tr>
        <w:trPr>
          <w:trHeight w:val="102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栗军</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副董事 长</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61"/>
              <w:jc w:val="center"/>
              <w:rPr>
                <w:rFonts w:ascii="宋体" w:hAnsi="宋体" w:cs="宋体" w:eastAsia="宋体" w:hint="default"/>
                <w:sz w:val="18"/>
                <w:szCs w:val="18"/>
              </w:rPr>
            </w:pPr>
            <w:r>
              <w:rPr>
                <w:rFonts w:ascii="宋体" w:hAnsi="宋体" w:cs="宋体" w:eastAsia="宋体" w:hint="default"/>
                <w:sz w:val="18"/>
                <w:szCs w:val="18"/>
              </w:rPr>
              <w:t>男</w:t>
            </w:r>
          </w:p>
        </w:tc>
        <w:tc>
          <w:tcPr>
            <w:tcW w:w="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50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18,657,347</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3,660,000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14,997,347</w:t>
            </w:r>
          </w:p>
        </w:tc>
      </w:tr>
      <w:tr>
        <w:trPr>
          <w:trHeight w:val="102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施瑞丰</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董事、 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61"/>
              <w:jc w:val="center"/>
              <w:rPr>
                <w:rFonts w:ascii="宋体" w:hAnsi="宋体" w:cs="宋体" w:eastAsia="宋体" w:hint="default"/>
                <w:sz w:val="18"/>
                <w:szCs w:val="18"/>
              </w:rPr>
            </w:pPr>
            <w:r>
              <w:rPr>
                <w:rFonts w:ascii="宋体" w:hAnsi="宋体" w:cs="宋体" w:eastAsia="宋体" w:hint="default"/>
                <w:sz w:val="18"/>
                <w:szCs w:val="18"/>
              </w:rPr>
              <w:t>男</w:t>
            </w:r>
          </w:p>
        </w:tc>
        <w:tc>
          <w:tcPr>
            <w:tcW w:w="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47</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3,442,932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3,542,932</w:t>
            </w:r>
          </w:p>
        </w:tc>
      </w:tr>
      <w:tr>
        <w:trPr>
          <w:trHeight w:val="102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欧阳曜</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董事、 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61"/>
              <w:jc w:val="center"/>
              <w:rPr>
                <w:rFonts w:ascii="宋体" w:hAnsi="宋体" w:cs="宋体" w:eastAsia="宋体" w:hint="default"/>
                <w:sz w:val="18"/>
                <w:szCs w:val="18"/>
              </w:rPr>
            </w:pPr>
            <w:r>
              <w:rPr>
                <w:rFonts w:ascii="宋体" w:hAnsi="宋体" w:cs="宋体" w:eastAsia="宋体" w:hint="default"/>
                <w:sz w:val="18"/>
                <w:szCs w:val="18"/>
              </w:rPr>
              <w:t>男</w:t>
            </w:r>
          </w:p>
        </w:tc>
        <w:tc>
          <w:tcPr>
            <w:tcW w:w="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43</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17,783,301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17,783,301</w:t>
            </w:r>
          </w:p>
        </w:tc>
      </w:tr>
      <w:tr>
        <w:trPr>
          <w:trHeight w:val="133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邱安超</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61"/>
              <w:jc w:val="left"/>
              <w:rPr>
                <w:rFonts w:ascii="宋体" w:hAnsi="宋体" w:cs="宋体" w:eastAsia="宋体" w:hint="default"/>
                <w:sz w:val="18"/>
                <w:szCs w:val="18"/>
              </w:rPr>
            </w:pPr>
            <w:r>
              <w:rPr>
                <w:rFonts w:ascii="宋体" w:hAnsi="宋体" w:cs="宋体" w:eastAsia="宋体" w:hint="default"/>
                <w:sz w:val="18"/>
                <w:szCs w:val="18"/>
              </w:rPr>
              <w:t>董事、 副总 裁、财 务总监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61"/>
              <w:jc w:val="center"/>
              <w:rPr>
                <w:rFonts w:ascii="宋体" w:hAnsi="宋体" w:cs="宋体" w:eastAsia="宋体" w:hint="default"/>
                <w:sz w:val="18"/>
                <w:szCs w:val="18"/>
              </w:rPr>
            </w:pPr>
            <w:r>
              <w:rPr>
                <w:rFonts w:ascii="宋体" w:hAnsi="宋体" w:cs="宋体" w:eastAsia="宋体" w:hint="default"/>
                <w:sz w:val="18"/>
                <w:szCs w:val="18"/>
              </w:rPr>
              <w:t>男</w:t>
            </w:r>
          </w:p>
        </w:tc>
        <w:tc>
          <w:tcPr>
            <w:tcW w:w="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51</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603,476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603,476</w:t>
            </w:r>
          </w:p>
        </w:tc>
      </w:tr>
      <w:tr>
        <w:trPr>
          <w:trHeight w:val="102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王新</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7"/>
              <w:jc w:val="center"/>
              <w:rPr>
                <w:rFonts w:ascii="宋体" w:hAnsi="宋体" w:cs="宋体" w:eastAsia="宋体" w:hint="default"/>
                <w:sz w:val="18"/>
                <w:szCs w:val="18"/>
              </w:rPr>
            </w:pPr>
            <w:r>
              <w:rPr>
                <w:rFonts w:ascii="宋体" w:hAnsi="宋体" w:cs="宋体" w:eastAsia="宋体" w:hint="default"/>
                <w:sz w:val="18"/>
                <w:szCs w:val="18"/>
              </w:rPr>
              <w:t>离任</w:t>
            </w:r>
          </w:p>
        </w:tc>
        <w:tc>
          <w:tcPr>
            <w:tcW w:w="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61"/>
              <w:jc w:val="center"/>
              <w:rPr>
                <w:rFonts w:ascii="宋体" w:hAnsi="宋体" w:cs="宋体" w:eastAsia="宋体" w:hint="default"/>
                <w:sz w:val="18"/>
                <w:szCs w:val="18"/>
              </w:rPr>
            </w:pPr>
            <w:r>
              <w:rPr>
                <w:rFonts w:ascii="宋体" w:hAnsi="宋体" w:cs="宋体" w:eastAsia="宋体" w:hint="default"/>
                <w:sz w:val="18"/>
                <w:szCs w:val="18"/>
              </w:rPr>
              <w:t>男</w:t>
            </w:r>
          </w:p>
        </w:tc>
        <w:tc>
          <w:tcPr>
            <w:tcW w:w="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40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21,882,428</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5,400,000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-104,124</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16,378,304</w:t>
            </w:r>
          </w:p>
        </w:tc>
      </w:tr>
      <w:tr>
        <w:trPr>
          <w:trHeight w:val="102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王元京</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61"/>
              <w:jc w:val="center"/>
              <w:rPr>
                <w:rFonts w:ascii="宋体" w:hAnsi="宋体" w:cs="宋体" w:eastAsia="宋体" w:hint="default"/>
                <w:sz w:val="18"/>
                <w:szCs w:val="18"/>
              </w:rPr>
            </w:pPr>
            <w:r>
              <w:rPr>
                <w:rFonts w:ascii="宋体" w:hAnsi="宋体" w:cs="宋体" w:eastAsia="宋体" w:hint="default"/>
                <w:sz w:val="18"/>
                <w:szCs w:val="18"/>
              </w:rPr>
              <w:t>男</w:t>
            </w:r>
          </w:p>
        </w:tc>
        <w:tc>
          <w:tcPr>
            <w:tcW w:w="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69</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韩凤岐</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7"/>
              <w:jc w:val="center"/>
              <w:rPr>
                <w:rFonts w:ascii="宋体" w:hAnsi="宋体" w:cs="宋体" w:eastAsia="宋体" w:hint="default"/>
                <w:sz w:val="18"/>
                <w:szCs w:val="18"/>
              </w:rPr>
            </w:pPr>
            <w:r>
              <w:rPr>
                <w:rFonts w:ascii="宋体" w:hAnsi="宋体" w:cs="宋体" w:eastAsia="宋体" w:hint="default"/>
                <w:sz w:val="18"/>
                <w:szCs w:val="18"/>
              </w:rPr>
              <w:t>离任</w:t>
            </w:r>
          </w:p>
        </w:tc>
        <w:tc>
          <w:tcPr>
            <w:tcW w:w="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61"/>
              <w:jc w:val="center"/>
              <w:rPr>
                <w:rFonts w:ascii="宋体" w:hAnsi="宋体" w:cs="宋体" w:eastAsia="宋体" w:hint="default"/>
                <w:sz w:val="18"/>
                <w:szCs w:val="18"/>
              </w:rPr>
            </w:pPr>
            <w:r>
              <w:rPr>
                <w:rFonts w:ascii="宋体" w:hAnsi="宋体" w:cs="宋体" w:eastAsia="宋体" w:hint="default"/>
                <w:sz w:val="18"/>
                <w:szCs w:val="18"/>
              </w:rPr>
              <w:t>男</w:t>
            </w:r>
          </w:p>
        </w:tc>
        <w:tc>
          <w:tcPr>
            <w:tcW w:w="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70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戴金平</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61"/>
              <w:jc w:val="center"/>
              <w:rPr>
                <w:rFonts w:ascii="宋体" w:hAnsi="宋体" w:cs="宋体" w:eastAsia="宋体" w:hint="default"/>
                <w:sz w:val="18"/>
                <w:szCs w:val="18"/>
              </w:rPr>
            </w:pPr>
            <w:r>
              <w:rPr>
                <w:rFonts w:ascii="宋体" w:hAnsi="宋体" w:cs="宋体" w:eastAsia="宋体" w:hint="default"/>
                <w:sz w:val="18"/>
                <w:szCs w:val="18"/>
              </w:rPr>
              <w:t>女</w:t>
            </w:r>
          </w:p>
        </w:tc>
        <w:tc>
          <w:tcPr>
            <w:tcW w:w="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54</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李岳军</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61"/>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61"/>
              <w:jc w:val="center"/>
              <w:rPr>
                <w:rFonts w:ascii="宋体" w:hAnsi="宋体" w:cs="宋体" w:eastAsia="宋体" w:hint="default"/>
                <w:sz w:val="18"/>
                <w:szCs w:val="18"/>
              </w:rPr>
            </w:pPr>
            <w:r>
              <w:rPr>
                <w:rFonts w:ascii="宋体" w:hAnsi="宋体" w:cs="宋体" w:eastAsia="宋体" w:hint="default"/>
                <w:sz w:val="18"/>
                <w:szCs w:val="18"/>
              </w:rPr>
              <w:t>男</w:t>
            </w:r>
          </w:p>
        </w:tc>
        <w:tc>
          <w:tcPr>
            <w:tcW w:w="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53</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王劲岩</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宋体" w:hAnsi="宋体" w:cs="宋体" w:eastAsia="宋体" w:hint="default"/>
                <w:sz w:val="18"/>
                <w:szCs w:val="18"/>
              </w:rPr>
              <w:t>女</w:t>
            </w:r>
          </w:p>
        </w:tc>
        <w:tc>
          <w:tcPr>
            <w:tcW w:w="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44</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710"/>
        <w:gridCol w:w="636"/>
        <w:gridCol w:w="425"/>
        <w:gridCol w:w="299"/>
        <w:gridCol w:w="299"/>
        <w:gridCol w:w="810"/>
        <w:gridCol w:w="810"/>
        <w:gridCol w:w="1146"/>
        <w:gridCol w:w="1128"/>
        <w:gridCol w:w="1218"/>
        <w:gridCol w:w="1042"/>
        <w:gridCol w:w="1145"/>
      </w:tblGrid>
      <w:tr>
        <w:trPr>
          <w:trHeight w:val="714"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6" w:right="2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4" w:right="53"/>
              <w:jc w:val="left"/>
              <w:rPr>
                <w:rFonts w:ascii="宋体" w:hAnsi="宋体" w:cs="宋体" w:eastAsia="宋体" w:hint="default"/>
                <w:sz w:val="18"/>
                <w:szCs w:val="18"/>
              </w:rPr>
            </w:pPr>
            <w:r>
              <w:rPr>
                <w:rFonts w:ascii="宋体" w:hAnsi="宋体" w:cs="宋体" w:eastAsia="宋体" w:hint="default"/>
                <w:sz w:val="18"/>
                <w:szCs w:val="18"/>
              </w:rPr>
              <w:t>性 别</w:t>
            </w:r>
          </w:p>
        </w:tc>
        <w:tc>
          <w:tcPr>
            <w:tcW w:w="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4" w:right="53"/>
              <w:jc w:val="left"/>
              <w:rPr>
                <w:rFonts w:ascii="宋体" w:hAnsi="宋体" w:cs="宋体" w:eastAsia="宋体" w:hint="default"/>
                <w:sz w:val="18"/>
                <w:szCs w:val="18"/>
              </w:rPr>
            </w:pPr>
            <w:r>
              <w:rPr>
                <w:rFonts w:ascii="宋体" w:hAnsi="宋体" w:cs="宋体" w:eastAsia="宋体" w:hint="default"/>
                <w:sz w:val="18"/>
                <w:szCs w:val="18"/>
              </w:rPr>
              <w:t>年 龄</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0" w:right="37"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0" w:right="3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 w:firstLine="86"/>
              <w:jc w:val="left"/>
              <w:rPr>
                <w:rFonts w:ascii="宋体" w:hAnsi="宋体" w:cs="宋体" w:eastAsia="宋体" w:hint="default"/>
                <w:sz w:val="18"/>
                <w:szCs w:val="18"/>
              </w:rPr>
            </w:pPr>
            <w:r>
              <w:rPr>
                <w:rFonts w:ascii="宋体" w:hAnsi="宋体" w:cs="宋体" w:eastAsia="宋体" w:hint="default"/>
                <w:sz w:val="18"/>
                <w:szCs w:val="18"/>
              </w:rPr>
              <w:t>本期增持股 份数量（股）</w:t>
            </w:r>
          </w:p>
        </w:tc>
        <w:tc>
          <w:tcPr>
            <w:tcW w:w="1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4" w:right="63" w:hanging="90"/>
              <w:jc w:val="left"/>
              <w:rPr>
                <w:rFonts w:ascii="宋体" w:hAnsi="宋体" w:cs="宋体" w:eastAsia="宋体" w:hint="default"/>
                <w:sz w:val="18"/>
                <w:szCs w:val="18"/>
              </w:rPr>
            </w:pPr>
            <w:r>
              <w:rPr>
                <w:rFonts w:ascii="宋体" w:hAnsi="宋体" w:cs="宋体" w:eastAsia="宋体" w:hint="default"/>
                <w:sz w:val="18"/>
                <w:szCs w:val="18"/>
              </w:rPr>
              <w:t>本期减持股份 数量（股）</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6" w:right="65" w:hanging="90"/>
              <w:jc w:val="left"/>
              <w:rPr>
                <w:rFonts w:ascii="宋体" w:hAnsi="宋体" w:cs="宋体" w:eastAsia="宋体" w:hint="default"/>
                <w:sz w:val="18"/>
                <w:szCs w:val="18"/>
              </w:rPr>
            </w:pPr>
            <w:r>
              <w:rPr>
                <w:rFonts w:ascii="宋体" w:hAnsi="宋体" w:cs="宋体" w:eastAsia="宋体" w:hint="default"/>
                <w:sz w:val="18"/>
                <w:szCs w:val="18"/>
              </w:rPr>
              <w:t>其他增减变 动（股）</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675" w:hRule="exact"/>
        </w:trPr>
        <w:tc>
          <w:tcPr>
            <w:tcW w:w="71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主席</w:t>
            </w:r>
          </w:p>
        </w:tc>
        <w:tc>
          <w:tcPr>
            <w:tcW w:w="425" w:type="dxa"/>
            <w:tcBorders>
              <w:top w:val="single" w:sz="4" w:space="0" w:color="000000"/>
              <w:left w:val="single" w:sz="4" w:space="0" w:color="000000"/>
              <w:bottom w:val="single" w:sz="4" w:space="0" w:color="000000"/>
              <w:right w:val="single" w:sz="4" w:space="0" w:color="000000"/>
            </w:tcBorders>
          </w:tcPr>
          <w:p>
            <w:pPr/>
          </w:p>
        </w:tc>
        <w:tc>
          <w:tcPr>
            <w:tcW w:w="299" w:type="dxa"/>
            <w:tcBorders>
              <w:top w:val="single" w:sz="4" w:space="0" w:color="000000"/>
              <w:left w:val="single" w:sz="4" w:space="0" w:color="000000"/>
              <w:bottom w:val="single" w:sz="4" w:space="0" w:color="000000"/>
              <w:right w:val="single" w:sz="4" w:space="0" w:color="000000"/>
            </w:tcBorders>
          </w:tcPr>
          <w:p>
            <w:pPr/>
          </w:p>
        </w:tc>
        <w:tc>
          <w:tcPr>
            <w:tcW w:w="299"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蒋硕</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61"/>
              <w:jc w:val="center"/>
              <w:rPr>
                <w:rFonts w:ascii="宋体" w:hAnsi="宋体" w:cs="宋体" w:eastAsia="宋体" w:hint="default"/>
                <w:sz w:val="18"/>
                <w:szCs w:val="18"/>
              </w:rPr>
            </w:pPr>
            <w:r>
              <w:rPr>
                <w:rFonts w:ascii="宋体" w:hAnsi="宋体" w:cs="宋体" w:eastAsia="宋体" w:hint="default"/>
                <w:sz w:val="18"/>
                <w:szCs w:val="18"/>
              </w:rPr>
              <w:t>男</w:t>
            </w:r>
          </w:p>
        </w:tc>
        <w:tc>
          <w:tcPr>
            <w:tcW w:w="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48</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曾超</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61"/>
              <w:jc w:val="center"/>
              <w:rPr>
                <w:rFonts w:ascii="宋体" w:hAnsi="宋体" w:cs="宋体" w:eastAsia="宋体" w:hint="default"/>
                <w:sz w:val="18"/>
                <w:szCs w:val="18"/>
              </w:rPr>
            </w:pPr>
            <w:r>
              <w:rPr>
                <w:rFonts w:ascii="宋体" w:hAnsi="宋体" w:cs="宋体" w:eastAsia="宋体" w:hint="default"/>
                <w:sz w:val="18"/>
                <w:szCs w:val="18"/>
              </w:rPr>
              <w:t>男</w:t>
            </w:r>
          </w:p>
        </w:tc>
        <w:tc>
          <w:tcPr>
            <w:tcW w:w="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41</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264,550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264,550</w:t>
            </w:r>
          </w:p>
        </w:tc>
      </w:tr>
      <w:tr>
        <w:trPr>
          <w:trHeight w:val="102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刘文圣</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61"/>
              <w:jc w:val="center"/>
              <w:rPr>
                <w:rFonts w:ascii="宋体" w:hAnsi="宋体" w:cs="宋体" w:eastAsia="宋体" w:hint="default"/>
                <w:sz w:val="18"/>
                <w:szCs w:val="18"/>
              </w:rPr>
            </w:pPr>
            <w:r>
              <w:rPr>
                <w:rFonts w:ascii="宋体" w:hAnsi="宋体" w:cs="宋体" w:eastAsia="宋体" w:hint="default"/>
                <w:sz w:val="18"/>
                <w:szCs w:val="18"/>
              </w:rPr>
              <w:t>男</w:t>
            </w:r>
          </w:p>
        </w:tc>
        <w:tc>
          <w:tcPr>
            <w:tcW w:w="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45</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269,100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269,100</w:t>
            </w:r>
          </w:p>
        </w:tc>
      </w:tr>
      <w:tr>
        <w:trPr>
          <w:trHeight w:val="102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朱晓钧</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61"/>
              <w:jc w:val="center"/>
              <w:rPr>
                <w:rFonts w:ascii="宋体" w:hAnsi="宋体" w:cs="宋体" w:eastAsia="宋体" w:hint="default"/>
                <w:sz w:val="18"/>
                <w:szCs w:val="18"/>
              </w:rPr>
            </w:pPr>
            <w:r>
              <w:rPr>
                <w:rFonts w:ascii="宋体" w:hAnsi="宋体" w:cs="宋体" w:eastAsia="宋体" w:hint="default"/>
                <w:sz w:val="18"/>
                <w:szCs w:val="18"/>
              </w:rPr>
              <w:t>男</w:t>
            </w:r>
          </w:p>
        </w:tc>
        <w:tc>
          <w:tcPr>
            <w:tcW w:w="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43</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416,000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416,000</w:t>
            </w:r>
          </w:p>
        </w:tc>
      </w:tr>
      <w:tr>
        <w:trPr>
          <w:trHeight w:val="133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王海霞</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副总 裁、董 事会秘 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61"/>
              <w:jc w:val="center"/>
              <w:rPr>
                <w:rFonts w:ascii="宋体" w:hAnsi="宋体" w:cs="宋体" w:eastAsia="宋体" w:hint="default"/>
                <w:sz w:val="18"/>
                <w:szCs w:val="18"/>
              </w:rPr>
            </w:pPr>
            <w:r>
              <w:rPr>
                <w:rFonts w:ascii="宋体" w:hAnsi="宋体" w:cs="宋体" w:eastAsia="宋体" w:hint="default"/>
                <w:sz w:val="18"/>
                <w:szCs w:val="18"/>
              </w:rPr>
              <w:t>女</w:t>
            </w:r>
          </w:p>
        </w:tc>
        <w:tc>
          <w:tcPr>
            <w:tcW w:w="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42</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373,942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517,942</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141,958,583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9,060,000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-104,124</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133,038,459</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公司董事、监事、高级管理人员变动情况" w:id="126"/>
      <w:bookmarkEnd w:id="126"/>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栗军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2"/>
              <w:jc w:val="left"/>
              <w:rPr>
                <w:rFonts w:ascii="宋体" w:hAnsi="宋体" w:cs="宋体" w:eastAsia="宋体" w:hint="default"/>
                <w:sz w:val="18"/>
                <w:szCs w:val="18"/>
              </w:rPr>
            </w:pPr>
            <w:r>
              <w:rPr>
                <w:rFonts w:ascii="宋体" w:hAnsi="宋体" w:cs="宋体" w:eastAsia="宋体" w:hint="default"/>
                <w:sz w:val="18"/>
                <w:szCs w:val="18"/>
              </w:rPr>
              <w:t>应集团发展需要，根据《公司章程》有关规定，经公 司董事会选举，栗军先生成为公司副董事长</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韩凤岐</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2"/>
              <w:jc w:val="left"/>
              <w:rPr>
                <w:rFonts w:ascii="宋体" w:hAnsi="宋体" w:cs="宋体" w:eastAsia="宋体" w:hint="default"/>
                <w:sz w:val="18"/>
                <w:szCs w:val="18"/>
              </w:rPr>
            </w:pPr>
            <w:r>
              <w:rPr>
                <w:rFonts w:ascii="宋体" w:hAnsi="宋体" w:cs="宋体" w:eastAsia="宋体" w:hint="default"/>
                <w:sz w:val="18"/>
                <w:szCs w:val="18"/>
              </w:rPr>
              <w:t>根据中国证监会和深圳证券交易所的相关规定，独立 董事韩凤岐先生的任期于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日届满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李岳军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2"/>
              <w:jc w:val="left"/>
              <w:rPr>
                <w:rFonts w:ascii="宋体" w:hAnsi="宋体" w:cs="宋体" w:eastAsia="宋体" w:hint="default"/>
                <w:sz w:val="18"/>
                <w:szCs w:val="18"/>
              </w:rPr>
            </w:pPr>
            <w:r>
              <w:rPr>
                <w:rFonts w:ascii="宋体" w:hAnsi="宋体" w:cs="宋体" w:eastAsia="宋体" w:hint="default"/>
                <w:sz w:val="18"/>
                <w:szCs w:val="18"/>
              </w:rPr>
              <w:t>为确保公司独立董事数量符合有关规定，经公司董事 会选举，李岳军先生成为公司第六届董事会独立董事</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2"/>
              <w:jc w:val="left"/>
              <w:rPr>
                <w:rFonts w:ascii="宋体" w:hAnsi="宋体" w:cs="宋体" w:eastAsia="宋体" w:hint="default"/>
                <w:sz w:val="18"/>
                <w:szCs w:val="18"/>
              </w:rPr>
            </w:pPr>
            <w:r>
              <w:rPr>
                <w:rFonts w:ascii="宋体" w:hAnsi="宋体" w:cs="宋体" w:eastAsia="宋体" w:hint="default"/>
                <w:sz w:val="18"/>
                <w:szCs w:val="18"/>
              </w:rPr>
              <w:t>董事王新先生因个人原因申请辞去公司董事和董事会 战略发展委员会委员职务</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任职情况" w:id="127"/>
      <w:bookmarkEnd w:id="127"/>
      <w:r>
        <w:rPr>
          <w:b w:val="0"/>
          <w:bCs w:val="0"/>
        </w:rPr>
      </w:r>
      <w:r>
        <w:rPr/>
        <w:t>三、任职情况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309" w:lineRule="auto" w:before="115"/>
        <w:ind w:right="0"/>
        <w:jc w:val="left"/>
      </w:pPr>
      <w:r>
        <w:rPr/>
        <w:t>（一）董事会成员 </w:t>
      </w:r>
      <w:r>
        <w:rPr>
          <w:rFonts w:ascii="Times New Roman" w:hAnsi="Times New Roman" w:cs="Times New Roman" w:eastAsia="Times New Roman" w:hint="default"/>
          <w:spacing w:val="-2"/>
        </w:rPr>
        <w:t>1</w:t>
      </w:r>
      <w:r>
        <w:rPr>
          <w:spacing w:val="-2"/>
        </w:rPr>
        <w:t>、赵福君先生，</w:t>
      </w:r>
      <w:r>
        <w:rPr>
          <w:rFonts w:ascii="Times New Roman" w:hAnsi="Times New Roman" w:cs="Times New Roman" w:eastAsia="Times New Roman" w:hint="default"/>
          <w:spacing w:val="-2"/>
        </w:rPr>
        <w:t>1964</w:t>
      </w:r>
      <w:r>
        <w:rPr>
          <w:spacing w:val="-2"/>
        </w:rPr>
        <w:t>年</w:t>
      </w:r>
      <w:r>
        <w:rPr>
          <w:rFonts w:ascii="Times New Roman" w:hAnsi="Times New Roman" w:cs="Times New Roman" w:eastAsia="Times New Roman" w:hint="default"/>
          <w:spacing w:val="-2"/>
        </w:rPr>
        <w:t>8</w:t>
      </w:r>
      <w:r>
        <w:rPr>
          <w:spacing w:val="-2"/>
        </w:rPr>
        <w:t>月出生，研究生学历。历任北京船舶工业管理干部学院计算机系主任、副教授、久其科技经理。现</w:t>
      </w:r>
      <w:r>
        <w:rPr>
          <w:spacing w:val="-63"/>
        </w:rPr>
        <w:t> </w:t>
      </w:r>
      <w:r>
        <w:rPr>
          <w:spacing w:val="-63"/>
        </w:rPr>
      </w:r>
      <w:r>
        <w:rPr>
          <w:spacing w:val="-2"/>
        </w:rPr>
        <w:t>任公司董事长，并兼任久金所董事长，海南互联网研究院、海南久其、上海久其、成都久其、重庆久其、西安久其、新疆久</w:t>
      </w:r>
    </w:p>
    <w:p>
      <w:pPr>
        <w:spacing w:after="0" w:line="309"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2" w:lineRule="auto" w:before="44"/>
        <w:ind w:right="1032"/>
        <w:jc w:val="left"/>
      </w:pPr>
      <w:r>
        <w:rPr>
          <w:spacing w:val="-2"/>
        </w:rPr>
        <w:t>其执行董事，久其政务董事，北京紫金山居文化有限公司监事，财政部会计信息化委员会咨询专家，中关村大数据联盟副理</w:t>
      </w:r>
      <w:r>
        <w:rPr>
          <w:spacing w:val="-66"/>
        </w:rPr>
        <w:t> </w:t>
      </w:r>
      <w:r>
        <w:rPr>
          <w:spacing w:val="-66"/>
        </w:rPr>
      </w:r>
      <w:r>
        <w:rPr/>
        <w:t>事长，中国信息产业商会互联网众创分会副理事长。 </w:t>
      </w:r>
      <w:r>
        <w:rPr>
          <w:rFonts w:ascii="Times New Roman" w:hAnsi="Times New Roman" w:cs="Times New Roman" w:eastAsia="Times New Roman" w:hint="default"/>
        </w:rPr>
        <w:t>2</w:t>
      </w:r>
      <w:r>
        <w:rPr/>
        <w:t>、栗军先生，</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4</w:t>
      </w:r>
      <w:r>
        <w:rPr/>
        <w:t>月出生，硕士学历。现任公司副董事长，并兼任华夏电通董事长，北京华夏电通信息技术有限公司、</w:t>
      </w:r>
      <w:r>
        <w:rPr>
          <w:spacing w:val="-85"/>
        </w:rPr>
        <w:t> </w:t>
      </w:r>
      <w:r>
        <w:rPr>
          <w:spacing w:val="-85"/>
        </w:rPr>
      </w:r>
      <w:r>
        <w:rPr>
          <w:spacing w:val="-2"/>
        </w:rPr>
        <w:t>亿起联科技、上海亿起联科技有限公司、点入传媒科技（天津）有限公司执行董事，久其数字、瑞意恒动、中交信通网络科</w:t>
      </w:r>
      <w:r>
        <w:rPr>
          <w:spacing w:val="-72"/>
        </w:rPr>
        <w:t> </w:t>
      </w:r>
      <w:r>
        <w:rPr>
          <w:spacing w:val="-72"/>
        </w:rPr>
      </w:r>
      <w:r>
        <w:rPr/>
        <w:t>技有限公司董事。 </w:t>
      </w:r>
      <w:r>
        <w:rPr>
          <w:rFonts w:ascii="Times New Roman" w:hAnsi="Times New Roman" w:cs="Times New Roman" w:eastAsia="Times New Roman" w:hint="default"/>
          <w:spacing w:val="-2"/>
        </w:rPr>
        <w:t>3</w:t>
      </w:r>
      <w:r>
        <w:rPr>
          <w:spacing w:val="-2"/>
        </w:rPr>
        <w:t>、施瑞丰先生，</w:t>
      </w:r>
      <w:r>
        <w:rPr>
          <w:rFonts w:ascii="Times New Roman" w:hAnsi="Times New Roman" w:cs="Times New Roman" w:eastAsia="Times New Roman" w:hint="default"/>
          <w:spacing w:val="-2"/>
        </w:rPr>
        <w:t>1972</w:t>
      </w:r>
      <w:r>
        <w:rPr>
          <w:spacing w:val="-2"/>
        </w:rPr>
        <w:t>年</w:t>
      </w:r>
      <w:r>
        <w:rPr>
          <w:rFonts w:ascii="Times New Roman" w:hAnsi="Times New Roman" w:cs="Times New Roman" w:eastAsia="Times New Roman" w:hint="default"/>
          <w:spacing w:val="-2"/>
        </w:rPr>
        <w:t>9</w:t>
      </w:r>
      <w:r>
        <w:rPr>
          <w:spacing w:val="-2"/>
        </w:rPr>
        <w:t>月出生，本科学历。曾就职于中船建筑设计研究院科技处、北京昊寰公司财务处、北京华孚商科技</w:t>
      </w:r>
      <w:r>
        <w:rPr>
          <w:spacing w:val="-61"/>
        </w:rPr>
        <w:t> </w:t>
      </w:r>
      <w:r>
        <w:rPr>
          <w:spacing w:val="-61"/>
        </w:rPr>
      </w:r>
      <w:r>
        <w:rPr>
          <w:spacing w:val="-2"/>
        </w:rPr>
        <w:t>发展公司、北京阳刚经贸有限公司，</w:t>
      </w:r>
      <w:r>
        <w:rPr>
          <w:rFonts w:ascii="Times New Roman" w:hAnsi="Times New Roman" w:cs="Times New Roman" w:eastAsia="Times New Roman" w:hint="default"/>
          <w:spacing w:val="-2"/>
        </w:rPr>
        <w:t>1999</w:t>
      </w:r>
      <w:r>
        <w:rPr>
          <w:spacing w:val="-2"/>
        </w:rPr>
        <w:t>年加入公司，现任公司董事、总裁，并兼任久其金建董事长，北京中民颐养科技服</w:t>
      </w:r>
      <w:r>
        <w:rPr>
          <w:spacing w:val="-63"/>
        </w:rPr>
        <w:t> </w:t>
      </w:r>
      <w:r>
        <w:rPr>
          <w:spacing w:val="-63"/>
        </w:rPr>
      </w:r>
      <w:r>
        <w:rPr/>
        <w:t>务有限公司、上海移通、上海恒瑞、雄安久其执行董事，久其政务董事。 </w:t>
      </w:r>
      <w:r>
        <w:rPr>
          <w:rFonts w:ascii="Times New Roman" w:hAnsi="Times New Roman" w:cs="Times New Roman" w:eastAsia="Times New Roman" w:hint="default"/>
          <w:spacing w:val="-2"/>
        </w:rPr>
        <w:t>4</w:t>
      </w:r>
      <w:r>
        <w:rPr>
          <w:spacing w:val="-2"/>
        </w:rPr>
        <w:t>、欧阳曜先生，</w:t>
      </w:r>
      <w:r>
        <w:rPr>
          <w:rFonts w:ascii="Times New Roman" w:hAnsi="Times New Roman" w:cs="Times New Roman" w:eastAsia="Times New Roman" w:hint="default"/>
          <w:spacing w:val="-2"/>
        </w:rPr>
        <w:t>1976</w:t>
      </w:r>
      <w:r>
        <w:rPr>
          <w:spacing w:val="-2"/>
        </w:rPr>
        <w:t>年</w:t>
      </w:r>
      <w:r>
        <w:rPr>
          <w:rFonts w:ascii="Times New Roman" w:hAnsi="Times New Roman" w:cs="Times New Roman" w:eastAsia="Times New Roman" w:hint="default"/>
          <w:spacing w:val="-2"/>
        </w:rPr>
        <w:t>3</w:t>
      </w:r>
      <w:r>
        <w:rPr>
          <w:spacing w:val="-2"/>
        </w:rPr>
        <w:t>月出生，硕士学位。曾就职于久其科技，</w:t>
      </w:r>
      <w:r>
        <w:rPr>
          <w:rFonts w:ascii="Times New Roman" w:hAnsi="Times New Roman" w:cs="Times New Roman" w:eastAsia="Times New Roman" w:hint="default"/>
          <w:spacing w:val="-2"/>
        </w:rPr>
        <w:t>1999</w:t>
      </w:r>
      <w:r>
        <w:rPr>
          <w:spacing w:val="-2"/>
        </w:rPr>
        <w:t>年加入公司，现任公司董事、副总裁，并兼任蜂语网</w:t>
      </w:r>
      <w:r>
        <w:rPr>
          <w:spacing w:val="-57"/>
        </w:rPr>
        <w:t> </w:t>
      </w:r>
      <w:r>
        <w:rPr>
          <w:spacing w:val="-57"/>
        </w:rPr>
      </w:r>
      <w:r>
        <w:rPr/>
        <w:t>络、北京久易商科技有限公司执行董事，久其政务董事。 </w:t>
      </w:r>
      <w:r>
        <w:rPr>
          <w:rFonts w:ascii="Times New Roman" w:hAnsi="Times New Roman" w:cs="Times New Roman" w:eastAsia="Times New Roman" w:hint="default"/>
        </w:rPr>
        <w:t>5</w:t>
      </w:r>
      <w:r>
        <w:rPr/>
        <w:t>、邱安超先生，</w:t>
      </w:r>
      <w:r>
        <w:rPr>
          <w:rFonts w:ascii="Times New Roman" w:hAnsi="Times New Roman" w:cs="Times New Roman" w:eastAsia="Times New Roman" w:hint="default"/>
        </w:rPr>
        <w:t>1968</w:t>
      </w:r>
      <w:r>
        <w:rPr/>
        <w:t>年</w:t>
      </w:r>
      <w:r>
        <w:rPr>
          <w:rFonts w:ascii="Times New Roman" w:hAnsi="Times New Roman" w:cs="Times New Roman" w:eastAsia="Times New Roman" w:hint="default"/>
        </w:rPr>
        <w:t>9</w:t>
      </w:r>
      <w:r>
        <w:rPr/>
        <w:t>月出生，本科学历，高级经济师，中国注册会计师非执业会员。</w:t>
      </w:r>
      <w:r>
        <w:rPr>
          <w:rFonts w:ascii="Times New Roman" w:hAnsi="Times New Roman" w:cs="Times New Roman" w:eastAsia="Times New Roman" w:hint="default"/>
        </w:rPr>
        <w:t>2000</w:t>
      </w:r>
      <w:r>
        <w:rPr/>
        <w:t>年加入公司，现任公司董事、</w:t>
      </w:r>
      <w:r>
        <w:rPr>
          <w:spacing w:val="-85"/>
        </w:rPr>
        <w:t> </w:t>
      </w:r>
      <w:r>
        <w:rPr>
          <w:spacing w:val="-85"/>
        </w:rPr>
      </w:r>
      <w:r>
        <w:rPr/>
        <w:t>副总裁、财务总监，并兼任久其政务董事长、久金保执行董事。 </w:t>
      </w:r>
      <w:r>
        <w:rPr>
          <w:rFonts w:ascii="Times New Roman" w:hAnsi="Times New Roman" w:cs="Times New Roman" w:eastAsia="Times New Roman" w:hint="default"/>
          <w:spacing w:val="-2"/>
        </w:rPr>
        <w:t>6</w:t>
      </w:r>
      <w:r>
        <w:rPr>
          <w:spacing w:val="-2"/>
        </w:rPr>
        <w:t>、王元京先生，</w:t>
      </w:r>
      <w:r>
        <w:rPr>
          <w:rFonts w:ascii="Times New Roman" w:hAnsi="Times New Roman" w:cs="Times New Roman" w:eastAsia="Times New Roman" w:hint="default"/>
          <w:spacing w:val="-2"/>
        </w:rPr>
        <w:t>1950</w:t>
      </w:r>
      <w:r>
        <w:rPr>
          <w:spacing w:val="-2"/>
        </w:rPr>
        <w:t>年</w:t>
      </w:r>
      <w:r>
        <w:rPr>
          <w:rFonts w:ascii="Times New Roman" w:hAnsi="Times New Roman" w:cs="Times New Roman" w:eastAsia="Times New Roman" w:hint="default"/>
          <w:spacing w:val="-2"/>
        </w:rPr>
        <w:t>1</w:t>
      </w:r>
      <w:r>
        <w:rPr>
          <w:spacing w:val="-2"/>
        </w:rPr>
        <w:t>月出生，本科学历，高级工程师。曾任北京市政府办公厅办公自动化室主任，北京市政府信息中心</w:t>
      </w:r>
      <w:r>
        <w:rPr>
          <w:spacing w:val="-61"/>
        </w:rPr>
        <w:t> </w:t>
      </w:r>
      <w:r>
        <w:rPr>
          <w:spacing w:val="-61"/>
        </w:rPr>
      </w:r>
      <w:r>
        <w:rPr>
          <w:spacing w:val="-2"/>
        </w:rPr>
        <w:t>主任，北京市信息技术与办公决策发展研究所所长，北京市无线电管理局副局长，北京无线电协会会长，华夏电通股份独立</w:t>
      </w:r>
      <w:r>
        <w:rPr>
          <w:spacing w:val="-66"/>
        </w:rPr>
        <w:t> </w:t>
      </w:r>
      <w:r>
        <w:rPr>
          <w:spacing w:val="-66"/>
        </w:rPr>
      </w:r>
      <w:r>
        <w:rPr/>
        <w:t>董事。现任公司独立董事。 </w:t>
      </w:r>
      <w:r>
        <w:rPr>
          <w:rFonts w:ascii="Times New Roman" w:hAnsi="Times New Roman" w:cs="Times New Roman" w:eastAsia="Times New Roman" w:hint="default"/>
          <w:spacing w:val="-2"/>
        </w:rPr>
        <w:t>7</w:t>
      </w:r>
      <w:r>
        <w:rPr>
          <w:spacing w:val="-2"/>
        </w:rPr>
        <w:t>、戴金平女士，</w:t>
      </w:r>
      <w:r>
        <w:rPr>
          <w:rFonts w:ascii="Times New Roman" w:hAnsi="Times New Roman" w:cs="Times New Roman" w:eastAsia="Times New Roman" w:hint="default"/>
          <w:spacing w:val="-2"/>
        </w:rPr>
        <w:t>1965</w:t>
      </w:r>
      <w:r>
        <w:rPr>
          <w:spacing w:val="-2"/>
        </w:rPr>
        <w:t>年</w:t>
      </w:r>
      <w:r>
        <w:rPr>
          <w:rFonts w:ascii="Times New Roman" w:hAnsi="Times New Roman" w:cs="Times New Roman" w:eastAsia="Times New Roman" w:hint="default"/>
          <w:spacing w:val="-2"/>
        </w:rPr>
        <w:t>1</w:t>
      </w:r>
      <w:r>
        <w:rPr>
          <w:spacing w:val="-2"/>
        </w:rPr>
        <w:t>月出生，研究生学历，博士生导师、教授。曾任南开大学深圳金融工程学院副院长，亿城集团股份</w:t>
      </w:r>
      <w:r>
        <w:rPr>
          <w:spacing w:val="-65"/>
        </w:rPr>
        <w:t> </w:t>
      </w:r>
      <w:r>
        <w:rPr>
          <w:spacing w:val="-65"/>
        </w:rPr>
      </w:r>
      <w:r>
        <w:rPr>
          <w:spacing w:val="-2"/>
        </w:rPr>
        <w:t>有限公司、百利电气股份有限公司、天津九安医疗电子股份有限公司、冀中能源股份有限公司、瑞普生物股份有限公司、和</w:t>
      </w:r>
      <w:r>
        <w:rPr>
          <w:spacing w:val="-66"/>
        </w:rPr>
        <w:t> </w:t>
      </w:r>
      <w:r>
        <w:rPr>
          <w:spacing w:val="-66"/>
        </w:rPr>
      </w:r>
      <w:r>
        <w:rPr/>
        <w:t>融期货有限责任公司、金谷期货有限公司独立董事。现任南开大学国家经济战略研究院副院长、跨国公司研究中心副主任、</w:t>
      </w:r>
      <w:r>
        <w:rPr>
          <w:spacing w:val="-85"/>
        </w:rPr>
        <w:t> </w:t>
      </w:r>
      <w:r>
        <w:rPr>
          <w:spacing w:val="-85"/>
        </w:rPr>
      </w:r>
      <w:r>
        <w:rPr>
          <w:spacing w:val="-2"/>
        </w:rPr>
        <w:t>国际经济研究所教授，北方国际信托股份有限公司、平安证券股份有限公司、天津国有资本投资运营有限公司独立董事，并</w:t>
      </w:r>
      <w:r>
        <w:rPr>
          <w:spacing w:val="-66"/>
        </w:rPr>
        <w:t> </w:t>
      </w:r>
      <w:r>
        <w:rPr>
          <w:spacing w:val="-66"/>
        </w:rPr>
      </w:r>
      <w:r>
        <w:rPr/>
        <w:t>兼任公司独立董事。 </w:t>
      </w:r>
      <w:r>
        <w:rPr>
          <w:rFonts w:ascii="Times New Roman" w:hAnsi="Times New Roman" w:cs="Times New Roman" w:eastAsia="Times New Roman" w:hint="default"/>
        </w:rPr>
        <w:t>8</w:t>
      </w:r>
      <w:r>
        <w:rPr/>
        <w:t>、李岳军先生，</w:t>
      </w:r>
      <w:r>
        <w:rPr>
          <w:rFonts w:ascii="Times New Roman" w:hAnsi="Times New Roman" w:cs="Times New Roman" w:eastAsia="Times New Roman" w:hint="default"/>
        </w:rPr>
        <w:t>1966</w:t>
      </w:r>
      <w:r>
        <w:rPr/>
        <w:t>年出生，本科学历，中国注册会计师。曾任中瑞岳华会计师事务所有限公司副董事长，中节能太阳能 </w:t>
      </w:r>
      <w:r>
        <w:rPr>
          <w:spacing w:val="-2"/>
        </w:rPr>
        <w:t>科技股份有限公司独立董事。现任中审众环会计师事务所（特殊普通合伙）合伙人，北京岳华中天房地产评估有限公司、首</w:t>
      </w:r>
      <w:r>
        <w:rPr>
          <w:spacing w:val="-66"/>
        </w:rPr>
        <w:t> </w:t>
      </w:r>
      <w:r>
        <w:rPr>
          <w:spacing w:val="-66"/>
        </w:rPr>
      </w:r>
      <w:r>
        <w:rPr/>
        <w:t>泰金信（北京）股权投资基金管理股份有限公司、岳华会计师事务所有限责任公司、众环（北京）管理股份有限公司董事，</w:t>
      </w:r>
      <w:r>
        <w:rPr>
          <w:spacing w:val="-85"/>
        </w:rPr>
        <w:t> </w:t>
      </w:r>
      <w:r>
        <w:rPr>
          <w:spacing w:val="-85"/>
        </w:rPr>
      </w:r>
      <w:r>
        <w:rPr>
          <w:spacing w:val="-2"/>
        </w:rPr>
        <w:t>丽日方中（北京）投资管理有限公司监事，沈阳惠天热电股份有限公司、北京煜邦电力技术股份有限公司、海口联合农村商</w:t>
      </w:r>
      <w:r>
        <w:rPr>
          <w:spacing w:val="-66"/>
        </w:rPr>
        <w:t> </w:t>
      </w:r>
      <w:r>
        <w:rPr>
          <w:spacing w:val="-66"/>
        </w:rPr>
      </w:r>
      <w:r>
        <w:rPr/>
        <w:t>业银行股份有限公司、唐山港集团股份有限公司独立董事，并兼任公司独立董事。</w:t>
      </w:r>
    </w:p>
    <w:p>
      <w:pPr>
        <w:spacing w:line="240" w:lineRule="auto" w:before="7"/>
        <w:rPr>
          <w:rFonts w:ascii="宋体" w:hAnsi="宋体" w:cs="宋体" w:eastAsia="宋体" w:hint="default"/>
          <w:sz w:val="25"/>
          <w:szCs w:val="25"/>
        </w:rPr>
      </w:pPr>
    </w:p>
    <w:p>
      <w:pPr>
        <w:pStyle w:val="BodyText"/>
        <w:spacing w:line="240" w:lineRule="auto"/>
        <w:ind w:right="0"/>
        <w:jc w:val="left"/>
      </w:pPr>
      <w:r>
        <w:rPr/>
        <w:t>（二）监事会成员</w:t>
      </w:r>
    </w:p>
    <w:p>
      <w:pPr>
        <w:pStyle w:val="BodyText"/>
        <w:spacing w:line="240" w:lineRule="auto" w:before="76"/>
        <w:ind w:right="0"/>
        <w:jc w:val="left"/>
      </w:pPr>
      <w:r>
        <w:rPr>
          <w:rFonts w:ascii="Times New Roman" w:hAnsi="Times New Roman" w:cs="Times New Roman" w:eastAsia="Times New Roman" w:hint="default"/>
        </w:rPr>
        <w:t>1</w:t>
      </w:r>
      <w:r>
        <w:rPr/>
        <w:t>、王劲岩女士，</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4</w:t>
      </w:r>
      <w:r>
        <w:rPr/>
        <w:t>月出生，本科学历。</w:t>
      </w:r>
      <w:r>
        <w:rPr>
          <w:rFonts w:ascii="Times New Roman" w:hAnsi="Times New Roman" w:cs="Times New Roman" w:eastAsia="Times New Roman" w:hint="default"/>
        </w:rPr>
        <w:t>1999</w:t>
      </w:r>
      <w:r>
        <w:rPr/>
        <w:t>年加入公司，现任公司监事会主席、工会主席。</w:t>
      </w:r>
    </w:p>
    <w:p>
      <w:pPr>
        <w:pStyle w:val="BodyText"/>
        <w:spacing w:line="240" w:lineRule="auto" w:before="63"/>
        <w:ind w:right="0"/>
        <w:jc w:val="left"/>
      </w:pPr>
      <w:r>
        <w:rPr>
          <w:rFonts w:ascii="Times New Roman" w:hAnsi="Times New Roman" w:cs="Times New Roman" w:eastAsia="Times New Roman" w:hint="default"/>
        </w:rPr>
        <w:t>2</w:t>
      </w:r>
      <w:r>
        <w:rPr/>
        <w:t>、曾超先生，</w:t>
      </w:r>
      <w:r>
        <w:rPr>
          <w:rFonts w:ascii="Times New Roman" w:hAnsi="Times New Roman" w:cs="Times New Roman" w:eastAsia="Times New Roman" w:hint="default"/>
        </w:rPr>
        <w:t>1978</w:t>
      </w:r>
      <w:r>
        <w:rPr/>
        <w:t>年</w:t>
      </w:r>
      <w:r>
        <w:rPr>
          <w:rFonts w:ascii="Times New Roman" w:hAnsi="Times New Roman" w:cs="Times New Roman" w:eastAsia="Times New Roman" w:hint="default"/>
        </w:rPr>
        <w:t>1</w:t>
      </w:r>
      <w:r>
        <w:rPr/>
        <w:t>月出生，本科学历。</w:t>
      </w:r>
      <w:r>
        <w:rPr>
          <w:rFonts w:ascii="Times New Roman" w:hAnsi="Times New Roman" w:cs="Times New Roman" w:eastAsia="Times New Roman" w:hint="default"/>
        </w:rPr>
        <w:t>1999</w:t>
      </w:r>
      <w:r>
        <w:rPr/>
        <w:t>年加入公司，现任公司监事、企业事业本部董事总经理。</w:t>
      </w:r>
    </w:p>
    <w:p>
      <w:pPr>
        <w:pStyle w:val="BodyText"/>
        <w:spacing w:line="240" w:lineRule="auto" w:before="63"/>
        <w:ind w:right="0"/>
        <w:jc w:val="left"/>
      </w:pPr>
      <w:r>
        <w:rPr>
          <w:rFonts w:ascii="Times New Roman" w:hAnsi="Times New Roman" w:cs="Times New Roman" w:eastAsia="Times New Roman" w:hint="default"/>
        </w:rPr>
        <w:t>3</w:t>
      </w:r>
      <w:r>
        <w:rPr/>
        <w:t>、蒋硕先生，</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1</w:t>
      </w:r>
      <w:r>
        <w:rPr/>
        <w:t>月出生，大专学历。</w:t>
      </w:r>
      <w:r>
        <w:rPr>
          <w:rFonts w:ascii="Times New Roman" w:hAnsi="Times New Roman" w:cs="Times New Roman" w:eastAsia="Times New Roman" w:hint="default"/>
        </w:rPr>
        <w:t>1999</w:t>
      </w:r>
      <w:r>
        <w:rPr/>
        <w:t>年加入公司，现任公司监事，就职于通信高科技事业部。</w:t>
      </w:r>
    </w:p>
    <w:p>
      <w:pPr>
        <w:spacing w:line="240" w:lineRule="auto" w:before="0"/>
        <w:rPr>
          <w:rFonts w:ascii="宋体" w:hAnsi="宋体" w:cs="宋体" w:eastAsia="宋体" w:hint="default"/>
          <w:sz w:val="18"/>
          <w:szCs w:val="18"/>
        </w:rPr>
      </w:pPr>
    </w:p>
    <w:p>
      <w:pPr>
        <w:pStyle w:val="BodyText"/>
        <w:spacing w:line="240" w:lineRule="auto" w:before="139"/>
        <w:ind w:right="0"/>
        <w:jc w:val="left"/>
      </w:pPr>
      <w:r>
        <w:rPr/>
        <w:t>（三）高级管理人员</w:t>
      </w:r>
    </w:p>
    <w:p>
      <w:pPr>
        <w:pStyle w:val="BodyText"/>
        <w:spacing w:line="240" w:lineRule="auto" w:before="76"/>
        <w:ind w:right="0"/>
        <w:jc w:val="left"/>
      </w:pPr>
      <w:r>
        <w:rPr>
          <w:rFonts w:ascii="Times New Roman" w:hAnsi="Times New Roman" w:cs="Times New Roman" w:eastAsia="Times New Roman" w:hint="default"/>
        </w:rPr>
        <w:t>1</w:t>
      </w:r>
      <w:r>
        <w:rPr/>
        <w:t>、施瑞丰先生简历见董事会成员简历。</w:t>
      </w:r>
    </w:p>
    <w:p>
      <w:pPr>
        <w:pStyle w:val="BodyText"/>
        <w:spacing w:line="240" w:lineRule="auto" w:before="63"/>
        <w:ind w:right="0"/>
        <w:jc w:val="left"/>
      </w:pPr>
      <w:r>
        <w:rPr>
          <w:rFonts w:ascii="Times New Roman" w:hAnsi="Times New Roman" w:cs="Times New Roman" w:eastAsia="Times New Roman" w:hint="default"/>
        </w:rPr>
        <w:t>2</w:t>
      </w:r>
      <w:r>
        <w:rPr/>
        <w:t>、欧阳曜先生简历见董事会成员简历。</w:t>
      </w:r>
    </w:p>
    <w:p>
      <w:pPr>
        <w:pStyle w:val="BodyText"/>
        <w:spacing w:line="240" w:lineRule="auto" w:before="63"/>
        <w:ind w:right="0"/>
        <w:jc w:val="left"/>
      </w:pPr>
      <w:r>
        <w:rPr>
          <w:rFonts w:ascii="Times New Roman" w:hAnsi="Times New Roman" w:cs="Times New Roman" w:eastAsia="Times New Roman" w:hint="default"/>
        </w:rPr>
        <w:t>3</w:t>
      </w:r>
      <w:r>
        <w:rPr/>
        <w:t>、邱安超先生简历见董事会成员简历。</w:t>
      </w:r>
    </w:p>
    <w:p>
      <w:pPr>
        <w:pStyle w:val="BodyText"/>
        <w:spacing w:line="309" w:lineRule="auto" w:before="63"/>
        <w:ind w:right="1118"/>
        <w:jc w:val="left"/>
      </w:pPr>
      <w:r>
        <w:rPr>
          <w:rFonts w:ascii="Times New Roman" w:hAnsi="Times New Roman" w:cs="Times New Roman" w:eastAsia="Times New Roman" w:hint="default"/>
          <w:spacing w:val="-2"/>
        </w:rPr>
        <w:t>4</w:t>
      </w:r>
      <w:r>
        <w:rPr>
          <w:spacing w:val="-2"/>
        </w:rPr>
        <w:t>、刘文圣先生，</w:t>
      </w:r>
      <w:r>
        <w:rPr>
          <w:rFonts w:ascii="Times New Roman" w:hAnsi="Times New Roman" w:cs="Times New Roman" w:eastAsia="Times New Roman" w:hint="default"/>
          <w:spacing w:val="-2"/>
        </w:rPr>
        <w:t>1974</w:t>
      </w:r>
      <w:r>
        <w:rPr>
          <w:spacing w:val="-2"/>
        </w:rPr>
        <w:t>年</w:t>
      </w:r>
      <w:r>
        <w:rPr>
          <w:rFonts w:ascii="Times New Roman" w:hAnsi="Times New Roman" w:cs="Times New Roman" w:eastAsia="Times New Roman" w:hint="default"/>
          <w:spacing w:val="-2"/>
        </w:rPr>
        <w:t>4</w:t>
      </w:r>
      <w:r>
        <w:rPr>
          <w:spacing w:val="-2"/>
        </w:rPr>
        <w:t>月出生，研究生学历。</w:t>
      </w:r>
      <w:r>
        <w:rPr>
          <w:rFonts w:ascii="Times New Roman" w:hAnsi="Times New Roman" w:cs="Times New Roman" w:eastAsia="Times New Roman" w:hint="default"/>
          <w:spacing w:val="-2"/>
        </w:rPr>
        <w:t>2002</w:t>
      </w:r>
      <w:r>
        <w:rPr>
          <w:spacing w:val="-2"/>
        </w:rPr>
        <w:t>年加入公司，现任久其软件副总裁、大数据研究院院长，并兼任久其智</w:t>
      </w:r>
      <w:r>
        <w:rPr>
          <w:spacing w:val="-60"/>
        </w:rPr>
        <w:t> </w:t>
      </w:r>
      <w:r>
        <w:rPr>
          <w:spacing w:val="-60"/>
        </w:rPr>
      </w:r>
      <w:r>
        <w:rPr/>
        <w:t>通、瑞意恒动董事。 </w:t>
      </w:r>
      <w:r>
        <w:rPr>
          <w:rFonts w:ascii="Times New Roman" w:hAnsi="Times New Roman" w:cs="Times New Roman" w:eastAsia="Times New Roman" w:hint="default"/>
        </w:rPr>
        <w:t>5</w:t>
      </w:r>
      <w:r>
        <w:rPr/>
        <w:t>、朱晓钧先生，</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3</w:t>
      </w:r>
      <w:r>
        <w:rPr/>
        <w:t>月出生，本科学历。</w:t>
      </w:r>
      <w:r>
        <w:rPr>
          <w:rFonts w:ascii="Times New Roman" w:hAnsi="Times New Roman" w:cs="Times New Roman" w:eastAsia="Times New Roman" w:hint="default"/>
        </w:rPr>
        <w:t>1999</w:t>
      </w:r>
      <w:r>
        <w:rPr/>
        <w:t>年加入公司，现任久其软件副总裁、通信高科技事业部总经理。</w:t>
      </w:r>
    </w:p>
    <w:p>
      <w:pPr>
        <w:pStyle w:val="BodyText"/>
        <w:spacing w:line="300" w:lineRule="auto" w:before="5"/>
        <w:ind w:right="1032"/>
        <w:jc w:val="left"/>
      </w:pPr>
      <w:r>
        <w:rPr>
          <w:rFonts w:ascii="Times New Roman" w:hAnsi="Times New Roman" w:cs="Times New Roman" w:eastAsia="Times New Roman" w:hint="default"/>
        </w:rPr>
        <w:t>6</w:t>
      </w:r>
      <w:r>
        <w:rPr/>
        <w:t>、王海霞女士，</w:t>
      </w:r>
      <w:r>
        <w:rPr>
          <w:rFonts w:ascii="Times New Roman" w:hAnsi="Times New Roman" w:cs="Times New Roman" w:eastAsia="Times New Roman" w:hint="default"/>
        </w:rPr>
        <w:t>1977</w:t>
      </w:r>
      <w:r>
        <w:rPr/>
        <w:t>年</w:t>
      </w:r>
      <w:r>
        <w:rPr>
          <w:rFonts w:ascii="Times New Roman" w:hAnsi="Times New Roman" w:cs="Times New Roman" w:eastAsia="Times New Roman" w:hint="default"/>
        </w:rPr>
        <w:t>4</w:t>
      </w:r>
      <w:r>
        <w:rPr/>
        <w:t>月出生，本科学历。</w:t>
      </w:r>
      <w:r>
        <w:rPr>
          <w:rFonts w:ascii="Times New Roman" w:hAnsi="Times New Roman" w:cs="Times New Roman" w:eastAsia="Times New Roman" w:hint="default"/>
        </w:rPr>
        <w:t>2001</w:t>
      </w:r>
      <w:r>
        <w:rPr/>
        <w:t>年加入公司，现任久其软件副总裁、董事会秘书，并兼任久其数字董事，</w:t>
      </w:r>
      <w:r>
        <w:rPr>
          <w:spacing w:val="-85"/>
        </w:rPr>
        <w:t> </w:t>
      </w:r>
      <w:r>
        <w:rPr>
          <w:spacing w:val="-85"/>
        </w:rPr>
      </w:r>
      <w:r>
        <w:rPr/>
        <w:t>海南久其、久金保、新疆久其监事。</w:t>
      </w:r>
    </w:p>
    <w:p>
      <w:pPr>
        <w:pStyle w:val="BodyText"/>
        <w:spacing w:line="240" w:lineRule="auto" w:before="72"/>
        <w:ind w:right="0"/>
        <w:jc w:val="left"/>
      </w:pPr>
      <w:r>
        <w:rPr/>
        <w:t>在股东单位任职情况</w:t>
      </w:r>
    </w:p>
    <w:p>
      <w:pPr>
        <w:pStyle w:val="BodyText"/>
        <w:spacing w:line="338" w:lineRule="auto" w:before="117"/>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栗军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中交信通网络科技有限公司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戴金平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北方国际信托股份有限公司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戴金平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平安证券股份有限公司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戴金平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天津国有资本投资运营有限公司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李岳军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沈阳惠天热电股份有限公司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李岳军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北京煜邦电力技术股份有限公司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李岳军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海口联合农村商业银行股份有限公司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李岳军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唐山港集团股份有限公司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8"/>
      <w:bookmarkEnd w:id="128"/>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pStyle w:val="BodyText"/>
        <w:spacing w:line="309" w:lineRule="auto" w:before="115"/>
        <w:ind w:right="1122"/>
        <w:jc w:val="left"/>
      </w:pPr>
      <w:r>
        <w:rPr>
          <w:rFonts w:ascii="Times New Roman" w:hAnsi="Times New Roman" w:cs="Times New Roman" w:eastAsia="Times New Roman" w:hint="default"/>
        </w:rPr>
        <w:t>1</w:t>
      </w:r>
      <w:r>
        <w:rPr/>
        <w:t>、公司董事会薪酬与考核委员会负责研究董事、高级管理人员考核的标准，根据董事、高级管理人员岗位职责制定薪酬方 案，审查公司董事、高级管理人员的履职情况并对其进行年度绩效考评。 </w:t>
      </w:r>
      <w:r>
        <w:rPr>
          <w:rFonts w:ascii="Times New Roman" w:hAnsi="Times New Roman" w:cs="Times New Roman" w:eastAsia="Times New Roman" w:hint="default"/>
        </w:rPr>
        <w:t>2</w:t>
      </w:r>
      <w:r>
        <w:rPr/>
        <w:t>、公司独立董事津贴标准按照由股东大会审议通过的《独立董事津贴办法》执行。</w:t>
      </w:r>
    </w:p>
    <w:p>
      <w:pPr>
        <w:pStyle w:val="BodyText"/>
        <w:spacing w:line="309" w:lineRule="auto" w:before="5"/>
        <w:ind w:right="1122"/>
        <w:jc w:val="left"/>
      </w:pPr>
      <w:r>
        <w:rPr>
          <w:rFonts w:ascii="Times New Roman" w:hAnsi="Times New Roman" w:cs="Times New Roman" w:eastAsia="Times New Roman" w:hint="default"/>
          <w:spacing w:val="-4"/>
        </w:rPr>
        <w:t>3</w:t>
      </w:r>
      <w:r>
        <w:rPr>
          <w:spacing w:val="-4"/>
        </w:rPr>
        <w:t>、公司董事、监事按照其在公司的任职情况，根据公司现行薪酬管理制度、绩效管理制度的规定领取薪酬；公司外部董事、</w:t>
      </w:r>
      <w:r>
        <w:rPr>
          <w:spacing w:val="-44"/>
        </w:rPr>
        <w:t> </w:t>
      </w:r>
      <w:r>
        <w:rPr>
          <w:spacing w:val="-44"/>
        </w:rPr>
      </w:r>
      <w:r>
        <w:rPr/>
        <w:t>监事经股东大会批准后可以领取津贴。 </w:t>
      </w:r>
      <w:r>
        <w:rPr>
          <w:rFonts w:ascii="Times New Roman" w:hAnsi="Times New Roman" w:cs="Times New Roman" w:eastAsia="Times New Roman" w:hint="default"/>
        </w:rPr>
        <w:t>4</w:t>
      </w:r>
      <w:r>
        <w:rPr/>
        <w:t>、根据公司《董事、监事和高级管理人员薪酬管理制度》的规定，公司董事长及高级管理人员的年度薪酬总额由基本年薪 </w:t>
      </w:r>
      <w:r>
        <w:rPr>
          <w:spacing w:val="-2"/>
        </w:rPr>
        <w:t>和浮动奖金两部分构成，根据个人工作职务及岗位级别确定其基本年薪；根据公司经营业绩及个人年度绩效考核结果确定其</w:t>
      </w:r>
      <w:r>
        <w:rPr>
          <w:spacing w:val="-64"/>
        </w:rPr>
        <w:t> </w:t>
      </w:r>
      <w:r>
        <w:rPr>
          <w:spacing w:val="-64"/>
        </w:rPr>
      </w:r>
      <w:r>
        <w:rPr/>
        <w:t>浮动奖金。</w:t>
      </w:r>
    </w:p>
    <w:p>
      <w:pPr>
        <w:pStyle w:val="BodyText"/>
        <w:spacing w:line="240" w:lineRule="auto" w:before="65"/>
        <w:ind w:right="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栗军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施瑞丰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欧阳曜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邱安超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董事、副总裁、 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王元京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韩凤岐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戴金平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李岳军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王劲岩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刘文圣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朱晓钧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王海霞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副总裁、董事会 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809.15</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公司董事、高级管理人员报告期内被授予的股权激励情况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9"/>
      <w:bookmarkEnd w:id="129"/>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30"/>
      <w:bookmarkEnd w:id="130"/>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8"/>
        <w:gridCol w:w="4790"/>
      </w:tblGrid>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1,514</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671</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2,894</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2,894</w:t>
            </w:r>
          </w:p>
        </w:tc>
      </w:tr>
      <w:tr>
        <w:trPr>
          <w:trHeight w:val="407"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4"/>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2"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1,988</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2,894</w:t>
            </w:r>
          </w:p>
        </w:tc>
      </w:tr>
      <w:tr>
        <w:trPr>
          <w:trHeight w:val="393"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2,114</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2,894</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薪酬政策" w:id="131"/>
      <w:bookmarkEnd w:id="131"/>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032"/>
        <w:jc w:val="left"/>
      </w:pPr>
      <w:r>
        <w:rPr/>
        <w:t>公司的薪酬政策与绩效考核挂钩，以业绩导向为原则，强调公司、责任中心业绩目标与员工个人绩效目标的一致性。同时，</w:t>
      </w:r>
      <w:r>
        <w:rPr>
          <w:spacing w:val="-85"/>
        </w:rPr>
        <w:t> </w:t>
      </w:r>
      <w:r>
        <w:rPr>
          <w:spacing w:val="-85"/>
        </w:rPr>
      </w:r>
      <w:r>
        <w:rPr>
          <w:spacing w:val="-2"/>
        </w:rPr>
        <w:t>注重</w:t>
      </w:r>
      <w:r>
        <w:rPr>
          <w:rFonts w:ascii="Times New Roman" w:hAnsi="Times New Roman" w:cs="Times New Roman" w:eastAsia="Times New Roman" w:hint="default"/>
          <w:spacing w:val="-2"/>
        </w:rPr>
        <w:t>“</w:t>
      </w:r>
      <w:r>
        <w:rPr>
          <w:spacing w:val="-2"/>
        </w:rPr>
        <w:t>外部均衡性、内部均衡性、个体均衡性</w:t>
      </w:r>
      <w:r>
        <w:rPr>
          <w:rFonts w:ascii="Times New Roman" w:hAnsi="Times New Roman" w:cs="Times New Roman" w:eastAsia="Times New Roman" w:hint="default"/>
          <w:spacing w:val="-2"/>
        </w:rPr>
        <w:t>”</w:t>
      </w:r>
      <w:r>
        <w:rPr>
          <w:spacing w:val="-2"/>
        </w:rPr>
        <w:t>，保证了员工薪酬的公平性和激励作用，以达到公司与员工共同进步、共同发</w:t>
      </w:r>
      <w:r>
        <w:rPr>
          <w:spacing w:val="-47"/>
        </w:rPr>
        <w:t> </w:t>
      </w:r>
      <w:r>
        <w:rPr>
          <w:spacing w:val="-47"/>
        </w:rPr>
      </w:r>
      <w:r>
        <w:rPr>
          <w:spacing w:val="-2"/>
        </w:rPr>
        <w:t>展的双赢目的。各业务主体围绕年度目标计划根据各自业务特点制定绩效考核标准，并通过重点工作事项、月度和季度经营</w:t>
      </w:r>
      <w:r>
        <w:rPr>
          <w:spacing w:val="-66"/>
        </w:rPr>
        <w:t> </w:t>
      </w:r>
      <w:r>
        <w:rPr>
          <w:spacing w:val="-66"/>
        </w:rPr>
      </w:r>
      <w:r>
        <w:rPr>
          <w:spacing w:val="-2"/>
        </w:rPr>
        <w:t>分析会议、员工评价指标统计等管理措施，实现对公司整体业绩的有效跟踪和管理，落实公司经营计划。并且公司通过项目</w:t>
      </w:r>
      <w:r>
        <w:rPr>
          <w:spacing w:val="-66"/>
        </w:rPr>
        <w:t> </w:t>
      </w:r>
      <w:r>
        <w:rPr>
          <w:spacing w:val="-66"/>
        </w:rPr>
      </w:r>
      <w:r>
        <w:rPr/>
        <w:t>激励、岗位激励以及股权激励计划等方式逐步推进多层次、差异化的薪酬与激励措施，有效调动了员工积极性。</w:t>
      </w:r>
    </w:p>
    <w:p>
      <w:pPr>
        <w:pStyle w:val="BodyText"/>
        <w:spacing w:line="319" w:lineRule="auto" w:before="62"/>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w:t>
      </w:r>
      <w:r>
        <w:rPr>
          <w:spacing w:val="-2"/>
        </w:rPr>
        <w:t>公司报告期内职工薪酬总额为</w:t>
      </w:r>
      <w:r>
        <w:rPr>
          <w:rFonts w:ascii="Times New Roman" w:hAnsi="Times New Roman" w:cs="Times New Roman" w:eastAsia="Times New Roman" w:hint="default"/>
          <w:spacing w:val="-2"/>
        </w:rPr>
        <w:t>61,584.89</w:t>
      </w:r>
      <w:r>
        <w:rPr>
          <w:spacing w:val="-2"/>
        </w:rPr>
        <w:t>万元，占公司成本总额的比重为</w:t>
      </w:r>
      <w:r>
        <w:rPr>
          <w:rFonts w:ascii="Times New Roman" w:hAnsi="Times New Roman" w:cs="Times New Roman" w:eastAsia="Times New Roman" w:hint="default"/>
          <w:spacing w:val="-2"/>
        </w:rPr>
        <w:t>17.27%</w:t>
      </w:r>
      <w:r>
        <w:rPr>
          <w:spacing w:val="-2"/>
        </w:rPr>
        <w:t>，公司利润对职工薪酬变化较为敏感。同时，</w:t>
      </w:r>
      <w:r>
        <w:rPr>
          <w:spacing w:val="-69"/>
        </w:rPr>
        <w:t> </w:t>
      </w:r>
      <w:r>
        <w:rPr>
          <w:spacing w:val="-69"/>
        </w:rPr>
      </w:r>
      <w:r>
        <w:rPr/>
        <w:t>公司报告期内核心技术人员共</w:t>
      </w:r>
      <w:r>
        <w:rPr>
          <w:rFonts w:ascii="Times New Roman" w:hAnsi="Times New Roman" w:cs="Times New Roman" w:eastAsia="Times New Roman" w:hint="default"/>
        </w:rPr>
        <w:t>149</w:t>
      </w:r>
      <w:r>
        <w:rPr/>
        <w:t>名，占人员总数的</w:t>
      </w:r>
      <w:r>
        <w:rPr>
          <w:rFonts w:ascii="Times New Roman" w:hAnsi="Times New Roman" w:cs="Times New Roman" w:eastAsia="Times New Roman" w:hint="default"/>
        </w:rPr>
        <w:t>5.15%</w:t>
      </w:r>
      <w:r>
        <w:rPr/>
        <w:t>，核心技术人员薪酬占比</w:t>
      </w:r>
      <w:r>
        <w:rPr>
          <w:rFonts w:ascii="Times New Roman" w:hAnsi="Times New Roman" w:cs="Times New Roman" w:eastAsia="Times New Roman" w:hint="default"/>
        </w:rPr>
        <w:t>7.58%</w:t>
      </w:r>
      <w:r>
        <w:rPr/>
        <w:t>。</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bookmarkStart w:name="3、培训计划" w:id="132"/>
      <w:bookmarkEnd w:id="132"/>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0"/>
        <w:jc w:val="left"/>
      </w:pPr>
      <w:r>
        <w:rPr>
          <w:spacing w:val="-2"/>
        </w:rPr>
        <w:t>公司教育中心负责制定并落实员工培训计划，在完善培训制度体系、讲师体系和课程体系的同时，通过全新上线的在线学习</w:t>
      </w:r>
      <w:r>
        <w:rPr>
          <w:spacing w:val="-66"/>
        </w:rPr>
        <w:t> </w:t>
      </w:r>
      <w:r>
        <w:rPr>
          <w:spacing w:val="-66"/>
        </w:rPr>
      </w:r>
      <w:r>
        <w:rPr/>
        <w:t>平台</w:t>
      </w:r>
      <w:r>
        <w:rPr>
          <w:rFonts w:ascii="Times New Roman" w:hAnsi="Times New Roman" w:cs="Times New Roman" w:eastAsia="Times New Roman" w:hint="default"/>
        </w:rPr>
        <w:t>——“</w:t>
      </w:r>
      <w:r>
        <w:rPr/>
        <w:t>久其云学堂</w:t>
      </w:r>
      <w:r>
        <w:rPr>
          <w:rFonts w:ascii="Times New Roman" w:hAnsi="Times New Roman" w:cs="Times New Roman" w:eastAsia="Times New Roman" w:hint="default"/>
        </w:rPr>
        <w:t>”</w:t>
      </w:r>
      <w:r>
        <w:rPr/>
        <w:t>，努力提升培训效率、扩大培训范围，建立</w:t>
      </w:r>
      <w:r>
        <w:rPr>
          <w:rFonts w:ascii="Times New Roman" w:hAnsi="Times New Roman" w:cs="Times New Roman" w:eastAsia="Times New Roman" w:hint="default"/>
        </w:rPr>
        <w:t>“</w:t>
      </w:r>
      <w:r>
        <w:rPr/>
        <w:t>学习型组织</w:t>
      </w:r>
      <w:r>
        <w:rPr>
          <w:rFonts w:ascii="Times New Roman" w:hAnsi="Times New Roman" w:cs="Times New Roman" w:eastAsia="Times New Roman" w:hint="default"/>
        </w:rPr>
        <w:t>”</w:t>
      </w:r>
      <w:r>
        <w:rPr/>
        <w:t>。根据年初制定的培训计划，教育中心落实 执行岗前培训和分支机构培训，并基于</w:t>
      </w:r>
      <w:r>
        <w:rPr>
          <w:rFonts w:ascii="Times New Roman" w:hAnsi="Times New Roman" w:cs="Times New Roman" w:eastAsia="Times New Roman" w:hint="default"/>
        </w:rPr>
        <w:t>“</w:t>
      </w:r>
      <w:r>
        <w:rPr/>
        <w:t>久其云学堂</w:t>
      </w:r>
      <w:r>
        <w:rPr>
          <w:rFonts w:ascii="Times New Roman" w:hAnsi="Times New Roman" w:cs="Times New Roman" w:eastAsia="Times New Roman" w:hint="default"/>
        </w:rPr>
        <w:t>”</w:t>
      </w:r>
      <w:r>
        <w:rPr/>
        <w:t>开展针对技术人员、管理人员的专题培训和针对全员的素质能力培训。</w:t>
      </w:r>
      <w:r>
        <w:rPr>
          <w:spacing w:val="-67"/>
        </w:rPr>
        <w:t> </w:t>
      </w:r>
      <w:r>
        <w:rPr>
          <w:spacing w:val="-67"/>
        </w:rPr>
      </w:r>
      <w:r>
        <w:rPr/>
        <w:t>面向全国分支机构，报告期内开设七期产品培训班，通过</w:t>
      </w:r>
      <w:r>
        <w:rPr>
          <w:rFonts w:ascii="Times New Roman" w:hAnsi="Times New Roman" w:cs="Times New Roman" w:eastAsia="Times New Roman" w:hint="default"/>
        </w:rPr>
        <w:t>“</w:t>
      </w:r>
      <w:r>
        <w:rPr/>
        <w:t>远程授课</w:t>
      </w:r>
      <w:r>
        <w:rPr>
          <w:rFonts w:ascii="Times New Roman" w:hAnsi="Times New Roman" w:cs="Times New Roman" w:eastAsia="Times New Roman" w:hint="default"/>
        </w:rPr>
        <w:t>+</w:t>
      </w:r>
      <w:r>
        <w:rPr/>
        <w:t>任务单</w:t>
      </w:r>
      <w:r>
        <w:rPr>
          <w:rFonts w:ascii="Times New Roman" w:hAnsi="Times New Roman" w:cs="Times New Roman" w:eastAsia="Times New Roman" w:hint="default"/>
        </w:rPr>
        <w:t>+</w:t>
      </w:r>
      <w:r>
        <w:rPr/>
        <w:t>视频资料</w:t>
      </w:r>
      <w:r>
        <w:rPr>
          <w:rFonts w:ascii="Times New Roman" w:hAnsi="Times New Roman" w:cs="Times New Roman" w:eastAsia="Times New Roman" w:hint="default"/>
        </w:rPr>
        <w:t>+</w:t>
      </w:r>
      <w:r>
        <w:rPr/>
        <w:t>答疑</w:t>
      </w:r>
      <w:r>
        <w:rPr>
          <w:rFonts w:ascii="Times New Roman" w:hAnsi="Times New Roman" w:cs="Times New Roman" w:eastAsia="Times New Roman" w:hint="default"/>
        </w:rPr>
        <w:t>”</w:t>
      </w:r>
      <w:r>
        <w:rPr/>
        <w:t>的方式，继续加强分支机构实 </w:t>
      </w:r>
      <w:r>
        <w:rPr>
          <w:spacing w:val="-2"/>
        </w:rPr>
        <w:t>施岗位技术人员的培养。还通过外部采购，为中高层管理人员提供管理培训，有效开拓和提升了中高层管理人员的战略视野</w:t>
      </w:r>
      <w:r>
        <w:rPr>
          <w:spacing w:val="-66"/>
        </w:rPr>
        <w:t> </w:t>
      </w:r>
      <w:r>
        <w:rPr>
          <w:spacing w:val="-66"/>
        </w:rPr>
      </w:r>
      <w:r>
        <w:rPr>
          <w:spacing w:val="-2"/>
        </w:rPr>
        <w:t>和经营格局，帮助公司加速构建适应集团化发展的管理人才体系。此外，教育中心还积极开展了校企合作，与哈尔滨工程大</w:t>
      </w:r>
      <w:r>
        <w:rPr>
          <w:spacing w:val="-66"/>
        </w:rPr>
        <w:t> </w:t>
      </w:r>
      <w:r>
        <w:rPr>
          <w:spacing w:val="-66"/>
        </w:rPr>
      </w:r>
      <w:r>
        <w:rPr>
          <w:spacing w:val="-2"/>
        </w:rPr>
        <w:t>学、北京交通大学、北京石油化工学院等高校开展了深度合作，通过课程共建、实习实训、培养基地共建等多种方式进行人</w:t>
      </w:r>
      <w:r>
        <w:rPr>
          <w:spacing w:val="-66"/>
        </w:rPr>
        <w:t> </w:t>
      </w:r>
      <w:r>
        <w:rPr>
          <w:spacing w:val="-66"/>
        </w:rPr>
      </w:r>
      <w:r>
        <w:rPr/>
        <w:t>才联合培养，在提升公司人才储备质量的同时，扩大了公司的影响力与品牌形象。</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bookmarkStart w:name="4、劳务外包情况" w:id="133"/>
      <w:bookmarkEnd w:id="133"/>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4248"/>
        <w:jc w:val="center"/>
        <w:rPr>
          <w:b w:val="0"/>
          <w:bCs w:val="0"/>
        </w:rPr>
      </w:pPr>
      <w:bookmarkStart w:name="第九节 公司治理" w:id="134"/>
      <w:bookmarkEnd w:id="134"/>
      <w:r>
        <w:rPr>
          <w:b w:val="0"/>
          <w:bCs w:val="0"/>
        </w:rPr>
      </w:r>
      <w:bookmarkStart w:name="_bookmark7" w:id="135"/>
      <w:bookmarkEnd w:id="135"/>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6"/>
      <w:bookmarkEnd w:id="136"/>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jc w:val="left"/>
      </w:pPr>
      <w:r>
        <w:rPr>
          <w:spacing w:val="-2"/>
        </w:rPr>
        <w:t>报告期内，公司严格按照《公司法》《证券法》《上市公司治理准则》《深圳证券交易所股票上市规则》《深圳证券交易所</w:t>
      </w:r>
      <w:r>
        <w:rPr>
          <w:spacing w:val="-67"/>
        </w:rPr>
        <w:t> </w:t>
      </w:r>
      <w:r>
        <w:rPr>
          <w:spacing w:val="-67"/>
        </w:rPr>
      </w:r>
      <w:r>
        <w:rPr/>
        <w:t>中小企业板上市公司规范运作指引》等相关法律、法规的规定，不断完善公司法人治理结构，健全内部控制体系。</w:t>
      </w:r>
    </w:p>
    <w:p>
      <w:pPr>
        <w:spacing w:line="240" w:lineRule="auto" w:before="4"/>
        <w:rPr>
          <w:rFonts w:ascii="宋体" w:hAnsi="宋体" w:cs="宋体" w:eastAsia="宋体" w:hint="default"/>
          <w:sz w:val="25"/>
          <w:szCs w:val="25"/>
        </w:rPr>
      </w:pPr>
    </w:p>
    <w:p>
      <w:pPr>
        <w:pStyle w:val="BodyText"/>
        <w:spacing w:line="309" w:lineRule="auto"/>
        <w:ind w:right="0"/>
        <w:jc w:val="left"/>
      </w:pPr>
      <w:r>
        <w:rPr>
          <w:rFonts w:ascii="Times New Roman" w:hAnsi="Times New Roman" w:cs="Times New Roman" w:eastAsia="Times New Roman" w:hint="default"/>
        </w:rPr>
        <w:t>1</w:t>
      </w:r>
      <w:r>
        <w:rPr/>
        <w:t>、关于股东与股东大会 </w:t>
      </w:r>
      <w:r>
        <w:rPr>
          <w:spacing w:val="-2"/>
        </w:rPr>
        <w:t>公司严格按照《公司法》《公司章程》及《股东大会议事规则》的要求，规范股东大会的召集、召开、提案提交及表决等程</w:t>
      </w:r>
      <w:r>
        <w:rPr>
          <w:spacing w:val="-69"/>
        </w:rPr>
        <w:t> </w:t>
      </w:r>
      <w:r>
        <w:rPr>
          <w:spacing w:val="-69"/>
        </w:rPr>
      </w:r>
      <w:r>
        <w:rPr/>
        <w:t>序，依法规范运作，保障股东的合法权益，确保股东特别是中小股东能够充分行使股东权利，未出现违法违规的情况。</w:t>
      </w:r>
    </w:p>
    <w:p>
      <w:pPr>
        <w:spacing w:line="240" w:lineRule="auto" w:before="9"/>
        <w:rPr>
          <w:rFonts w:ascii="宋体" w:hAnsi="宋体" w:cs="宋体" w:eastAsia="宋体" w:hint="default"/>
          <w:sz w:val="25"/>
          <w:szCs w:val="25"/>
        </w:rPr>
      </w:pPr>
    </w:p>
    <w:p>
      <w:pPr>
        <w:pStyle w:val="BodyText"/>
        <w:spacing w:line="309" w:lineRule="auto"/>
        <w:ind w:right="0"/>
        <w:jc w:val="left"/>
      </w:pPr>
      <w:r>
        <w:rPr>
          <w:rFonts w:ascii="Times New Roman" w:hAnsi="Times New Roman" w:cs="Times New Roman" w:eastAsia="Times New Roman" w:hint="default"/>
        </w:rPr>
        <w:t>2</w:t>
      </w:r>
      <w:r>
        <w:rPr/>
        <w:t>、关于公司与控股股东 </w:t>
      </w:r>
      <w:r>
        <w:rPr>
          <w:spacing w:val="-2"/>
        </w:rPr>
        <w:t>公司拥有独立的业务和经营自主能力，在业务、人员、资产、机构、财务上独立于控股股东，公司董事会、监事会和内部机</w:t>
      </w:r>
      <w:r>
        <w:rPr>
          <w:spacing w:val="-72"/>
        </w:rPr>
        <w:t> </w:t>
      </w:r>
      <w:r>
        <w:rPr>
          <w:spacing w:val="-72"/>
        </w:rPr>
      </w:r>
      <w:r>
        <w:rPr/>
        <w:t>构独立运作。公司控股股东能严格规范自己的行为，没有超越公司股东大会直接或间接干预公司决策和经营活动的行为。</w:t>
      </w:r>
    </w:p>
    <w:p>
      <w:pPr>
        <w:spacing w:line="240" w:lineRule="auto" w:before="9"/>
        <w:rPr>
          <w:rFonts w:ascii="宋体" w:hAnsi="宋体" w:cs="宋体" w:eastAsia="宋体" w:hint="default"/>
          <w:sz w:val="25"/>
          <w:szCs w:val="25"/>
        </w:rPr>
      </w:pPr>
    </w:p>
    <w:p>
      <w:pPr>
        <w:pStyle w:val="BodyText"/>
        <w:spacing w:line="312" w:lineRule="auto"/>
        <w:ind w:right="0"/>
        <w:jc w:val="left"/>
      </w:pPr>
      <w:r>
        <w:rPr>
          <w:rFonts w:ascii="Times New Roman" w:hAnsi="Times New Roman" w:cs="Times New Roman" w:eastAsia="Times New Roman" w:hint="default"/>
        </w:rPr>
        <w:t>3</w:t>
      </w:r>
      <w:r>
        <w:rPr/>
        <w:t>、关于董事和董事会 </w:t>
      </w:r>
      <w:r>
        <w:rPr>
          <w:spacing w:val="-2"/>
        </w:rPr>
        <w:t>截至报告期末，公司董事会由</w:t>
      </w:r>
      <w:r>
        <w:rPr>
          <w:rFonts w:ascii="Times New Roman" w:hAnsi="Times New Roman" w:cs="Times New Roman" w:eastAsia="Times New Roman" w:hint="default"/>
          <w:spacing w:val="-2"/>
        </w:rPr>
        <w:t>8</w:t>
      </w:r>
      <w:r>
        <w:rPr>
          <w:spacing w:val="-2"/>
        </w:rPr>
        <w:t>名董事组成，其中独立董事</w:t>
      </w:r>
      <w:r>
        <w:rPr>
          <w:rFonts w:ascii="Times New Roman" w:hAnsi="Times New Roman" w:cs="Times New Roman" w:eastAsia="Times New Roman" w:hint="default"/>
          <w:spacing w:val="-2"/>
        </w:rPr>
        <w:t>3</w:t>
      </w:r>
      <w:r>
        <w:rPr>
          <w:spacing w:val="-2"/>
        </w:rPr>
        <w:t>名。董事会的人数及人员构成符合相关法律、法规的要求。董事</w:t>
      </w:r>
      <w:r>
        <w:rPr>
          <w:spacing w:val="-64"/>
        </w:rPr>
        <w:t> </w:t>
      </w:r>
      <w:r>
        <w:rPr>
          <w:spacing w:val="-64"/>
        </w:rPr>
      </w:r>
      <w:r>
        <w:rPr>
          <w:spacing w:val="-2"/>
        </w:rPr>
        <w:t>会按照《公司法》《董事会议事规则》及《深圳证券交易所中小企业板上市公司规范运作指引》的要求召集组织会议，全体</w:t>
      </w:r>
      <w:r>
        <w:rPr>
          <w:spacing w:val="-70"/>
        </w:rPr>
        <w:t> </w:t>
      </w:r>
      <w:r>
        <w:rPr>
          <w:spacing w:val="-70"/>
        </w:rPr>
      </w:r>
      <w:r>
        <w:rPr/>
        <w:t>董事能够依法行使职权，认真履行董事诚实守信、勤勉尽责的义务，认真出席董事会和股东大会。 </w:t>
      </w:r>
      <w:r>
        <w:rPr>
          <w:spacing w:val="-2"/>
        </w:rPr>
        <w:t>董事会下设的战略发展委员会、审计委员会、薪酬与考核委员会和提名委员会，能够严格按照有关议事规则的要求召集并组</w:t>
      </w:r>
      <w:r>
        <w:rPr>
          <w:spacing w:val="-66"/>
        </w:rPr>
        <w:t> </w:t>
      </w:r>
      <w:r>
        <w:rPr>
          <w:spacing w:val="-66"/>
        </w:rPr>
      </w:r>
      <w:r>
        <w:rPr>
          <w:spacing w:val="-2"/>
        </w:rPr>
        <w:t>织会议，在董事会授权范围内，积极发挥专门委员会的专业作用，协助董事会履行职责，有效提升了董事会的履职能力，进</w:t>
      </w:r>
      <w:r>
        <w:rPr>
          <w:spacing w:val="-66"/>
        </w:rPr>
        <w:t> </w:t>
      </w:r>
      <w:r>
        <w:rPr>
          <w:spacing w:val="-66"/>
        </w:rPr>
      </w:r>
      <w:r>
        <w:rPr/>
        <w:t>一步完善了公司治理结构。</w:t>
      </w:r>
    </w:p>
    <w:p>
      <w:pPr>
        <w:spacing w:line="240" w:lineRule="auto" w:before="7"/>
        <w:rPr>
          <w:rFonts w:ascii="宋体" w:hAnsi="宋体" w:cs="宋体" w:eastAsia="宋体" w:hint="default"/>
          <w:sz w:val="25"/>
          <w:szCs w:val="25"/>
        </w:rPr>
      </w:pPr>
    </w:p>
    <w:p>
      <w:pPr>
        <w:pStyle w:val="BodyText"/>
        <w:spacing w:line="307" w:lineRule="auto"/>
        <w:ind w:right="0"/>
        <w:jc w:val="left"/>
      </w:pPr>
      <w:r>
        <w:rPr>
          <w:rFonts w:ascii="Times New Roman" w:hAnsi="Times New Roman" w:cs="Times New Roman" w:eastAsia="Times New Roman" w:hint="default"/>
        </w:rPr>
        <w:t>4</w:t>
      </w:r>
      <w:r>
        <w:rPr/>
        <w:t>、关于监事和监事会 </w:t>
      </w:r>
      <w:r>
        <w:rPr>
          <w:spacing w:val="-2"/>
        </w:rPr>
        <w:t>公司监事会设监事</w:t>
      </w:r>
      <w:r>
        <w:rPr>
          <w:rFonts w:ascii="Times New Roman" w:hAnsi="Times New Roman" w:cs="Times New Roman" w:eastAsia="Times New Roman" w:hint="default"/>
          <w:spacing w:val="-2"/>
        </w:rPr>
        <w:t>3</w:t>
      </w:r>
      <w:r>
        <w:rPr>
          <w:spacing w:val="-2"/>
        </w:rPr>
        <w:t>名，其中职工代表监事</w:t>
      </w:r>
      <w:r>
        <w:rPr>
          <w:rFonts w:ascii="Times New Roman" w:hAnsi="Times New Roman" w:cs="Times New Roman" w:eastAsia="Times New Roman" w:hint="default"/>
          <w:spacing w:val="-2"/>
        </w:rPr>
        <w:t>1</w:t>
      </w:r>
      <w:r>
        <w:rPr>
          <w:spacing w:val="-2"/>
        </w:rPr>
        <w:t>名，监事会的人数和构成符合相关法律、法规的要求。监事会严格按照《公司章</w:t>
      </w:r>
      <w:r>
        <w:rPr>
          <w:spacing w:val="-65"/>
        </w:rPr>
        <w:t> </w:t>
      </w:r>
      <w:r>
        <w:rPr>
          <w:spacing w:val="-65"/>
        </w:rPr>
      </w:r>
      <w:r>
        <w:rPr>
          <w:spacing w:val="-2"/>
        </w:rPr>
        <w:t>程》和《监事会议事规则》要求，对公司财务状况、董事会专门委员会及董事、独立董事、高级管理人员履职的合法合规性</w:t>
      </w:r>
      <w:r>
        <w:rPr>
          <w:spacing w:val="-72"/>
        </w:rPr>
        <w:t> </w:t>
      </w:r>
      <w:r>
        <w:rPr>
          <w:spacing w:val="-72"/>
        </w:rPr>
      </w:r>
      <w:r>
        <w:rPr/>
        <w:t>进行了监督，切实履行了职责。</w:t>
      </w:r>
    </w:p>
    <w:p>
      <w:pPr>
        <w:spacing w:line="240" w:lineRule="auto" w:before="11"/>
        <w:rPr>
          <w:rFonts w:ascii="宋体" w:hAnsi="宋体" w:cs="宋体" w:eastAsia="宋体" w:hint="default"/>
          <w:sz w:val="25"/>
          <w:szCs w:val="25"/>
        </w:rPr>
      </w:pPr>
    </w:p>
    <w:p>
      <w:pPr>
        <w:pStyle w:val="BodyText"/>
        <w:spacing w:line="312" w:lineRule="auto"/>
        <w:ind w:right="1032"/>
        <w:jc w:val="left"/>
      </w:pPr>
      <w:r>
        <w:rPr>
          <w:rFonts w:ascii="Times New Roman" w:hAnsi="Times New Roman" w:cs="Times New Roman" w:eastAsia="Times New Roman" w:hint="default"/>
        </w:rPr>
        <w:t>5</w:t>
      </w:r>
      <w:r>
        <w:rPr/>
        <w:t>、关于内部审计工作 公司按照《公司法》《审计法》《审计署关于内部审计工作的规定》《深圳证券交易所中小企业板上市公司规范运作指引》</w:t>
      </w:r>
      <w:r>
        <w:rPr>
          <w:spacing w:val="-85"/>
        </w:rPr>
        <w:t> </w:t>
      </w:r>
      <w:r>
        <w:rPr>
          <w:spacing w:val="-85"/>
        </w:rPr>
      </w:r>
      <w:r>
        <w:rPr>
          <w:spacing w:val="-2"/>
        </w:rPr>
        <w:t>的要求，制定了《内部审计制度》，设立了审计部，并配备了专职的内部审计人员，对公司日常运营进行有效监控，并对公</w:t>
      </w:r>
      <w:r>
        <w:rPr>
          <w:spacing w:val="-72"/>
        </w:rPr>
        <w:t> </w:t>
      </w:r>
      <w:r>
        <w:rPr>
          <w:spacing w:val="-72"/>
        </w:rPr>
      </w:r>
      <w:r>
        <w:rPr/>
        <w:t>司内控的完整性、合理性及其实施的有效性进行检查和评估。</w:t>
      </w:r>
    </w:p>
    <w:p>
      <w:pPr>
        <w:spacing w:line="240" w:lineRule="auto" w:before="7"/>
        <w:rPr>
          <w:rFonts w:ascii="宋体" w:hAnsi="宋体" w:cs="宋体" w:eastAsia="宋体" w:hint="default"/>
          <w:sz w:val="25"/>
          <w:szCs w:val="25"/>
        </w:rPr>
      </w:pPr>
    </w:p>
    <w:p>
      <w:pPr>
        <w:pStyle w:val="BodyText"/>
        <w:spacing w:line="309" w:lineRule="auto"/>
        <w:ind w:right="1127"/>
        <w:jc w:val="left"/>
      </w:pPr>
      <w:r>
        <w:rPr>
          <w:rFonts w:ascii="Times New Roman" w:hAnsi="Times New Roman" w:cs="Times New Roman" w:eastAsia="Times New Roman" w:hint="default"/>
        </w:rPr>
        <w:t>6</w:t>
      </w:r>
      <w:r>
        <w:rPr/>
        <w:t>、关于相关利益者 </w:t>
      </w:r>
      <w:r>
        <w:rPr>
          <w:spacing w:val="-5"/>
        </w:rPr>
        <w:t>公司充分尊重和维护相关利益者的合法权益，实现社会、股东、公司、员工等各方利益的协调平衡，诚信对待供应商和客户，</w:t>
      </w:r>
      <w:r>
        <w:rPr>
          <w:spacing w:val="-78"/>
        </w:rPr>
        <w:t> </w:t>
      </w:r>
      <w:r>
        <w:rPr>
          <w:spacing w:val="-78"/>
        </w:rPr>
      </w:r>
      <w:r>
        <w:rPr/>
        <w:t>坚持与相关利益者互利共赢的原则，共同推动公司持续、稳健发展。</w:t>
      </w:r>
    </w:p>
    <w:p>
      <w:pPr>
        <w:spacing w:line="240" w:lineRule="auto" w:before="9"/>
        <w:rPr>
          <w:rFonts w:ascii="宋体" w:hAnsi="宋体" w:cs="宋体" w:eastAsia="宋体" w:hint="default"/>
          <w:sz w:val="25"/>
          <w:szCs w:val="25"/>
        </w:rPr>
      </w:pPr>
    </w:p>
    <w:p>
      <w:pPr>
        <w:pStyle w:val="BodyText"/>
        <w:spacing w:line="314" w:lineRule="auto"/>
        <w:ind w:right="0"/>
        <w:jc w:val="left"/>
      </w:pPr>
      <w:r>
        <w:rPr>
          <w:rFonts w:ascii="Times New Roman" w:hAnsi="Times New Roman" w:cs="Times New Roman" w:eastAsia="Times New Roman" w:hint="default"/>
        </w:rPr>
        <w:t>7</w:t>
      </w:r>
      <w:r>
        <w:rPr/>
        <w:t>、关于信息披露与投资者关系管理 </w:t>
      </w:r>
      <w:r>
        <w:rPr>
          <w:spacing w:val="-2"/>
        </w:rPr>
        <w:t>公司严格按照中国证监会《上市公司信息披露管理办法》《深圳证券交易所中小企业板上市公司规范运作指引》的规定，以</w:t>
      </w:r>
      <w:r>
        <w:rPr>
          <w:spacing w:val="-66"/>
        </w:rPr>
        <w:t> </w:t>
      </w:r>
      <w:r>
        <w:rPr>
          <w:spacing w:val="-66"/>
        </w:rPr>
      </w:r>
      <w:r>
        <w:rPr>
          <w:spacing w:val="-2"/>
        </w:rPr>
        <w:t>及公司《信息披露制度》《投资者关系管理制度》的要求，履行信息披露义务。公司董事会秘书为信息披露及投资者关系管</w:t>
      </w:r>
      <w:r>
        <w:rPr>
          <w:spacing w:val="-67"/>
        </w:rPr>
        <w:t> </w:t>
      </w:r>
      <w:r>
        <w:rPr>
          <w:spacing w:val="-67"/>
        </w:rPr>
      </w:r>
      <w:r>
        <w:rPr>
          <w:spacing w:val="-2"/>
        </w:rPr>
        <w:t>理的负责人，通过采用投资者专线电话、电子邮箱、现场接待及深圳证券交易所互动易平台等多种方式，实现与广大投资者</w:t>
      </w:r>
      <w:r>
        <w:rPr>
          <w:spacing w:val="-66"/>
        </w:rPr>
        <w:t> </w:t>
      </w:r>
      <w:r>
        <w:rPr>
          <w:spacing w:val="-66"/>
        </w:rPr>
      </w:r>
      <w:r>
        <w:rPr>
          <w:spacing w:val="-2"/>
        </w:rPr>
        <w:t>及时、高效的沟通；并及时通过互动易平台向广大股东展示投资者关系活动记录表，着力于提高公司信息披露的透明度及公</w:t>
      </w:r>
    </w:p>
    <w:p>
      <w:pPr>
        <w:spacing w:after="0" w:line="314"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0" w:lineRule="auto" w:before="44"/>
        <w:ind w:right="1187"/>
        <w:jc w:val="left"/>
      </w:pPr>
      <w:r>
        <w:rPr/>
        <w:t>平性。《中国证券报》《证券时报》为公司信息披露的指定报纸，巨潮资讯网（</w:t>
      </w:r>
      <w:hyperlink r:id="rId13">
        <w:r>
          <w:rPr>
            <w:rFonts w:ascii="Times New Roman" w:hAnsi="Times New Roman" w:cs="Times New Roman" w:eastAsia="Times New Roman" w:hint="default"/>
          </w:rPr>
          <w:t>www.cninfo.com.cn</w:t>
        </w:r>
      </w:hyperlink>
      <w:r>
        <w:rPr/>
        <w:t>）为公司信息披露的指 定网站，严格按照有关规定真实、准确、完整、及时地披露有关信息，确保公司所有股东能够平等地获得信息。</w:t>
      </w:r>
    </w:p>
    <w:p>
      <w:pPr>
        <w:pStyle w:val="BodyText"/>
        <w:spacing w:line="240" w:lineRule="auto" w:before="72"/>
        <w:ind w:right="0"/>
        <w:jc w:val="left"/>
      </w:pPr>
      <w:r>
        <w:rPr/>
        <w:t>公司治理的实际状况与中国证监会发布的有关上市公司治理的规范性文件是否存在重大差异</w:t>
      </w:r>
    </w:p>
    <w:p>
      <w:pPr>
        <w:pStyle w:val="BodyText"/>
        <w:spacing w:line="338" w:lineRule="auto" w:before="117"/>
        <w:ind w:right="35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7"/>
      <w:bookmarkEnd w:id="137"/>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公司的控股股东是北京久其科技投资有限公司。该控股股东行为规范，没有超越股东大会直接或通过其他途径间接干预公司</w:t>
      </w:r>
      <w:r>
        <w:rPr>
          <w:spacing w:val="-64"/>
        </w:rPr>
        <w:t> </w:t>
      </w:r>
      <w:r>
        <w:rPr>
          <w:spacing w:val="-64"/>
        </w:rPr>
      </w:r>
      <w:r>
        <w:rPr>
          <w:spacing w:val="-2"/>
        </w:rPr>
        <w:t>的决策和经营活动。公司董事会、监事会、经理会能够独立运作，公司与控股股东在业务、人员、资产、机构、财务等方面</w:t>
      </w:r>
      <w:r>
        <w:rPr>
          <w:spacing w:val="-67"/>
        </w:rPr>
        <w:t> </w:t>
      </w:r>
      <w:r>
        <w:rPr>
          <w:spacing w:val="-67"/>
        </w:rPr>
      </w:r>
      <w:r>
        <w:rPr/>
        <w:t>完全分开，具有独立完整的业务及自主经营能力。 </w:t>
      </w:r>
      <w:r>
        <w:rPr>
          <w:spacing w:val="-2"/>
        </w:rPr>
        <w:t>业务独立情况：公司独立从事业务经营，拥有独立产品研发、销售采购和技术服务运作体系和独立的商标权、著作权等知识</w:t>
      </w:r>
      <w:r>
        <w:rPr>
          <w:spacing w:val="-66"/>
        </w:rPr>
        <w:t> </w:t>
      </w:r>
      <w:r>
        <w:rPr>
          <w:spacing w:val="-66"/>
        </w:rPr>
      </w:r>
      <w:r>
        <w:rPr/>
        <w:t>产权，与控股股东及其关联企业不存在依赖关系。 人员独立情况：公司的人事管理和绩效管理完全独立，与控股股东及其关联企业不存在依赖关系。 </w:t>
      </w:r>
      <w:r>
        <w:rPr>
          <w:spacing w:val="-2"/>
        </w:rPr>
        <w:t>资产独立情况：公司所拥有的生产经营场所房屋所有权、土地使用权、相关配套设施、工业产权和非专利技术等有形和无形</w:t>
      </w:r>
      <w:r>
        <w:rPr>
          <w:spacing w:val="-66"/>
        </w:rPr>
        <w:t> </w:t>
      </w:r>
      <w:r>
        <w:rPr>
          <w:spacing w:val="-66"/>
        </w:rPr>
      </w:r>
      <w:r>
        <w:rPr/>
        <w:t>资产完全独立于控股股东及其关联企业。 机构独立情况：公司与控股股东及其关联企业在机构设置方面不存在交叉关联及上下级关系情况。 </w:t>
      </w:r>
      <w:r>
        <w:rPr>
          <w:spacing w:val="-2"/>
        </w:rPr>
        <w:t>财务独立情况：公司拥有独立的财务会计部门，独立的会计核算体系和财务管理制度。公司独立做出财务决策，并拥有独立</w:t>
      </w:r>
      <w:r>
        <w:rPr>
          <w:spacing w:val="-66"/>
        </w:rPr>
        <w:t> </w:t>
      </w:r>
      <w:r>
        <w:rPr>
          <w:spacing w:val="-66"/>
        </w:rPr>
      </w:r>
      <w:r>
        <w:rPr/>
        <w:t>银行账户，依法独立纳税。</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三、同业竞争情况" w:id="138"/>
      <w:bookmarkEnd w:id="138"/>
      <w:r>
        <w:rPr>
          <w:b w:val="0"/>
          <w:bCs w:val="0"/>
        </w:rPr>
      </w:r>
      <w:r>
        <w:rPr/>
        <w:t>三、同业竞争情况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9"/>
      <w:bookmarkEnd w:id="139"/>
      <w:r>
        <w:rPr>
          <w:b w:val="0"/>
          <w:bCs w:val="0"/>
        </w:rPr>
      </w:r>
      <w:r>
        <w:rPr/>
        <w:t>四、报告期内召开的年度股东大会和临时股东大会的有关情况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40"/>
      <w:bookmarkEnd w:id="140"/>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1"/>
        <w:rPr>
          <w:rFonts w:ascii="宋体" w:hAnsi="宋体" w:cs="宋体" w:eastAsia="宋体" w:hint="default"/>
          <w:b/>
          <w:bCs/>
          <w:sz w:val="2"/>
          <w:szCs w:val="2"/>
        </w:rPr>
      </w:pPr>
    </w:p>
    <w:tbl>
      <w:tblPr>
        <w:tblW w:w="0" w:type="auto"/>
        <w:jc w:val="left"/>
        <w:tblInd w:w="149" w:type="dxa"/>
        <w:tblLayout w:type="fixed"/>
        <w:tblCellMar>
          <w:top w:w="0" w:type="dxa"/>
          <w:left w:w="0" w:type="dxa"/>
          <w:bottom w:w="0" w:type="dxa"/>
          <w:right w:w="0" w:type="dxa"/>
        </w:tblCellMar>
        <w:tblLook w:val="01E0"/>
      </w:tblPr>
      <w:tblGrid>
        <w:gridCol w:w="1320"/>
        <w:gridCol w:w="677"/>
        <w:gridCol w:w="956"/>
        <w:gridCol w:w="968"/>
        <w:gridCol w:w="967"/>
        <w:gridCol w:w="4779"/>
      </w:tblGrid>
      <w:tr>
        <w:trPr>
          <w:trHeight w:val="713" w:hRule="exact"/>
        </w:trPr>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9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3" w:right="61" w:hanging="180"/>
              <w:jc w:val="left"/>
              <w:rPr>
                <w:rFonts w:ascii="宋体" w:hAnsi="宋体" w:cs="宋体" w:eastAsia="宋体" w:hint="default"/>
                <w:sz w:val="18"/>
                <w:szCs w:val="18"/>
              </w:rPr>
            </w:pPr>
            <w:r>
              <w:rPr>
                <w:rFonts w:ascii="宋体" w:hAnsi="宋体" w:cs="宋体" w:eastAsia="宋体" w:hint="default"/>
                <w:sz w:val="18"/>
                <w:szCs w:val="18"/>
              </w:rPr>
              <w:t>会议类 型</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23" w:hanging="270"/>
              <w:jc w:val="left"/>
              <w:rPr>
                <w:rFonts w:ascii="宋体" w:hAnsi="宋体" w:cs="宋体" w:eastAsia="宋体" w:hint="default"/>
                <w:sz w:val="18"/>
                <w:szCs w:val="18"/>
              </w:rPr>
            </w:pPr>
            <w:r>
              <w:rPr>
                <w:rFonts w:ascii="宋体" w:hAnsi="宋体" w:cs="宋体" w:eastAsia="宋体" w:hint="default"/>
                <w:sz w:val="18"/>
                <w:szCs w:val="18"/>
              </w:rPr>
              <w:t>投资者参与 比例</w:t>
            </w:r>
          </w:p>
        </w:tc>
        <w:tc>
          <w:tcPr>
            <w:tcW w:w="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 临时股东大会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2"/>
              <w:jc w:val="left"/>
              <w:rPr>
                <w:rFonts w:ascii="宋体" w:hAnsi="宋体" w:cs="宋体" w:eastAsia="宋体" w:hint="default"/>
                <w:sz w:val="18"/>
                <w:szCs w:val="18"/>
              </w:rPr>
            </w:pPr>
            <w:r>
              <w:rPr>
                <w:rFonts w:ascii="宋体" w:hAnsi="宋体" w:cs="宋体" w:eastAsia="宋体" w:hint="default"/>
                <w:sz w:val="18"/>
                <w:szCs w:val="18"/>
              </w:rPr>
              <w:t>临时股 东大会</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45.10%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年第一次临时股东大会决议公告</w:t>
            </w:r>
            <w:r>
              <w:rPr>
                <w:rFonts w:ascii="宋体" w:hAnsi="宋体" w:cs="宋体" w:eastAsia="宋体" w:hint="default"/>
                <w:spacing w:val="-90"/>
                <w:sz w:val="18"/>
                <w:szCs w:val="18"/>
              </w:rPr>
              <w:t>》</w:t>
            </w:r>
            <w:r>
              <w:rPr>
                <w:rFonts w:ascii="宋体" w:hAnsi="宋体" w:cs="宋体" w:eastAsia="宋体" w:hint="default"/>
                <w:sz w:val="18"/>
                <w:szCs w:val="18"/>
              </w:rPr>
              <w:t>（公告编号</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2018-007</w:t>
            </w:r>
            <w:r>
              <w:rPr>
                <w:rFonts w:ascii="宋体" w:hAnsi="宋体" w:cs="宋体" w:eastAsia="宋体" w:hint="default"/>
                <w:sz w:val="18"/>
                <w:szCs w:val="18"/>
              </w:rPr>
              <w:t>）已披露于巨潮资讯网</w:t>
            </w:r>
            <w:r>
              <w:rPr>
                <w:rFonts w:ascii="宋体" w:hAnsi="宋体" w:cs="宋体" w:eastAsia="宋体" w:hint="default"/>
                <w:spacing w:val="-61"/>
                <w:sz w:val="18"/>
                <w:szCs w:val="18"/>
              </w:rPr>
              <w:t> </w:t>
            </w:r>
            <w:hyperlink r:id="rId13">
              <w:r>
                <w:rPr>
                  <w:rFonts w:ascii="Times New Roman" w:hAnsi="Times New Roman" w:cs="Times New Roman" w:eastAsia="Times New Roman" w:hint="default"/>
                  <w:sz w:val="18"/>
                  <w:szCs w:val="18"/>
                </w:rPr>
                <w:t>www.cninfo.com.cn</w:t>
              </w:r>
            </w:hyperlink>
          </w:p>
        </w:tc>
      </w:tr>
      <w:tr>
        <w:trPr>
          <w:trHeight w:val="714"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 临时股东大会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2"/>
              <w:jc w:val="left"/>
              <w:rPr>
                <w:rFonts w:ascii="宋体" w:hAnsi="宋体" w:cs="宋体" w:eastAsia="宋体" w:hint="default"/>
                <w:sz w:val="18"/>
                <w:szCs w:val="18"/>
              </w:rPr>
            </w:pPr>
            <w:r>
              <w:rPr>
                <w:rFonts w:ascii="宋体" w:hAnsi="宋体" w:cs="宋体" w:eastAsia="宋体" w:hint="default"/>
                <w:sz w:val="18"/>
                <w:szCs w:val="18"/>
              </w:rPr>
              <w:t>临时股 东大会</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61.24%</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年第二次临时股东大会决议公告</w:t>
            </w:r>
            <w:r>
              <w:rPr>
                <w:rFonts w:ascii="宋体" w:hAnsi="宋体" w:cs="宋体" w:eastAsia="宋体" w:hint="default"/>
                <w:spacing w:val="-90"/>
                <w:sz w:val="18"/>
                <w:szCs w:val="18"/>
              </w:rPr>
              <w:t>》</w:t>
            </w:r>
            <w:r>
              <w:rPr>
                <w:rFonts w:ascii="宋体" w:hAnsi="宋体" w:cs="宋体" w:eastAsia="宋体" w:hint="default"/>
                <w:sz w:val="18"/>
                <w:szCs w:val="18"/>
              </w:rPr>
              <w:t>（公告编号</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2018-015</w:t>
            </w:r>
            <w:r>
              <w:rPr>
                <w:rFonts w:ascii="宋体" w:hAnsi="宋体" w:cs="宋体" w:eastAsia="宋体" w:hint="default"/>
                <w:sz w:val="18"/>
                <w:szCs w:val="18"/>
              </w:rPr>
              <w:t>）已披露于巨潮资讯网</w:t>
            </w:r>
            <w:r>
              <w:rPr>
                <w:rFonts w:ascii="宋体" w:hAnsi="宋体" w:cs="宋体" w:eastAsia="宋体" w:hint="default"/>
                <w:spacing w:val="-61"/>
                <w:sz w:val="18"/>
                <w:szCs w:val="18"/>
              </w:rPr>
              <w:t> </w:t>
            </w:r>
            <w:hyperlink r:id="rId13">
              <w:r>
                <w:rPr>
                  <w:rFonts w:ascii="Times New Roman" w:hAnsi="Times New Roman" w:cs="Times New Roman" w:eastAsia="Times New Roman" w:hint="default"/>
                  <w:sz w:val="18"/>
                  <w:szCs w:val="18"/>
                </w:rPr>
                <w:t>www.cninfo.com.cn</w:t>
              </w:r>
            </w:hyperlink>
          </w:p>
        </w:tc>
      </w:tr>
      <w:tr>
        <w:trPr>
          <w:trHeight w:val="714"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 临时股东大会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2"/>
              <w:jc w:val="left"/>
              <w:rPr>
                <w:rFonts w:ascii="宋体" w:hAnsi="宋体" w:cs="宋体" w:eastAsia="宋体" w:hint="default"/>
                <w:sz w:val="18"/>
                <w:szCs w:val="18"/>
              </w:rPr>
            </w:pPr>
            <w:r>
              <w:rPr>
                <w:rFonts w:ascii="宋体" w:hAnsi="宋体" w:cs="宋体" w:eastAsia="宋体" w:hint="default"/>
                <w:sz w:val="18"/>
                <w:szCs w:val="18"/>
              </w:rPr>
              <w:t>临时股 东大会</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60.27%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年第三次临时股东大会决议公告</w:t>
            </w:r>
            <w:r>
              <w:rPr>
                <w:rFonts w:ascii="宋体" w:hAnsi="宋体" w:cs="宋体" w:eastAsia="宋体" w:hint="default"/>
                <w:spacing w:val="-90"/>
                <w:sz w:val="18"/>
                <w:szCs w:val="18"/>
              </w:rPr>
              <w:t>》</w:t>
            </w:r>
            <w:r>
              <w:rPr>
                <w:rFonts w:ascii="宋体" w:hAnsi="宋体" w:cs="宋体" w:eastAsia="宋体" w:hint="default"/>
                <w:sz w:val="18"/>
                <w:szCs w:val="18"/>
              </w:rPr>
              <w:t>（公告编号</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2018-024</w:t>
            </w:r>
            <w:r>
              <w:rPr>
                <w:rFonts w:ascii="宋体" w:hAnsi="宋体" w:cs="宋体" w:eastAsia="宋体" w:hint="default"/>
                <w:sz w:val="18"/>
                <w:szCs w:val="18"/>
              </w:rPr>
              <w:t>）已披露于巨潮资讯网</w:t>
            </w:r>
            <w:r>
              <w:rPr>
                <w:rFonts w:ascii="宋体" w:hAnsi="宋体" w:cs="宋体" w:eastAsia="宋体" w:hint="default"/>
                <w:spacing w:val="-61"/>
                <w:sz w:val="18"/>
                <w:szCs w:val="18"/>
              </w:rPr>
              <w:t> </w:t>
            </w:r>
            <w:hyperlink r:id="rId13">
              <w:r>
                <w:rPr>
                  <w:rFonts w:ascii="Times New Roman" w:hAnsi="Times New Roman" w:cs="Times New Roman" w:eastAsia="Times New Roman" w:hint="default"/>
                  <w:sz w:val="18"/>
                  <w:szCs w:val="18"/>
                </w:rPr>
                <w:t>www.cninfo.com.cn</w:t>
              </w:r>
            </w:hyperlink>
          </w:p>
        </w:tc>
      </w:tr>
      <w:tr>
        <w:trPr>
          <w:trHeight w:val="714"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 大会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2"/>
              <w:jc w:val="left"/>
              <w:rPr>
                <w:rFonts w:ascii="宋体" w:hAnsi="宋体" w:cs="宋体" w:eastAsia="宋体" w:hint="default"/>
                <w:sz w:val="18"/>
                <w:szCs w:val="18"/>
              </w:rPr>
            </w:pPr>
            <w:r>
              <w:rPr>
                <w:rFonts w:ascii="宋体" w:hAnsi="宋体" w:cs="宋体" w:eastAsia="宋体" w:hint="default"/>
                <w:sz w:val="18"/>
                <w:szCs w:val="18"/>
              </w:rPr>
              <w:t>年度股 东大会</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60.20%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pacing w:val="-6"/>
                <w:sz w:val="18"/>
                <w:szCs w:val="18"/>
              </w:rPr>
              <w:t>年度股东大会决议公告》（公告编号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2018-056</w:t>
            </w:r>
            <w:r>
              <w:rPr>
                <w:rFonts w:ascii="宋体" w:hAnsi="宋体" w:cs="宋体" w:eastAsia="宋体" w:hint="default"/>
                <w:sz w:val="18"/>
                <w:szCs w:val="18"/>
              </w:rPr>
              <w:t>）已披 露于巨潮资讯网</w:t>
            </w:r>
            <w:r>
              <w:rPr>
                <w:rFonts w:ascii="宋体" w:hAnsi="宋体" w:cs="宋体" w:eastAsia="宋体" w:hint="default"/>
                <w:spacing w:val="-60"/>
                <w:sz w:val="18"/>
                <w:szCs w:val="18"/>
              </w:rPr>
              <w:t> </w:t>
            </w:r>
            <w:hyperlink r:id="rId13">
              <w:r>
                <w:rPr>
                  <w:rFonts w:ascii="Times New Roman" w:hAnsi="Times New Roman" w:cs="Times New Roman" w:eastAsia="Times New Roman" w:hint="default"/>
                  <w:sz w:val="18"/>
                  <w:szCs w:val="18"/>
                </w:rPr>
                <w:t>www.cninfo.com.cn</w:t>
              </w:r>
            </w:hyperlink>
          </w:p>
        </w:tc>
      </w:tr>
      <w:tr>
        <w:trPr>
          <w:trHeight w:val="714"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 临时股东大会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02"/>
              <w:jc w:val="left"/>
              <w:rPr>
                <w:rFonts w:ascii="宋体" w:hAnsi="宋体" w:cs="宋体" w:eastAsia="宋体" w:hint="default"/>
                <w:sz w:val="18"/>
                <w:szCs w:val="18"/>
              </w:rPr>
            </w:pPr>
            <w:r>
              <w:rPr>
                <w:rFonts w:ascii="宋体" w:hAnsi="宋体" w:cs="宋体" w:eastAsia="宋体" w:hint="default"/>
                <w:sz w:val="18"/>
                <w:szCs w:val="18"/>
              </w:rPr>
              <w:t>临时股 东大会</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55.26%</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年第四次临时股东大会决议公告</w:t>
            </w:r>
            <w:r>
              <w:rPr>
                <w:rFonts w:ascii="宋体" w:hAnsi="宋体" w:cs="宋体" w:eastAsia="宋体" w:hint="default"/>
                <w:spacing w:val="-90"/>
                <w:sz w:val="18"/>
                <w:szCs w:val="18"/>
              </w:rPr>
              <w:t>》</w:t>
            </w:r>
            <w:r>
              <w:rPr>
                <w:rFonts w:ascii="宋体" w:hAnsi="宋体" w:cs="宋体" w:eastAsia="宋体" w:hint="default"/>
                <w:sz w:val="18"/>
                <w:szCs w:val="18"/>
              </w:rPr>
              <w:t>（公告编号</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2018-085</w:t>
            </w:r>
            <w:r>
              <w:rPr>
                <w:rFonts w:ascii="宋体" w:hAnsi="宋体" w:cs="宋体" w:eastAsia="宋体" w:hint="default"/>
                <w:sz w:val="18"/>
                <w:szCs w:val="18"/>
              </w:rPr>
              <w:t>）已披露于巨潮资讯网</w:t>
            </w:r>
            <w:r>
              <w:rPr>
                <w:rFonts w:ascii="宋体" w:hAnsi="宋体" w:cs="宋体" w:eastAsia="宋体" w:hint="default"/>
                <w:spacing w:val="-61"/>
                <w:sz w:val="18"/>
                <w:szCs w:val="18"/>
              </w:rPr>
              <w:t> </w:t>
            </w:r>
            <w:hyperlink r:id="rId13">
              <w:r>
                <w:rPr>
                  <w:rFonts w:ascii="Times New Roman" w:hAnsi="Times New Roman" w:cs="Times New Roman" w:eastAsia="Times New Roman" w:hint="default"/>
                  <w:sz w:val="18"/>
                  <w:szCs w:val="18"/>
                </w:rPr>
                <w:t>www.cninfo.com.cn</w:t>
              </w:r>
            </w:hyperlink>
          </w:p>
        </w:tc>
      </w:tr>
      <w:tr>
        <w:trPr>
          <w:trHeight w:val="714"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 临时股东大会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临时股 东大会</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56.84%</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年第五次临时股东大会决议公告</w:t>
            </w:r>
            <w:r>
              <w:rPr>
                <w:rFonts w:ascii="宋体" w:hAnsi="宋体" w:cs="宋体" w:eastAsia="宋体" w:hint="default"/>
                <w:spacing w:val="-90"/>
                <w:sz w:val="18"/>
                <w:szCs w:val="18"/>
              </w:rPr>
              <w:t>》</w:t>
            </w:r>
            <w:r>
              <w:rPr>
                <w:rFonts w:ascii="宋体" w:hAnsi="宋体" w:cs="宋体" w:eastAsia="宋体" w:hint="default"/>
                <w:sz w:val="18"/>
                <w:szCs w:val="18"/>
              </w:rPr>
              <w:t>（公告编号</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2018-130</w:t>
            </w:r>
            <w:r>
              <w:rPr>
                <w:rFonts w:ascii="宋体" w:hAnsi="宋体" w:cs="宋体" w:eastAsia="宋体" w:hint="default"/>
                <w:sz w:val="18"/>
                <w:szCs w:val="18"/>
              </w:rPr>
              <w:t>）已披露于巨潮资讯网</w:t>
            </w:r>
            <w:r>
              <w:rPr>
                <w:rFonts w:ascii="宋体" w:hAnsi="宋体" w:cs="宋体" w:eastAsia="宋体" w:hint="default"/>
                <w:spacing w:val="-61"/>
                <w:sz w:val="18"/>
                <w:szCs w:val="18"/>
              </w:rPr>
              <w:t> </w:t>
            </w:r>
            <w:hyperlink r:id="rId13">
              <w:r>
                <w:rPr>
                  <w:rFonts w:ascii="Times New Roman" w:hAnsi="Times New Roman" w:cs="Times New Roman" w:eastAsia="Times New Roman" w:hint="default"/>
                  <w:sz w:val="18"/>
                  <w:szCs w:val="18"/>
                </w:rPr>
                <w:t>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b/>
          <w:bCs/>
          <w:sz w:val="20"/>
          <w:szCs w:val="20"/>
        </w:rPr>
      </w:pPr>
    </w:p>
    <w:p>
      <w:pPr>
        <w:pStyle w:val="Heading3"/>
        <w:spacing w:line="240" w:lineRule="auto" w:before="35"/>
        <w:ind w:right="0"/>
        <w:jc w:val="left"/>
        <w:rPr>
          <w:b w:val="0"/>
          <w:bCs w:val="0"/>
        </w:rPr>
      </w:pPr>
      <w:bookmarkStart w:name="2、表决权恢复的优先股股东请求召开临时股东大会" w:id="141"/>
      <w:bookmarkEnd w:id="141"/>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42"/>
      <w:bookmarkEnd w:id="142"/>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43"/>
      <w:bookmarkEnd w:id="143"/>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戴金平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韩凤岐</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王元京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李岳军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357" w:lineRule="auto" w:before="51"/>
        <w:ind w:right="5352"/>
        <w:jc w:val="left"/>
      </w:pPr>
      <w:r>
        <w:rPr/>
        <w:t>连续两次未亲自出席董事会的说明 报告期内，公司独立董事不存在连续两次未亲自出席董事会的情况。</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独立董事对公司有关事项提出异议的情况" w:id="144"/>
      <w:bookmarkEnd w:id="144"/>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38" w:lineRule="auto" w:before="117"/>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独立董事履行职责的其他说明" w:id="145"/>
      <w:bookmarkEnd w:id="145"/>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40" w:lineRule="auto" w:before="116"/>
        <w:ind w:right="6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39"/>
        <w:ind w:right="1032"/>
        <w:jc w:val="left"/>
      </w:pPr>
      <w:r>
        <w:rPr/>
        <w:t>报告期内，公司独立董事严格按照《公司法》《上市公司治理准则》《深圳证券交易所中小企业板上市公司规范运作指引》</w:t>
      </w:r>
      <w:r>
        <w:rPr>
          <w:spacing w:val="-85"/>
        </w:rPr>
        <w:t> </w:t>
      </w:r>
      <w:r>
        <w:rPr>
          <w:spacing w:val="-85"/>
        </w:rPr>
      </w:r>
      <w:r>
        <w:rPr>
          <w:spacing w:val="-2"/>
        </w:rPr>
        <w:t>等法律法规及《公司章程》《独立董事工作制度》的要求，忠实履行职责，充分发挥独立董事作用，维护公司股东尤其是中</w:t>
      </w:r>
      <w:r>
        <w:rPr>
          <w:spacing w:val="-70"/>
        </w:rPr>
        <w:t> </w:t>
      </w:r>
      <w:r>
        <w:rPr>
          <w:spacing w:val="-70"/>
        </w:rPr>
      </w:r>
      <w:r>
        <w:rPr>
          <w:spacing w:val="-2"/>
        </w:rPr>
        <w:t>小股东的利益。公司独立董事在报告期内通过参与公司董事会及其专门委员会、现场会谈考察等方式，及时了解公司经营状</w:t>
      </w:r>
      <w:r>
        <w:rPr>
          <w:spacing w:val="-66"/>
        </w:rPr>
        <w:t> </w:t>
      </w:r>
      <w:r>
        <w:rPr>
          <w:spacing w:val="-66"/>
        </w:rPr>
      </w:r>
      <w:r>
        <w:rPr>
          <w:spacing w:val="-2"/>
        </w:rPr>
        <w:t>况、财务状况、内部控制建设以及重大事项进展等情况，并提出建议。公司采纳了独立董事相关建议，并委托经营管理层组</w:t>
      </w:r>
      <w:r>
        <w:rPr>
          <w:spacing w:val="-66"/>
        </w:rPr>
        <w:t> </w:t>
      </w:r>
      <w:r>
        <w:rPr>
          <w:spacing w:val="-66"/>
        </w:rPr>
      </w:r>
      <w:r>
        <w:rPr/>
        <w:t>织相关工作的开展。</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六、董事会下设专门委员会在报告期内履行职责情况" w:id="146"/>
      <w:bookmarkEnd w:id="146"/>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2"/>
        <w:jc w:val="left"/>
      </w:pPr>
      <w:r>
        <w:rPr>
          <w:rFonts w:ascii="Times New Roman" w:hAnsi="Times New Roman" w:cs="Times New Roman" w:eastAsia="Times New Roman" w:hint="default"/>
        </w:rPr>
        <w:t>1</w:t>
      </w:r>
      <w:r>
        <w:rPr/>
        <w:t>、董事会审计委员会 报告期内，公司董事会审计委员会召开会议</w:t>
      </w:r>
      <w:r>
        <w:rPr>
          <w:rFonts w:ascii="Times New Roman" w:hAnsi="Times New Roman" w:cs="Times New Roman" w:eastAsia="Times New Roman" w:hint="default"/>
        </w:rPr>
        <w:t>7</w:t>
      </w:r>
      <w:r>
        <w:rPr/>
        <w:t>次。在</w:t>
      </w:r>
      <w:r>
        <w:rPr>
          <w:rFonts w:ascii="Times New Roman" w:hAnsi="Times New Roman" w:cs="Times New Roman" w:eastAsia="Times New Roman" w:hint="default"/>
        </w:rPr>
        <w:t>2017</w:t>
      </w:r>
      <w:r>
        <w:rPr/>
        <w:t>年度报告编制期间，公司董事会审计委员会委员通过审议审计工作 </w:t>
      </w:r>
      <w:r>
        <w:rPr>
          <w:spacing w:val="-2"/>
        </w:rPr>
        <w:t>计划、财务报表、审计报告以及内部控制报告等文件，并与经营管理层和年审会计师现场沟通的方式，指导公司</w:t>
      </w:r>
      <w:r>
        <w:rPr>
          <w:rFonts w:ascii="Times New Roman" w:hAnsi="Times New Roman" w:cs="Times New Roman" w:eastAsia="Times New Roman" w:hint="default"/>
          <w:spacing w:val="-2"/>
        </w:rPr>
        <w:t>2017</w:t>
      </w:r>
      <w:r>
        <w:rPr>
          <w:spacing w:val="-2"/>
        </w:rPr>
        <w:t>年度审</w:t>
      </w:r>
      <w:r>
        <w:rPr>
          <w:spacing w:val="-62"/>
        </w:rPr>
        <w:t> </w:t>
      </w:r>
      <w:r>
        <w:rPr>
          <w:spacing w:val="-2"/>
        </w:rPr>
        <w:t>计工作的开展，同时建议公司继续聘任立信会计师事务所（特殊普通合伙）提供</w:t>
      </w:r>
      <w:r>
        <w:rPr>
          <w:rFonts w:ascii="Times New Roman" w:hAnsi="Times New Roman" w:cs="Times New Roman" w:eastAsia="Times New Roman" w:hint="default"/>
          <w:spacing w:val="-2"/>
        </w:rPr>
        <w:t>2018</w:t>
      </w:r>
      <w:r>
        <w:rPr>
          <w:spacing w:val="-2"/>
        </w:rPr>
        <w:t>年年报及其他审计服务。通过审议公司</w:t>
      </w:r>
    </w:p>
    <w:p>
      <w:pPr>
        <w:spacing w:after="0" w:line="30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9" w:lineRule="auto" w:before="44"/>
        <w:ind w:right="1130"/>
        <w:jc w:val="both"/>
      </w:pPr>
      <w:r>
        <w:rPr>
          <w:rFonts w:ascii="Times New Roman" w:hAnsi="Times New Roman" w:cs="Times New Roman" w:eastAsia="Times New Roman" w:hint="default"/>
          <w:spacing w:val="-2"/>
        </w:rPr>
        <w:t>2017</w:t>
      </w:r>
      <w:r>
        <w:rPr>
          <w:spacing w:val="-2"/>
        </w:rPr>
        <w:t>年度、</w:t>
      </w:r>
      <w:r>
        <w:rPr>
          <w:rFonts w:ascii="Times New Roman" w:hAnsi="Times New Roman" w:cs="Times New Roman" w:eastAsia="Times New Roman" w:hint="default"/>
          <w:spacing w:val="-2"/>
        </w:rPr>
        <w:t>2018</w:t>
      </w:r>
      <w:r>
        <w:rPr>
          <w:spacing w:val="-2"/>
        </w:rPr>
        <w:t>年第一季度、半年度、第三季度的财务报表和内部审计工作报告与计划，加强对公司财务和内部审计的监督</w:t>
      </w:r>
      <w:r>
        <w:rPr>
          <w:spacing w:val="-57"/>
        </w:rPr>
        <w:t> </w:t>
      </w:r>
      <w:r>
        <w:rPr>
          <w:spacing w:val="-57"/>
        </w:rPr>
      </w:r>
      <w:r>
        <w:rPr>
          <w:spacing w:val="-2"/>
        </w:rPr>
        <w:t>和核查。此外，还对公司计提商誉减值准备、修订《内部审计制度》、核销部分应收款项以及变更会计政策等事项提供了专</w:t>
      </w:r>
      <w:r>
        <w:rPr>
          <w:spacing w:val="-68"/>
        </w:rPr>
        <w:t> </w:t>
      </w:r>
      <w:r>
        <w:rPr>
          <w:spacing w:val="-68"/>
        </w:rPr>
      </w:r>
      <w:r>
        <w:rPr/>
        <w:t>业的意见和建议。</w:t>
      </w:r>
    </w:p>
    <w:p>
      <w:pPr>
        <w:pStyle w:val="BodyText"/>
        <w:spacing w:line="300" w:lineRule="auto" w:before="24"/>
        <w:ind w:right="1122"/>
        <w:jc w:val="left"/>
      </w:pPr>
      <w:r>
        <w:rPr>
          <w:rFonts w:ascii="Times New Roman" w:hAnsi="Times New Roman" w:cs="Times New Roman" w:eastAsia="Times New Roman" w:hint="default"/>
        </w:rPr>
        <w:t>2</w:t>
      </w:r>
      <w:r>
        <w:rPr/>
        <w:t>、董事会薪酬与考核委员会 报告期内，公司董事会薪酬与考核委员会召开会议</w:t>
      </w:r>
      <w:r>
        <w:rPr>
          <w:rFonts w:ascii="Times New Roman" w:hAnsi="Times New Roman" w:cs="Times New Roman" w:eastAsia="Times New Roman" w:hint="default"/>
        </w:rPr>
        <w:t>3</w:t>
      </w:r>
      <w:r>
        <w:rPr/>
        <w:t>次。根据公司</w:t>
      </w:r>
      <w:r>
        <w:rPr>
          <w:rFonts w:ascii="Times New Roman" w:hAnsi="Times New Roman" w:cs="Times New Roman" w:eastAsia="Times New Roman" w:hint="default"/>
        </w:rPr>
        <w:t>2017</w:t>
      </w:r>
      <w:r>
        <w:rPr/>
        <w:t>年度业绩情况，对公司董事、高级管理人员的</w:t>
      </w:r>
      <w:r>
        <w:rPr>
          <w:rFonts w:ascii="Times New Roman" w:hAnsi="Times New Roman" w:cs="Times New Roman" w:eastAsia="Times New Roman" w:hint="default"/>
        </w:rPr>
        <w:t>2017</w:t>
      </w:r>
      <w:r>
        <w:rPr/>
        <w:t>年 </w:t>
      </w:r>
      <w:r>
        <w:rPr>
          <w:spacing w:val="-2"/>
        </w:rPr>
        <w:t>度绩效考核情况进行审查，并确定公司董事和高级管理人员</w:t>
      </w:r>
      <w:r>
        <w:rPr>
          <w:rFonts w:ascii="Times New Roman" w:hAnsi="Times New Roman" w:cs="Times New Roman" w:eastAsia="Times New Roman" w:hint="default"/>
          <w:spacing w:val="-2"/>
        </w:rPr>
        <w:t>2018</w:t>
      </w:r>
      <w:r>
        <w:rPr>
          <w:spacing w:val="-2"/>
        </w:rPr>
        <w:t>年度基本年薪。审议了公司</w:t>
      </w:r>
      <w:r>
        <w:rPr>
          <w:rFonts w:ascii="Times New Roman" w:hAnsi="Times New Roman" w:cs="Times New Roman" w:eastAsia="Times New Roman" w:hint="default"/>
          <w:spacing w:val="-2"/>
        </w:rPr>
        <w:t>2017</w:t>
      </w:r>
      <w:r>
        <w:rPr>
          <w:spacing w:val="-2"/>
        </w:rPr>
        <w:t>年度限制性股票激励计划激</w:t>
      </w:r>
      <w:r>
        <w:rPr>
          <w:spacing w:val="-56"/>
        </w:rPr>
        <w:t> </w:t>
      </w:r>
      <w:r>
        <w:rPr/>
        <w:t>励对象</w:t>
      </w:r>
      <w:r>
        <w:rPr>
          <w:rFonts w:ascii="Times New Roman" w:hAnsi="Times New Roman" w:cs="Times New Roman" w:eastAsia="Times New Roman" w:hint="default"/>
        </w:rPr>
        <w:t>2017</w:t>
      </w:r>
      <w:r>
        <w:rPr/>
        <w:t>年度的绩效考核结果、授予预留限制性股票以及首次授予部分第一个解除限售期解除限售条件成就的情况。 </w:t>
      </w:r>
      <w:r>
        <w:rPr>
          <w:rFonts w:ascii="Times New Roman" w:hAnsi="Times New Roman" w:cs="Times New Roman" w:eastAsia="Times New Roman" w:hint="default"/>
        </w:rPr>
        <w:t>3</w:t>
      </w:r>
      <w:r>
        <w:rPr/>
        <w:t>、董事会战略发展委员会 报告期内，公司董事会战略发展委员会召开会议</w:t>
      </w:r>
      <w:r>
        <w:rPr>
          <w:rFonts w:ascii="Times New Roman" w:hAnsi="Times New Roman" w:cs="Times New Roman" w:eastAsia="Times New Roman" w:hint="default"/>
        </w:rPr>
        <w:t>2</w:t>
      </w:r>
      <w:r>
        <w:rPr/>
        <w:t>次，对公司优化调整组织结构、为全资子公司提供对外担保以及投资设立 雄安久其等事项进行研究并提出了意见和建议。</w:t>
      </w:r>
    </w:p>
    <w:p>
      <w:pPr>
        <w:pStyle w:val="BodyText"/>
        <w:spacing w:line="300" w:lineRule="auto" w:before="31"/>
        <w:ind w:right="3102"/>
        <w:jc w:val="left"/>
      </w:pPr>
      <w:r>
        <w:rPr>
          <w:rFonts w:ascii="Times New Roman" w:hAnsi="Times New Roman" w:cs="Times New Roman" w:eastAsia="Times New Roman" w:hint="default"/>
        </w:rPr>
        <w:t>4</w:t>
      </w:r>
      <w:r>
        <w:rPr/>
        <w:t>、董事会提名委员会 报告期内，公司董事会提名委员召开会议</w:t>
      </w:r>
      <w:r>
        <w:rPr>
          <w:rFonts w:ascii="Times New Roman" w:hAnsi="Times New Roman" w:cs="Times New Roman" w:eastAsia="Times New Roman" w:hint="default"/>
        </w:rPr>
        <w:t>1</w:t>
      </w:r>
      <w:r>
        <w:rPr/>
        <w:t>次，对独立董事候选人李岳军的任职资格进行了审查。</w:t>
      </w:r>
    </w:p>
    <w:p>
      <w:pPr>
        <w:spacing w:line="240" w:lineRule="auto" w:before="4"/>
        <w:rPr>
          <w:rFonts w:ascii="宋体" w:hAnsi="宋体" w:cs="宋体" w:eastAsia="宋体" w:hint="default"/>
          <w:sz w:val="20"/>
          <w:szCs w:val="20"/>
        </w:rPr>
      </w:pPr>
    </w:p>
    <w:p>
      <w:pPr>
        <w:pStyle w:val="Heading2"/>
        <w:spacing w:line="240" w:lineRule="auto"/>
        <w:ind w:right="0"/>
        <w:jc w:val="both"/>
        <w:rPr>
          <w:b w:val="0"/>
          <w:bCs w:val="0"/>
        </w:rPr>
      </w:pPr>
      <w:bookmarkStart w:name="七、监事会工作情况" w:id="147"/>
      <w:bookmarkEnd w:id="147"/>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40" w:lineRule="auto" w:before="116"/>
        <w:ind w:right="76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八、高级管理人员的考评及激励情况" w:id="148"/>
      <w:bookmarkEnd w:id="148"/>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jc w:val="both"/>
      </w:pPr>
      <w:r>
        <w:rPr>
          <w:spacing w:val="-2"/>
        </w:rPr>
        <w:t>根据公司《董事、监事和高级管理人员薪酬管理制度》等相关制度的规定，公司高级管理人员薪酬由基本年薪和浮动奖金两</w:t>
      </w:r>
      <w:r>
        <w:rPr>
          <w:spacing w:val="-66"/>
        </w:rPr>
        <w:t> </w:t>
      </w:r>
      <w:r>
        <w:rPr>
          <w:spacing w:val="-66"/>
        </w:rPr>
      </w:r>
      <w:r>
        <w:rPr>
          <w:spacing w:val="-5"/>
        </w:rPr>
        <w:t>部分构成，其中基本年薪根据个人工作职务、岗位级别标准按月发放；浮动奖金根据公司经营业绩和个人绩效考核情况确定。</w:t>
      </w:r>
      <w:r>
        <w:rPr>
          <w:spacing w:val="-79"/>
        </w:rPr>
        <w:t> </w:t>
      </w:r>
      <w:r>
        <w:rPr>
          <w:spacing w:val="-79"/>
        </w:rPr>
      </w:r>
      <w:r>
        <w:rPr>
          <w:spacing w:val="-2"/>
        </w:rPr>
        <w:t>每个会计年度结束之后，公司董事会薪酬与考核委员会负责对高级管理人员的绩效考核成绩与薪酬进行审查，确定其上一年</w:t>
      </w:r>
      <w:r>
        <w:rPr>
          <w:spacing w:val="-64"/>
        </w:rPr>
        <w:t> </w:t>
      </w:r>
      <w:r>
        <w:rPr>
          <w:spacing w:val="-64"/>
        </w:rPr>
      </w:r>
      <w:r>
        <w:rPr/>
        <w:t>度年终奖金及当年度基本年薪。</w:t>
      </w:r>
    </w:p>
    <w:p>
      <w:pPr>
        <w:spacing w:line="240" w:lineRule="auto" w:before="8"/>
        <w:rPr>
          <w:rFonts w:ascii="宋体" w:hAnsi="宋体" w:cs="宋体" w:eastAsia="宋体" w:hint="default"/>
          <w:sz w:val="20"/>
          <w:szCs w:val="20"/>
        </w:rPr>
      </w:pPr>
    </w:p>
    <w:p>
      <w:pPr>
        <w:pStyle w:val="Heading2"/>
        <w:spacing w:line="240" w:lineRule="auto"/>
        <w:ind w:right="0"/>
        <w:jc w:val="both"/>
        <w:rPr>
          <w:b w:val="0"/>
          <w:bCs w:val="0"/>
        </w:rPr>
      </w:pPr>
      <w:bookmarkStart w:name="九、内部控制评价报告" w:id="149"/>
      <w:bookmarkEnd w:id="149"/>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报告期内发现的内部控制重大缺陷的具体情况" w:id="150"/>
      <w:bookmarkEnd w:id="150"/>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44"/>
        <w:ind w:left="0" w:right="1141"/>
        <w:jc w:val="right"/>
      </w:pPr>
      <w:r>
        <w:rPr/>
        <w:pict>
          <v:shape style="position:absolute;margin-left:56.459999pt;margin-top:-122.558258pt;width:479.2pt;height:208.75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69"/>
                  </w:tblGrid>
                  <w:tr>
                    <w:trPr>
                      <w:trHeight w:val="401"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78" w:right="0"/>
                          <w:jc w:val="left"/>
                          <w:rPr>
                            <w:rFonts w:ascii="宋体" w:hAnsi="宋体" w:cs="宋体" w:eastAsia="宋体" w:hint="default"/>
                            <w:sz w:val="18"/>
                            <w:szCs w:val="18"/>
                          </w:rPr>
                        </w:pPr>
                        <w:r>
                          <w:rPr>
                            <w:rFonts w:ascii="宋体" w:hAnsi="宋体" w:cs="宋体" w:eastAsia="宋体" w:hint="default"/>
                            <w:sz w:val="18"/>
                            <w:szCs w:val="18"/>
                          </w:rPr>
                          <w:t>报告期内发现的内部控制重大缺陷的具体情况</w:t>
                        </w:r>
                      </w:p>
                    </w:tc>
                  </w:tr>
                  <w:tr>
                    <w:trPr>
                      <w:trHeight w:val="3764"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52"/>
                          <w:ind w:left="22" w:right="179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 财务报告内部控制缺陷认定及整改情况 根据上述财务报告内部控制缺陷的认定标准，报告期内公司存在财务报告内部控制重大缺陷如下： 缺陷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：子公司营业收入及应收账款的确认问题。</w:t>
                        </w:r>
                      </w:p>
                      <w:p>
                        <w:pPr>
                          <w:pStyle w:val="TableParagraph"/>
                          <w:spacing w:line="309" w:lineRule="auto" w:before="11"/>
                          <w:ind w:left="22" w:right="21"/>
                          <w:jc w:val="both"/>
                          <w:rPr>
                            <w:rFonts w:ascii="宋体" w:hAnsi="宋体" w:cs="宋体" w:eastAsia="宋体" w:hint="default"/>
                            <w:sz w:val="18"/>
                            <w:szCs w:val="18"/>
                          </w:rPr>
                        </w:pPr>
                        <w:r>
                          <w:rPr>
                            <w:rFonts w:ascii="宋体" w:hAnsi="宋体" w:cs="宋体" w:eastAsia="宋体" w:hint="default"/>
                            <w:spacing w:val="-1"/>
                            <w:sz w:val="18"/>
                            <w:szCs w:val="18"/>
                          </w:rPr>
                          <w:t>公司子公司上海移通在未取得相关必要确认单据并严格审核的前提下，即在相关经济利益流入的真实性存在不确定的情况</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下，确认了部分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年度营业收入及应收账款，不符合《企业会计准则》及公司会计政策的相关规定，上述缺陷影响财 务报表中营业收入及应收账款存在及准确性的认定。</w:t>
                        </w:r>
                      </w:p>
                      <w:p>
                        <w:pPr>
                          <w:pStyle w:val="TableParagraph"/>
                          <w:spacing w:line="319" w:lineRule="auto" w:before="64"/>
                          <w:ind w:left="22" w:right="21"/>
                          <w:jc w:val="left"/>
                          <w:rPr>
                            <w:rFonts w:ascii="宋体" w:hAnsi="宋体" w:cs="宋体" w:eastAsia="宋体" w:hint="default"/>
                            <w:sz w:val="18"/>
                            <w:szCs w:val="18"/>
                          </w:rPr>
                        </w:pPr>
                        <w:r>
                          <w:rPr>
                            <w:rFonts w:ascii="宋体" w:hAnsi="宋体" w:cs="宋体" w:eastAsia="宋体" w:hint="default"/>
                            <w:sz w:val="18"/>
                            <w:szCs w:val="18"/>
                          </w:rPr>
                          <w:t>整改情况：公司在编制</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年度财务报表时已对这些可能存在的事项予以关注，对营业收入及应收账款进行了相应调整 </w:t>
                        </w:r>
                        <w:r>
                          <w:rPr>
                            <w:rFonts w:ascii="宋体" w:hAnsi="宋体" w:cs="宋体" w:eastAsia="宋体" w:hint="default"/>
                            <w:spacing w:val="-2"/>
                            <w:sz w:val="18"/>
                            <w:szCs w:val="18"/>
                          </w:rPr>
                          <w:t>整改计划：</w:t>
                        </w:r>
                        <w:r>
                          <w:rPr>
                            <w:rFonts w:ascii="Times New Roman" w:hAnsi="Times New Roman" w:cs="Times New Roman" w:eastAsia="Times New Roman" w:hint="default"/>
                            <w:spacing w:val="-2"/>
                            <w:sz w:val="18"/>
                            <w:szCs w:val="18"/>
                          </w:rPr>
                          <w:t>2019</w:t>
                        </w:r>
                        <w:r>
                          <w:rPr>
                            <w:rFonts w:ascii="Times New Roman" w:hAnsi="Times New Roman" w:cs="Times New Roman" w:eastAsia="Times New Roman" w:hint="default"/>
                            <w:spacing w:val="28"/>
                            <w:sz w:val="18"/>
                            <w:szCs w:val="18"/>
                          </w:rPr>
                          <w:t> </w:t>
                        </w:r>
                        <w:r>
                          <w:rPr>
                            <w:rFonts w:ascii="宋体" w:hAnsi="宋体" w:cs="宋体" w:eastAsia="宋体" w:hint="default"/>
                            <w:spacing w:val="-2"/>
                            <w:sz w:val="18"/>
                            <w:szCs w:val="18"/>
                          </w:rPr>
                          <w:t>年公司将督促子公司上海移通严格按照《企业会计准则》及公司会计政策的相关规定，加强对营业收入及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应收账款的会计核算管理，确保营业收入及应收账款的真实性、准确性。</w:t>
                        </w:r>
                      </w:p>
                      <w:p>
                        <w:pPr>
                          <w:pStyle w:val="TableParagraph"/>
                          <w:spacing w:line="338" w:lineRule="auto" w:before="56"/>
                          <w:ind w:left="22" w:right="23"/>
                          <w:jc w:val="left"/>
                          <w:rPr>
                            <w:rFonts w:ascii="宋体" w:hAnsi="宋体" w:cs="宋体" w:eastAsia="宋体" w:hint="default"/>
                            <w:sz w:val="18"/>
                            <w:szCs w:val="18"/>
                          </w:rPr>
                        </w:pPr>
                        <w:r>
                          <w:rPr>
                            <w:rFonts w:ascii="宋体" w:hAnsi="宋体" w:cs="宋体" w:eastAsia="宋体" w:hint="default"/>
                            <w:sz w:val="18"/>
                            <w:szCs w:val="18"/>
                          </w:rPr>
                          <w:t>缺陷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：保理业务放款后控制管理的问题。 </w:t>
                        </w:r>
                        <w:r>
                          <w:rPr>
                            <w:rFonts w:ascii="宋体" w:hAnsi="宋体" w:cs="宋体" w:eastAsia="宋体" w:hint="default"/>
                            <w:spacing w:val="-1"/>
                            <w:sz w:val="18"/>
                            <w:szCs w:val="18"/>
                          </w:rPr>
                          <w:t>公司子公司久金保在经营过程中，对于放款前后的风险判断和控制以及资金监控存在一定的内控管理问题，导致对其保理</w:t>
                        </w:r>
                      </w:p>
                    </w:tc>
                  </w:tr>
                </w:tbl>
                <w:p>
                  <w:pPr/>
                </w:p>
              </w:txbxContent>
            </v:textbox>
            <w10:wrap type="none"/>
          </v:shape>
        </w:pict>
      </w:r>
      <w:r>
        <w:rPr/>
        <w:t>。</w:t>
      </w:r>
    </w:p>
    <w:p>
      <w:pPr>
        <w:spacing w:after="0" w:line="240" w:lineRule="auto"/>
        <w:jc w:val="righ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78" w:right="0"/>
              <w:jc w:val="left"/>
              <w:rPr>
                <w:rFonts w:ascii="宋体" w:hAnsi="宋体" w:cs="宋体" w:eastAsia="宋体" w:hint="default"/>
                <w:sz w:val="18"/>
                <w:szCs w:val="18"/>
              </w:rPr>
            </w:pPr>
            <w:r>
              <w:rPr>
                <w:rFonts w:ascii="宋体" w:hAnsi="宋体" w:cs="宋体" w:eastAsia="宋体" w:hint="default"/>
                <w:sz w:val="18"/>
                <w:szCs w:val="18"/>
              </w:rPr>
              <w:t>报告期内发现的内部控制重大缺陷的具体情况</w:t>
            </w:r>
          </w:p>
        </w:tc>
      </w:tr>
      <w:tr>
        <w:trPr>
          <w:trHeight w:val="5675"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both"/>
              <w:rPr>
                <w:rFonts w:ascii="宋体" w:hAnsi="宋体" w:cs="宋体" w:eastAsia="宋体" w:hint="default"/>
                <w:sz w:val="18"/>
                <w:szCs w:val="18"/>
              </w:rPr>
            </w:pPr>
            <w:r>
              <w:rPr>
                <w:rFonts w:ascii="宋体" w:hAnsi="宋体" w:cs="宋体" w:eastAsia="宋体" w:hint="default"/>
                <w:sz w:val="18"/>
                <w:szCs w:val="18"/>
              </w:rPr>
              <w:t>业务外放款项的回收产生了影响，上述缺陷影响财务报表中应收保理款及坏账准备的确认问题。</w:t>
            </w:r>
          </w:p>
          <w:p>
            <w:pPr>
              <w:pStyle w:val="TableParagraph"/>
              <w:spacing w:line="302" w:lineRule="auto" w:before="116"/>
              <w:ind w:left="22" w:right="22"/>
              <w:jc w:val="both"/>
              <w:rPr>
                <w:rFonts w:ascii="宋体" w:hAnsi="宋体" w:cs="宋体" w:eastAsia="宋体" w:hint="default"/>
                <w:sz w:val="18"/>
                <w:szCs w:val="18"/>
              </w:rPr>
            </w:pPr>
            <w:r>
              <w:rPr>
                <w:rFonts w:ascii="宋体" w:hAnsi="宋体" w:cs="宋体" w:eastAsia="宋体" w:hint="default"/>
                <w:sz w:val="18"/>
                <w:szCs w:val="18"/>
              </w:rPr>
              <w:t>整改情况：公司在编制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年度财务报表时已对该事项予以关注，对存在有无法回收可能性的应收保理款在当期计提了 坏账准备。</w:t>
            </w:r>
          </w:p>
          <w:p>
            <w:pPr>
              <w:pStyle w:val="TableParagraph"/>
              <w:spacing w:line="309" w:lineRule="auto" w:before="68"/>
              <w:ind w:left="22" w:right="21"/>
              <w:jc w:val="both"/>
              <w:rPr>
                <w:rFonts w:ascii="宋体" w:hAnsi="宋体" w:cs="宋体" w:eastAsia="宋体" w:hint="default"/>
                <w:sz w:val="18"/>
                <w:szCs w:val="18"/>
              </w:rPr>
            </w:pPr>
            <w:r>
              <w:rPr>
                <w:rFonts w:ascii="宋体" w:hAnsi="宋体" w:cs="宋体" w:eastAsia="宋体" w:hint="default"/>
                <w:spacing w:val="-4"/>
                <w:sz w:val="18"/>
                <w:szCs w:val="18"/>
              </w:rPr>
              <w:t>整改计划：</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年公司将敦促子公司按照保理业务环节以及保理业务风险控制相关制度的要求，严格执行放款前后的相关 </w:t>
            </w:r>
            <w:r>
              <w:rPr>
                <w:rFonts w:ascii="宋体" w:hAnsi="宋体" w:cs="宋体" w:eastAsia="宋体" w:hint="default"/>
                <w:spacing w:val="-1"/>
                <w:sz w:val="18"/>
                <w:szCs w:val="18"/>
              </w:rPr>
              <w:t>风险控制点的确认手续，以及高度关注资金账户的实际控制方式及执行情况，强化控制手段，增加控制频率，提高走访频</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次等，努力降低资金使用的风险性。</w:t>
            </w:r>
          </w:p>
          <w:p>
            <w:pPr>
              <w:pStyle w:val="TableParagraph"/>
              <w:spacing w:line="348" w:lineRule="auto" w:before="64"/>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 非财务报告内部控制缺陷认定及整改情况 根据上述财务报告内部控制缺陷的认定标准，报告期内公司存在非财务报告内部控制重大缺陷如下： 缺陷：对于子公司内部控制管理的问题。</w:t>
            </w:r>
          </w:p>
          <w:p>
            <w:pPr>
              <w:pStyle w:val="TableParagraph"/>
              <w:spacing w:line="319" w:lineRule="auto" w:before="34"/>
              <w:ind w:left="22" w:right="23"/>
              <w:jc w:val="both"/>
              <w:rPr>
                <w:rFonts w:ascii="宋体" w:hAnsi="宋体" w:cs="宋体" w:eastAsia="宋体" w:hint="default"/>
                <w:sz w:val="18"/>
                <w:szCs w:val="18"/>
              </w:rPr>
            </w:pPr>
            <w:r>
              <w:rPr>
                <w:rFonts w:ascii="宋体" w:hAnsi="宋体" w:cs="宋体" w:eastAsia="宋体" w:hint="default"/>
                <w:spacing w:val="-1"/>
                <w:sz w:val="18"/>
                <w:szCs w:val="18"/>
              </w:rPr>
              <w:t>自收购以来公司向其委派两名董事进入上海移通董事会，并委派监事和财务总监各一名，同时公司相关部门积极推动业务</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融合及集团化管理相关工作，但上海移通总经理及原管理团队人员屡次以对赌期经营独立和不得干扰企业经营为由，不予</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积极配合或拖延配合，使得公司对子公司业务拓展情况的了解以及日常经营的决策受限。</w:t>
            </w:r>
          </w:p>
          <w:p>
            <w:pPr>
              <w:pStyle w:val="TableParagraph"/>
              <w:spacing w:line="309" w:lineRule="auto" w:before="56"/>
              <w:ind w:left="22" w:right="23"/>
              <w:jc w:val="both"/>
              <w:rPr>
                <w:rFonts w:ascii="宋体" w:hAnsi="宋体" w:cs="宋体" w:eastAsia="宋体" w:hint="default"/>
                <w:sz w:val="18"/>
                <w:szCs w:val="18"/>
              </w:rPr>
            </w:pPr>
            <w:r>
              <w:rPr>
                <w:rFonts w:ascii="宋体" w:hAnsi="宋体" w:cs="宋体" w:eastAsia="宋体" w:hint="default"/>
                <w:spacing w:val="-1"/>
                <w:sz w:val="18"/>
                <w:szCs w:val="18"/>
              </w:rPr>
              <w:t>整改情况：公司已着手对上海移通的治理架构进行调整，委派执行董事并更换其法定代表人，派驻管理和技术人员进行安</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抚员工、客户与供应商拜访等工作，衔接并着手推进子公司业务。公司在编制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年度财务报表时对上海移通的商誉减 值测试已充分考虑了其相关经营情况，并针对相关情况确认了商誉减值。</w:t>
            </w:r>
          </w:p>
          <w:p>
            <w:pPr>
              <w:pStyle w:val="TableParagraph"/>
              <w:spacing w:line="319" w:lineRule="auto" w:before="62"/>
              <w:ind w:left="22" w:right="23"/>
              <w:jc w:val="both"/>
              <w:rPr>
                <w:rFonts w:ascii="宋体" w:hAnsi="宋体" w:cs="宋体" w:eastAsia="宋体" w:hint="default"/>
                <w:sz w:val="18"/>
                <w:szCs w:val="18"/>
              </w:rPr>
            </w:pPr>
            <w:r>
              <w:rPr>
                <w:rFonts w:ascii="宋体" w:hAnsi="宋体" w:cs="宋体" w:eastAsia="宋体" w:hint="default"/>
                <w:spacing w:val="-1"/>
                <w:sz w:val="18"/>
                <w:szCs w:val="18"/>
              </w:rPr>
              <w:t>整改计划：公司将进一步强化完善子公司业务审批流程工作，严格遵守国家法律、法规以及按照公司内部控制制度开展工</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作，并且密切关注上海移通后续经营情况对公司的影响，若涉及需披露事项会及时履行信息披露义务。</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内控自我评价报告" w:id="151"/>
      <w:bookmarkEnd w:id="151"/>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329"/>
        <w:gridCol w:w="305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年度内部控制评价报告》披露于巨潮资讯网</w:t>
            </w:r>
            <w:r>
              <w:rPr>
                <w:rFonts w:ascii="宋体" w:hAnsi="宋体" w:cs="宋体" w:eastAsia="宋体" w:hint="default"/>
                <w:spacing w:val="-61"/>
                <w:sz w:val="18"/>
                <w:szCs w:val="18"/>
              </w:rPr>
              <w:t> </w:t>
            </w:r>
            <w:hyperlink r:id="rId13">
              <w:r>
                <w:rPr>
                  <w:rFonts w:ascii="Times New Roman" w:hAnsi="Times New Roman" w:cs="Times New Roman" w:eastAsia="Times New Roman" w:hint="default"/>
                  <w:sz w:val="18"/>
                  <w:szCs w:val="18"/>
                </w:rPr>
                <w:t>www.cninfo.com.cn</w:t>
              </w:r>
            </w:hyperlink>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721"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财务报告内部控制缺陷评价的定性标准如 下：财务报告相关的内部控制重大缺陷的 </w:t>
            </w:r>
            <w:r>
              <w:rPr>
                <w:rFonts w:ascii="宋体" w:hAnsi="宋体" w:cs="宋体" w:eastAsia="宋体" w:hint="default"/>
                <w:spacing w:val="-4"/>
                <w:sz w:val="18"/>
                <w:szCs w:val="18"/>
              </w:rPr>
              <w:t>迹象包括：</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）公司董事、监事和高级管理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人员的舞弊行为；</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）公司更正已公布的财</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务报告；</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）注册会计师发现的却未被公司</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内部控制识别的当期财务报告中的重大错 </w:t>
            </w:r>
            <w:r>
              <w:rPr>
                <w:rFonts w:ascii="宋体" w:hAnsi="宋体" w:cs="宋体" w:eastAsia="宋体" w:hint="default"/>
                <w:spacing w:val="-4"/>
                <w:sz w:val="18"/>
                <w:szCs w:val="18"/>
              </w:rPr>
              <w:t>报；</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）审计委员会和审计部门对公司的对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外财务报告和财务报告内部控制监督无 效。</w:t>
            </w:r>
          </w:p>
          <w:p>
            <w:pPr>
              <w:pStyle w:val="TableParagraph"/>
              <w:spacing w:line="309" w:lineRule="auto" w:before="64"/>
              <w:ind w:left="22" w:right="23"/>
              <w:jc w:val="both"/>
              <w:rPr>
                <w:rFonts w:ascii="宋体" w:hAnsi="宋体" w:cs="宋体" w:eastAsia="宋体" w:hint="default"/>
                <w:sz w:val="18"/>
                <w:szCs w:val="18"/>
              </w:rPr>
            </w:pPr>
            <w:r>
              <w:rPr>
                <w:rFonts w:ascii="宋体" w:hAnsi="宋体" w:cs="宋体" w:eastAsia="宋体" w:hint="default"/>
                <w:sz w:val="18"/>
                <w:szCs w:val="18"/>
              </w:rPr>
              <w:t>财务报告相关的内部控制重要缺陷的迹象 </w:t>
            </w:r>
            <w:r>
              <w:rPr>
                <w:rFonts w:ascii="宋体" w:hAnsi="宋体" w:cs="宋体" w:eastAsia="宋体" w:hint="default"/>
                <w:spacing w:val="-4"/>
                <w:sz w:val="18"/>
                <w:szCs w:val="18"/>
              </w:rPr>
              <w:t>包括：</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）未依照公认会计准则选择和应用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会计政策；</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）未建立反舞弊程序和控制措</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22" w:right="-42"/>
              <w:jc w:val="both"/>
              <w:rPr>
                <w:rFonts w:ascii="宋体" w:hAnsi="宋体" w:cs="宋体" w:eastAsia="宋体" w:hint="default"/>
                <w:sz w:val="18"/>
                <w:szCs w:val="18"/>
              </w:rPr>
            </w:pPr>
            <w:r>
              <w:rPr>
                <w:rFonts w:ascii="宋体" w:hAnsi="宋体" w:cs="宋体" w:eastAsia="宋体" w:hint="default"/>
                <w:spacing w:val="6"/>
                <w:sz w:val="18"/>
                <w:szCs w:val="18"/>
              </w:rPr>
              <w:t>非财务报告缺陷认定主要以缺陷对业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性作判定。非财务报告重大缺陷存在的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迹象包括：违犯国家法律法规或规范性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文件、重大决策程序不科学、制度缺失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可能导致系统性失效、重大或重要缺陷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不能得到整改、其他对公司负面影响重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大的情形。除此以外，其他情形按影响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程度分别确定为重要缺陷或一般缺陷。</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1721"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r>
        <w:rPr/>
        <w:pict>
          <v:group style="position:absolute;margin-left:383.980011pt;margin-top:235.039978pt;width:154.3pt;height:15.6pt;mso-position-horizontal-relative:page;mso-position-vertical-relative:page;z-index:-1045528" coordorigin="7680,4701" coordsize="3086,312">
            <v:group style="position:absolute;left:7680;top:4701;width:2996;height:312" coordorigin="7680,4701" coordsize="2996,312">
              <v:shape style="position:absolute;left:7680;top:4701;width:2996;height:312" coordorigin="7680,4701" coordsize="2996,312" path="m7680,5013l10675,5013,10675,4701,7680,4701,7680,5013xe" filled="true" fillcolor="#ffffff" stroked="false">
                <v:path arrowok="t"/>
                <v:fill type="solid"/>
              </v:shape>
              <v:shape style="position:absolute;left:10585;top:476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r>
        <w:rPr/>
        <w:pict>
          <v:group style="position:absolute;margin-left:383.980011pt;margin-top:328.639984pt;width:154.3pt;height:31.2pt;mso-position-horizontal-relative:page;mso-position-vertical-relative:page;z-index:-1045480" coordorigin="7680,6573" coordsize="3086,624">
            <v:group style="position:absolute;left:7680;top:6573;width:2996;height:312" coordorigin="7680,6573" coordsize="2996,312">
              <v:shape style="position:absolute;left:7680;top:6573;width:2996;height:312" coordorigin="7680,6573" coordsize="2996,312" path="m7680,6885l10675,6885,10675,6573,7680,6573,7680,6885xe" filled="true" fillcolor="#ffffff" stroked="false">
                <v:path arrowok="t"/>
                <v:fill type="solid"/>
              </v:shape>
            </v:group>
            <v:group style="position:absolute;left:7680;top:6885;width:2996;height:312" coordorigin="7680,6885" coordsize="2996,312">
              <v:shape style="position:absolute;left:7680;top:6885;width:2996;height:312" coordorigin="7680,6885" coordsize="2996,312" path="m7680,7197l10675,7197,10675,6885,7680,6885,7680,7197xe" filled="true" fillcolor="#ffffff" stroked="false">
                <v:path arrowok="t"/>
                <v:fill type="solid"/>
              </v:shape>
              <v:shape style="position:absolute;left:10585;top:6951;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258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3" w:right="23"/>
              <w:jc w:val="both"/>
              <w:rPr>
                <w:rFonts w:ascii="宋体" w:hAnsi="宋体" w:cs="宋体" w:eastAsia="宋体" w:hint="default"/>
                <w:sz w:val="18"/>
                <w:szCs w:val="18"/>
              </w:rPr>
            </w:pPr>
            <w:r>
              <w:rPr>
                <w:rFonts w:ascii="宋体" w:hAnsi="宋体" w:cs="宋体" w:eastAsia="宋体" w:hint="default"/>
                <w:spacing w:val="-4"/>
                <w:sz w:val="18"/>
                <w:szCs w:val="18"/>
              </w:rPr>
              <w:t>施；</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）对于非常规或特殊交易的账务处理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没有建立相应的控制机制或没有实施且没 </w:t>
            </w:r>
            <w:r>
              <w:rPr>
                <w:rFonts w:ascii="宋体" w:hAnsi="宋体" w:cs="宋体" w:eastAsia="宋体" w:hint="default"/>
                <w:spacing w:val="-4"/>
                <w:sz w:val="18"/>
                <w:szCs w:val="18"/>
              </w:rPr>
              <w:t>有相应的补偿性控制；</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）对于期末财务报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告过程的控制存在一项或多项缺陷且不能 合理保证编制的财务报表达到真实、完整 的目标。</w:t>
            </w:r>
          </w:p>
          <w:p>
            <w:pPr>
              <w:pStyle w:val="TableParagraph"/>
              <w:spacing w:line="319" w:lineRule="auto" w:before="62"/>
              <w:ind w:left="23" w:right="48"/>
              <w:jc w:val="both"/>
              <w:rPr>
                <w:rFonts w:ascii="宋体" w:hAnsi="宋体" w:cs="宋体" w:eastAsia="宋体" w:hint="default"/>
                <w:sz w:val="18"/>
                <w:szCs w:val="18"/>
              </w:rPr>
            </w:pPr>
            <w:r>
              <w:rPr>
                <w:rFonts w:ascii="宋体" w:hAnsi="宋体" w:cs="宋体" w:eastAsia="宋体" w:hint="default"/>
                <w:sz w:val="18"/>
                <w:szCs w:val="18"/>
              </w:rPr>
              <w:t>一般缺陷是指除上述重大缺陷、重要缺陷 之外的其他控制缺陷。</w:t>
            </w:r>
          </w:p>
        </w:tc>
        <w:tc>
          <w:tcPr>
            <w:tcW w:w="3051" w:type="dxa"/>
            <w:tcBorders>
              <w:top w:val="single" w:sz="4" w:space="0" w:color="000000"/>
              <w:left w:val="single" w:sz="4" w:space="0" w:color="000000"/>
              <w:bottom w:val="single" w:sz="4" w:space="0" w:color="000000"/>
              <w:right w:val="single" w:sz="4" w:space="0" w:color="000000"/>
            </w:tcBorders>
          </w:tcPr>
          <w:p>
            <w:pPr/>
          </w:p>
        </w:tc>
      </w:tr>
      <w:tr>
        <w:trPr>
          <w:trHeight w:val="477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9" w:space="0" w:color="FFFFFF"/>
            </w:tcBorders>
          </w:tcPr>
          <w:p>
            <w:pPr>
              <w:pStyle w:val="TableParagraph"/>
              <w:spacing w:line="302" w:lineRule="auto" w:before="51"/>
              <w:ind w:left="23" w:right="-39"/>
              <w:jc w:val="left"/>
              <w:rPr>
                <w:rFonts w:ascii="宋体" w:hAnsi="宋体" w:cs="宋体" w:eastAsia="宋体" w:hint="default"/>
                <w:sz w:val="18"/>
                <w:szCs w:val="18"/>
              </w:rPr>
            </w:pPr>
            <w:r>
              <w:rPr>
                <w:rFonts w:ascii="宋体" w:hAnsi="宋体" w:cs="宋体" w:eastAsia="宋体" w:hint="default"/>
                <w:sz w:val="18"/>
                <w:szCs w:val="18"/>
              </w:rPr>
              <w:t>以资产总额、营业收入以及利润总额作为 </w:t>
            </w:r>
            <w:r>
              <w:rPr>
                <w:rFonts w:ascii="宋体" w:hAnsi="宋体" w:cs="宋体" w:eastAsia="宋体" w:hint="default"/>
                <w:spacing w:val="-4"/>
                <w:sz w:val="18"/>
                <w:szCs w:val="18"/>
              </w:rPr>
              <w:t>衡量指标，按照孰低原则执行。</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、资产总</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额，一般缺陷：错报额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资产总额的</w:t>
            </w:r>
            <w:r>
              <w:rPr>
                <w:rFonts w:ascii="宋体" w:hAnsi="宋体" w:cs="宋体" w:eastAsia="宋体" w:hint="default"/>
                <w:spacing w:val="-43"/>
                <w:sz w:val="18"/>
                <w:szCs w:val="18"/>
              </w:rPr>
              <w:t> </w:t>
            </w:r>
            <w:r>
              <w:rPr>
                <w:rFonts w:ascii="Times New Roman" w:hAnsi="Times New Roman" w:cs="Times New Roman" w:eastAsia="Times New Roman" w:hint="default"/>
                <w:spacing w:val="-7"/>
                <w:sz w:val="18"/>
                <w:szCs w:val="18"/>
              </w:rPr>
              <w:t>0.3%</w:t>
            </w:r>
            <w:r>
              <w:rPr>
                <w:rFonts w:ascii="宋体" w:hAnsi="宋体" w:cs="宋体" w:eastAsia="宋体" w:hint="default"/>
                <w:spacing w:val="-7"/>
                <w:sz w:val="18"/>
                <w:szCs w:val="18"/>
              </w:rPr>
              <w:t>；</w:t>
            </w:r>
            <w:r>
              <w:rPr>
                <w:rFonts w:ascii="宋体" w:hAnsi="宋体" w:cs="宋体" w:eastAsia="宋体" w:hint="default"/>
                <w:spacing w:val="-34"/>
                <w:sz w:val="18"/>
                <w:szCs w:val="18"/>
              </w:rPr>
              <w:t> </w:t>
            </w:r>
            <w:r>
              <w:rPr>
                <w:rFonts w:ascii="宋体" w:hAnsi="宋体" w:cs="宋体" w:eastAsia="宋体" w:hint="default"/>
                <w:spacing w:val="-6"/>
                <w:sz w:val="18"/>
                <w:szCs w:val="18"/>
              </w:rPr>
              <w:t>重要缺陷：资产总额的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0.3%&lt;</w:t>
            </w:r>
            <w:r>
              <w:rPr>
                <w:rFonts w:ascii="宋体" w:hAnsi="宋体" w:cs="宋体" w:eastAsia="宋体" w:hint="default"/>
                <w:sz w:val="18"/>
                <w:szCs w:val="18"/>
              </w:rPr>
              <w:t>错报额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w:t>
            </w:r>
            <w:r>
              <w:rPr>
                <w:rFonts w:ascii="宋体" w:hAnsi="宋体" w:cs="宋体" w:eastAsia="宋体" w:hint="default"/>
                <w:spacing w:val="-87"/>
                <w:sz w:val="18"/>
                <w:szCs w:val="18"/>
              </w:rPr>
              <w:t> </w:t>
            </w:r>
            <w:r>
              <w:rPr>
                <w:rFonts w:ascii="宋体" w:hAnsi="宋体" w:cs="宋体" w:eastAsia="宋体" w:hint="default"/>
                <w:sz w:val="18"/>
                <w:szCs w:val="18"/>
              </w:rPr>
              <w:t>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；重大缺陷：错报额</w:t>
            </w:r>
            <w:r>
              <w:rPr>
                <w:rFonts w:ascii="Times New Roman" w:hAnsi="Times New Roman" w:cs="Times New Roman" w:eastAsia="Times New Roman" w:hint="default"/>
                <w:sz w:val="18"/>
                <w:szCs w:val="18"/>
              </w:rPr>
              <w:t>&gt;</w:t>
            </w:r>
            <w:r>
              <w:rPr>
                <w:rFonts w:ascii="宋体" w:hAnsi="宋体" w:cs="宋体" w:eastAsia="宋体" w:hint="default"/>
                <w:sz w:val="18"/>
                <w:szCs w:val="18"/>
              </w:rPr>
              <w:t>资产总额 的</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、营业收入，一般缺陷：错报额</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营业收入的</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或者</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1"/>
                <w:sz w:val="18"/>
                <w:szCs w:val="18"/>
              </w:rPr>
              <w:t> </w:t>
            </w:r>
            <w:r>
              <w:rPr>
                <w:rFonts w:ascii="宋体" w:hAnsi="宋体" w:cs="宋体" w:eastAsia="宋体" w:hint="default"/>
                <w:spacing w:val="-16"/>
                <w:sz w:val="18"/>
                <w:szCs w:val="18"/>
              </w:rPr>
              <w:t>万元；重要缺陷：</w:t>
            </w:r>
            <w:r>
              <w:rPr>
                <w:rFonts w:ascii="宋体" w:hAnsi="宋体" w:cs="宋体" w:eastAsia="宋体" w:hint="default"/>
                <w:spacing w:val="-35"/>
                <w:sz w:val="18"/>
                <w:szCs w:val="18"/>
              </w:rPr>
              <w:t> </w:t>
            </w:r>
            <w:r>
              <w:rPr>
                <w:rFonts w:ascii="宋体" w:hAnsi="宋体" w:cs="宋体" w:eastAsia="宋体" w:hint="default"/>
                <w:sz w:val="18"/>
                <w:szCs w:val="18"/>
              </w:rPr>
              <w:t>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或者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&lt;</w:t>
            </w:r>
            <w:r>
              <w:rPr>
                <w:rFonts w:ascii="宋体" w:hAnsi="宋体" w:cs="宋体" w:eastAsia="宋体" w:hint="default"/>
                <w:sz w:val="18"/>
                <w:szCs w:val="18"/>
              </w:rPr>
              <w:t>错报额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营业收入的</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或者</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1"/>
                <w:sz w:val="18"/>
                <w:szCs w:val="18"/>
              </w:rPr>
              <w:t> </w:t>
            </w:r>
            <w:r>
              <w:rPr>
                <w:rFonts w:ascii="宋体" w:hAnsi="宋体" w:cs="宋体" w:eastAsia="宋体" w:hint="default"/>
                <w:spacing w:val="-16"/>
                <w:sz w:val="18"/>
                <w:szCs w:val="18"/>
              </w:rPr>
              <w:t>万元；重大缺陷：</w:t>
            </w:r>
            <w:r>
              <w:rPr>
                <w:rFonts w:ascii="宋体" w:hAnsi="宋体" w:cs="宋体" w:eastAsia="宋体" w:hint="default"/>
                <w:spacing w:val="-34"/>
                <w:sz w:val="18"/>
                <w:szCs w:val="18"/>
              </w:rPr>
              <w:t> </w:t>
            </w:r>
            <w:r>
              <w:rPr>
                <w:rFonts w:ascii="宋体" w:hAnsi="宋体" w:cs="宋体" w:eastAsia="宋体" w:hint="default"/>
                <w:sz w:val="18"/>
                <w:szCs w:val="18"/>
              </w:rPr>
              <w:t>错报额</w:t>
            </w:r>
            <w:r>
              <w:rPr>
                <w:rFonts w:ascii="Times New Roman" w:hAnsi="Times New Roman" w:cs="Times New Roman" w:eastAsia="Times New Roman" w:hint="default"/>
                <w:sz w:val="18"/>
                <w:szCs w:val="18"/>
              </w:rPr>
              <w:t>&gt;</w:t>
            </w:r>
            <w:r>
              <w:rPr>
                <w:rFonts w:ascii="宋体" w:hAnsi="宋体" w:cs="宋体" w:eastAsia="宋体" w:hint="default"/>
                <w:sz w:val="18"/>
                <w:szCs w:val="18"/>
              </w:rPr>
              <w:t>营业收入的</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或者</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5"/>
                <w:sz w:val="18"/>
                <w:szCs w:val="18"/>
              </w:rPr>
              <w:t> </w:t>
            </w:r>
            <w:r>
              <w:rPr>
                <w:rFonts w:ascii="宋体" w:hAnsi="宋体" w:cs="宋体" w:eastAsia="宋体" w:hint="default"/>
                <w:spacing w:val="-25"/>
                <w:sz w:val="18"/>
                <w:szCs w:val="18"/>
              </w:rPr>
              <w:t>万元。</w:t>
            </w:r>
            <w:r>
              <w:rPr>
                <w:rFonts w:ascii="Times New Roman" w:hAnsi="Times New Roman" w:cs="Times New Roman" w:eastAsia="Times New Roman" w:hint="default"/>
                <w:spacing w:val="-25"/>
                <w:sz w:val="18"/>
                <w:szCs w:val="18"/>
              </w:rPr>
              <w:t>3</w:t>
            </w:r>
            <w:r>
              <w:rPr>
                <w:rFonts w:ascii="宋体" w:hAnsi="宋体" w:cs="宋体" w:eastAsia="宋体" w:hint="default"/>
                <w:spacing w:val="-25"/>
                <w:sz w:val="18"/>
                <w:szCs w:val="18"/>
              </w:rPr>
              <w:t>、</w:t>
            </w:r>
            <w:r>
              <w:rPr>
                <w:rFonts w:ascii="宋体" w:hAnsi="宋体" w:cs="宋体" w:eastAsia="宋体" w:hint="default"/>
                <w:spacing w:val="-35"/>
                <w:sz w:val="18"/>
                <w:szCs w:val="18"/>
              </w:rPr>
              <w:t> </w:t>
            </w:r>
            <w:r>
              <w:rPr>
                <w:rFonts w:ascii="宋体" w:hAnsi="宋体" w:cs="宋体" w:eastAsia="宋体" w:hint="default"/>
                <w:spacing w:val="-4"/>
                <w:sz w:val="18"/>
                <w:szCs w:val="18"/>
              </w:rPr>
              <w:t>利润总额，一般缺陷：错报额</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利润总额的</w:t>
            </w:r>
            <w:r>
              <w:rPr>
                <w:rFonts w:ascii="宋体" w:hAnsi="宋体" w:cs="宋体" w:eastAsia="宋体" w:hint="default"/>
                <w:spacing w:val="-8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或者</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万元；重要缺陷：利润总额的</w:t>
            </w:r>
          </w:p>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或者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&lt;</w:t>
            </w:r>
            <w:r>
              <w:rPr>
                <w:rFonts w:ascii="宋体" w:hAnsi="宋体" w:cs="宋体" w:eastAsia="宋体" w:hint="default"/>
                <w:sz w:val="18"/>
                <w:szCs w:val="18"/>
              </w:rPr>
              <w:t>错报额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302" w:lineRule="auto" w:before="63"/>
              <w:ind w:left="23" w:right="15"/>
              <w:jc w:val="left"/>
              <w:rPr>
                <w:rFonts w:ascii="宋体" w:hAnsi="宋体" w:cs="宋体" w:eastAsia="宋体" w:hint="default"/>
                <w:sz w:val="18"/>
                <w:szCs w:val="18"/>
              </w:rPr>
            </w:pPr>
            <w:r>
              <w:rPr>
                <w:rFonts w:ascii="宋体" w:hAnsi="宋体" w:cs="宋体" w:eastAsia="宋体" w:hint="default"/>
                <w:sz w:val="18"/>
                <w:szCs w:val="18"/>
              </w:rPr>
              <w:t>或者</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万元；重大缺陷：错报额</w:t>
            </w:r>
            <w:r>
              <w:rPr>
                <w:rFonts w:ascii="Times New Roman" w:hAnsi="Times New Roman" w:cs="Times New Roman" w:eastAsia="Times New Roman" w:hint="default"/>
                <w:spacing w:val="-3"/>
                <w:sz w:val="18"/>
                <w:szCs w:val="18"/>
              </w:rPr>
              <w:t>&gt;</w:t>
            </w:r>
            <w:r>
              <w:rPr>
                <w:rFonts w:ascii="宋体" w:hAnsi="宋体" w:cs="宋体" w:eastAsia="宋体" w:hint="default"/>
                <w:spacing w:val="-3"/>
                <w:sz w:val="18"/>
                <w:szCs w:val="18"/>
              </w:rPr>
              <w:t>利润</w:t>
            </w:r>
            <w:r>
              <w:rPr>
                <w:rFonts w:ascii="宋体" w:hAnsi="宋体" w:cs="宋体" w:eastAsia="宋体" w:hint="default"/>
                <w:spacing w:val="-88"/>
                <w:sz w:val="18"/>
                <w:szCs w:val="18"/>
              </w:rPr>
              <w:t> </w:t>
            </w:r>
            <w:r>
              <w:rPr>
                <w:rFonts w:ascii="宋体" w:hAnsi="宋体" w:cs="宋体" w:eastAsia="宋体" w:hint="default"/>
                <w:sz w:val="18"/>
                <w:szCs w:val="18"/>
              </w:rPr>
              <w:t>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051"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9" w:lineRule="auto" w:before="128"/>
              <w:ind w:left="16" w:right="25"/>
              <w:jc w:val="left"/>
              <w:rPr>
                <w:rFonts w:ascii="宋体" w:hAnsi="宋体" w:cs="宋体" w:eastAsia="宋体" w:hint="default"/>
                <w:sz w:val="18"/>
                <w:szCs w:val="18"/>
              </w:rPr>
            </w:pPr>
            <w:r>
              <w:rPr>
                <w:rFonts w:ascii="宋体" w:hAnsi="宋体" w:cs="宋体" w:eastAsia="宋体" w:hint="default"/>
                <w:sz w:val="18"/>
                <w:szCs w:val="18"/>
              </w:rPr>
              <w:t>根据缺陷可能造成直接财产损失的绝 </w:t>
            </w:r>
            <w:r>
              <w:rPr>
                <w:rFonts w:ascii="宋体" w:hAnsi="宋体" w:cs="宋体" w:eastAsia="宋体" w:hint="default"/>
                <w:spacing w:val="-4"/>
                <w:sz w:val="18"/>
                <w:szCs w:val="18"/>
              </w:rPr>
              <w:t>对金额或潜在负面影响等因素确定。</w:t>
            </w:r>
            <w:r>
              <w:rPr>
                <w:rFonts w:ascii="Times New Roman" w:hAnsi="Times New Roman" w:cs="Times New Roman" w:eastAsia="Times New Roman" w:hint="default"/>
                <w:spacing w:val="-4"/>
                <w:sz w:val="18"/>
                <w:szCs w:val="18"/>
              </w:rPr>
              <w:t>1</w:t>
            </w:r>
            <w:r>
              <w:rPr>
                <w:rFonts w:ascii="Times New Roman" w:hAnsi="Times New Roman" w:cs="Times New Roman" w:eastAsia="Times New Roman" w:hint="default"/>
                <w:spacing w:val="-42"/>
                <w:sz w:val="18"/>
                <w:szCs w:val="18"/>
              </w:rPr>
              <w:t> </w:t>
            </w:r>
            <w:r>
              <w:rPr>
                <w:rFonts w:ascii="宋体" w:hAnsi="宋体" w:cs="宋体" w:eastAsia="宋体" w:hint="default"/>
                <w:spacing w:val="-10"/>
                <w:sz w:val="18"/>
                <w:szCs w:val="18"/>
              </w:rPr>
              <w:t>重大缺陷，直接财产损失：</w:t>
            </w:r>
            <w:r>
              <w:rPr>
                <w:rFonts w:ascii="Times New Roman" w:hAnsi="Times New Roman" w:cs="Times New Roman" w:eastAsia="Times New Roman" w:hint="default"/>
                <w:spacing w:val="-10"/>
                <w:sz w:val="18"/>
                <w:szCs w:val="18"/>
              </w:rPr>
              <w:t>300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pacing w:val="-4"/>
                <w:sz w:val="18"/>
                <w:szCs w:val="18"/>
              </w:rPr>
              <w:t>以上；潜在负面影响：已经对外正式披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露并对公司定期报告披露造成负面影 响。</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、重要缺陷，直接财产损失：</w:t>
            </w:r>
            <w:r>
              <w:rPr>
                <w:rFonts w:ascii="Times New Roman" w:hAnsi="Times New Roman" w:cs="Times New Roman" w:eastAsia="Times New Roman" w:hint="default"/>
                <w:sz w:val="18"/>
                <w:szCs w:val="18"/>
              </w:rPr>
              <w:t>50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)-300 </w:t>
            </w:r>
            <w:r>
              <w:rPr>
                <w:rFonts w:ascii="宋体" w:hAnsi="宋体" w:cs="宋体" w:eastAsia="宋体" w:hint="default"/>
                <w:spacing w:val="-3"/>
                <w:sz w:val="18"/>
                <w:szCs w:val="18"/>
              </w:rPr>
              <w:t>万元；潜在负面影响：受</w:t>
            </w:r>
            <w:r>
              <w:rPr>
                <w:rFonts w:ascii="宋体" w:hAnsi="宋体" w:cs="宋体" w:eastAsia="宋体" w:hint="default"/>
                <w:spacing w:val="-10"/>
                <w:sz w:val="18"/>
                <w:szCs w:val="18"/>
              </w:rPr>
              <w:t> </w:t>
            </w:r>
            <w:r>
              <w:rPr>
                <w:rFonts w:ascii="宋体" w:hAnsi="宋体" w:cs="宋体" w:eastAsia="宋体" w:hint="default"/>
                <w:spacing w:val="-4"/>
                <w:sz w:val="18"/>
                <w:szCs w:val="18"/>
              </w:rPr>
              <w:t>到国家政府部门处罚，但未对公司定期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报告披露造成负面影响。</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、一般缺陷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直接财产损失：</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万元以下；潜在负 </w:t>
            </w:r>
            <w:r>
              <w:rPr>
                <w:rFonts w:ascii="宋体" w:hAnsi="宋体" w:cs="宋体" w:eastAsia="宋体" w:hint="default"/>
                <w:spacing w:val="-4"/>
                <w:sz w:val="18"/>
                <w:szCs w:val="18"/>
              </w:rPr>
              <w:t>面影响：受到省级（含省级）以下政府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部门处罚但未对公司定期报告披露造 成负面影响。</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6"/>
                <w:szCs w:val="26"/>
              </w:rPr>
            </w:pPr>
          </w:p>
          <w:p>
            <w:pPr>
              <w:pStyle w:val="TableParagraph"/>
              <w:spacing w:line="312" w:lineRule="exact"/>
              <w:ind w:left="16" w:right="-28"/>
              <w:jc w:val="left"/>
              <w:rPr>
                <w:rFonts w:ascii="宋体" w:hAnsi="宋体" w:cs="宋体" w:eastAsia="宋体" w:hint="default"/>
                <w:sz w:val="20"/>
                <w:szCs w:val="20"/>
              </w:rPr>
            </w:pPr>
            <w:r>
              <w:rPr>
                <w:rFonts w:ascii="宋体" w:hAnsi="宋体" w:cs="宋体" w:eastAsia="宋体" w:hint="default"/>
                <w:position w:val="-5"/>
                <w:sz w:val="20"/>
                <w:szCs w:val="20"/>
              </w:rPr>
              <w:pict>
                <v:group style="width:149.8pt;height:15.6pt;mso-position-horizontal-relative:char;mso-position-vertical-relative:line" coordorigin="0,0" coordsize="2996,312">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3"/>
                <w:szCs w:val="13"/>
              </w:rPr>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十、内部控制审计报告或鉴证报告" w:id="152"/>
      <w:bookmarkEnd w:id="152"/>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126" w:right="0"/>
        <w:jc w:val="left"/>
        <w:rPr>
          <w:b w:val="0"/>
          <w:bCs w:val="0"/>
        </w:rPr>
      </w:pPr>
      <w:bookmarkStart w:name="第十节 公司债券相关情况" w:id="153"/>
      <w:bookmarkEnd w:id="153"/>
      <w:r>
        <w:rPr>
          <w:b w:val="0"/>
          <w:bCs w:val="0"/>
        </w:rPr>
      </w:r>
      <w:bookmarkStart w:name="_bookmark8" w:id="154"/>
      <w:bookmarkEnd w:id="154"/>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2"/>
        <w:jc w:val="left"/>
      </w:pPr>
      <w:r>
        <w:rPr/>
        <w:t>公司是否存在公开发行并在证券交易所上市，且在年度报告批准报出日未到期或到期未能全额兑付的公司债券 是</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一、公司债券基本信息" w:id="155"/>
      <w:bookmarkEnd w:id="155"/>
      <w:r>
        <w:rPr>
          <w:b w:val="0"/>
          <w:bCs w:val="0"/>
        </w:rPr>
      </w:r>
      <w:r>
        <w:rPr/>
        <w:t>一、公司债券基本信息</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0"/>
          <w:szCs w:val="20"/>
        </w:rPr>
      </w:pPr>
    </w:p>
    <w:p>
      <w:pPr>
        <w:pStyle w:val="BodyText"/>
        <w:spacing w:line="240" w:lineRule="auto" w:before="44"/>
        <w:ind w:left="0" w:right="1042"/>
        <w:jc w:val="right"/>
      </w:pPr>
      <w:r>
        <w:rPr/>
        <w:pict>
          <v:shape style="position:absolute;margin-left:56.459999pt;margin-top:-206.008286pt;width:484.1pt;height:323.9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34"/>
                    <w:gridCol w:w="490"/>
                    <w:gridCol w:w="676"/>
                    <w:gridCol w:w="716"/>
                    <w:gridCol w:w="717"/>
                    <w:gridCol w:w="998"/>
                    <w:gridCol w:w="3407"/>
                    <w:gridCol w:w="1129"/>
                  </w:tblGrid>
                  <w:tr>
                    <w:trPr>
                      <w:trHeight w:val="714" w:hRule="exact"/>
                    </w:trPr>
                    <w:tc>
                      <w:tcPr>
                        <w:tcW w:w="1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 w:right="59"/>
                          <w:jc w:val="left"/>
                          <w:rPr>
                            <w:rFonts w:ascii="宋体" w:hAnsi="宋体" w:cs="宋体" w:eastAsia="宋体" w:hint="default"/>
                            <w:sz w:val="18"/>
                            <w:szCs w:val="18"/>
                          </w:rPr>
                        </w:pPr>
                        <w:r>
                          <w:rPr>
                            <w:rFonts w:ascii="宋体" w:hAnsi="宋体" w:cs="宋体" w:eastAsia="宋体" w:hint="default"/>
                            <w:sz w:val="18"/>
                            <w:szCs w:val="18"/>
                          </w:rPr>
                          <w:t>债券 简称</w:t>
                        </w:r>
                      </w:p>
                    </w:tc>
                    <w:tc>
                      <w:tcPr>
                        <w:tcW w:w="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2" w:right="61" w:hanging="180"/>
                          <w:jc w:val="left"/>
                          <w:rPr>
                            <w:rFonts w:ascii="宋体" w:hAnsi="宋体" w:cs="宋体" w:eastAsia="宋体" w:hint="default"/>
                            <w:sz w:val="18"/>
                            <w:szCs w:val="18"/>
                          </w:rPr>
                        </w:pPr>
                        <w:r>
                          <w:rPr>
                            <w:rFonts w:ascii="宋体" w:hAnsi="宋体" w:cs="宋体" w:eastAsia="宋体" w:hint="default"/>
                            <w:sz w:val="18"/>
                            <w:szCs w:val="18"/>
                          </w:rPr>
                          <w:t>债券代 码</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4" w:right="0"/>
                          <w:jc w:val="left"/>
                          <w:rPr>
                            <w:rFonts w:ascii="宋体" w:hAnsi="宋体" w:cs="宋体" w:eastAsia="宋体" w:hint="default"/>
                            <w:sz w:val="18"/>
                            <w:szCs w:val="18"/>
                          </w:rPr>
                        </w:pPr>
                        <w:r>
                          <w:rPr>
                            <w:rFonts w:ascii="宋体" w:hAnsi="宋体" w:cs="宋体" w:eastAsia="宋体" w:hint="default"/>
                            <w:sz w:val="18"/>
                            <w:szCs w:val="18"/>
                          </w:rPr>
                          <w:t>债券余额</w:t>
                        </w:r>
                      </w:p>
                      <w:p>
                        <w:pPr>
                          <w:pStyle w:val="TableParagraph"/>
                          <w:spacing w:line="240" w:lineRule="auto" w:before="76"/>
                          <w:ind w:left="13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利率</w:t>
                        </w:r>
                      </w:p>
                    </w:tc>
                    <w:tc>
                      <w:tcPr>
                        <w:tcW w:w="1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9" w:right="108" w:hanging="360"/>
                          <w:jc w:val="left"/>
                          <w:rPr>
                            <w:rFonts w:ascii="宋体" w:hAnsi="宋体" w:cs="宋体" w:eastAsia="宋体" w:hint="default"/>
                            <w:sz w:val="18"/>
                            <w:szCs w:val="18"/>
                          </w:rPr>
                        </w:pPr>
                        <w:r>
                          <w:rPr>
                            <w:rFonts w:ascii="宋体" w:hAnsi="宋体" w:cs="宋体" w:eastAsia="宋体" w:hint="default"/>
                            <w:sz w:val="18"/>
                            <w:szCs w:val="18"/>
                          </w:rPr>
                          <w:t>还本付息方 式</w:t>
                        </w:r>
                      </w:p>
                    </w:tc>
                  </w:tr>
                  <w:tr>
                    <w:trPr>
                      <w:trHeight w:val="1650"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59"/>
                          <w:jc w:val="both"/>
                          <w:rPr>
                            <w:rFonts w:ascii="宋体" w:hAnsi="宋体" w:cs="宋体" w:eastAsia="宋体" w:hint="default"/>
                            <w:sz w:val="18"/>
                            <w:szCs w:val="18"/>
                          </w:rPr>
                        </w:pPr>
                        <w:r>
                          <w:rPr>
                            <w:rFonts w:ascii="宋体" w:hAnsi="宋体" w:cs="宋体" w:eastAsia="宋体" w:hint="default"/>
                            <w:sz w:val="18"/>
                            <w:szCs w:val="18"/>
                          </w:rPr>
                          <w:t>北京久其软件股份 有限公司可转换公 司债券</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久其 转债</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128015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45" w:right="0"/>
                          <w:jc w:val="left"/>
                          <w:rPr>
                            <w:rFonts w:ascii="Times New Roman" w:hAnsi="Times New Roman" w:cs="Times New Roman" w:eastAsia="Times New Roman" w:hint="default"/>
                            <w:sz w:val="18"/>
                            <w:szCs w:val="18"/>
                          </w:rPr>
                        </w:pPr>
                        <w:r>
                          <w:rPr>
                            <w:rFonts w:ascii="Times New Roman"/>
                            <w:sz w:val="18"/>
                          </w:rPr>
                          <w:t>77,986.72</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8"/>
                          <w:ind w:left="22" w:right="833"/>
                          <w:jc w:val="both"/>
                          <w:rPr>
                            <w:rFonts w:ascii="宋体" w:hAnsi="宋体" w:cs="宋体" w:eastAsia="宋体" w:hint="default"/>
                            <w:sz w:val="18"/>
                            <w:szCs w:val="18"/>
                          </w:rPr>
                        </w:pPr>
                        <w:r>
                          <w:rPr>
                            <w:rFonts w:ascii="宋体" w:hAnsi="宋体" w:cs="宋体" w:eastAsia="宋体" w:hint="default"/>
                            <w:sz w:val="18"/>
                            <w:szCs w:val="18"/>
                          </w:rPr>
                          <w:t>第一年 </w:t>
                        </w:r>
                        <w:r>
                          <w:rPr>
                            <w:rFonts w:ascii="Times New Roman" w:hAnsi="Times New Roman" w:cs="Times New Roman" w:eastAsia="Times New Roman" w:hint="default"/>
                            <w:sz w:val="18"/>
                            <w:szCs w:val="18"/>
                          </w:rPr>
                          <w:t>0.30%</w:t>
                        </w:r>
                        <w:r>
                          <w:rPr>
                            <w:rFonts w:ascii="宋体" w:hAnsi="宋体" w:cs="宋体" w:eastAsia="宋体" w:hint="default"/>
                            <w:sz w:val="18"/>
                            <w:szCs w:val="18"/>
                          </w:rPr>
                          <w:t>；第二年</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0.50%</w:t>
                        </w:r>
                        <w:r>
                          <w:rPr>
                            <w:rFonts w:ascii="宋体" w:hAnsi="宋体" w:cs="宋体" w:eastAsia="宋体" w:hint="default"/>
                            <w:sz w:val="18"/>
                            <w:szCs w:val="18"/>
                          </w:rPr>
                          <w:t>； 第三年 </w:t>
                        </w:r>
                        <w:r>
                          <w:rPr>
                            <w:rFonts w:ascii="Times New Roman" w:hAnsi="Times New Roman" w:cs="Times New Roman" w:eastAsia="Times New Roman" w:hint="default"/>
                            <w:sz w:val="18"/>
                            <w:szCs w:val="18"/>
                          </w:rPr>
                          <w:t>1.00%</w:t>
                        </w:r>
                        <w:r>
                          <w:rPr>
                            <w:rFonts w:ascii="宋体" w:hAnsi="宋体" w:cs="宋体" w:eastAsia="宋体" w:hint="default"/>
                            <w:sz w:val="18"/>
                            <w:szCs w:val="18"/>
                          </w:rPr>
                          <w:t>；第四年</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1.30%</w:t>
                        </w:r>
                        <w:r>
                          <w:rPr>
                            <w:rFonts w:ascii="宋体" w:hAnsi="宋体" w:cs="宋体" w:eastAsia="宋体" w:hint="default"/>
                            <w:sz w:val="18"/>
                            <w:szCs w:val="18"/>
                          </w:rPr>
                          <w:t>； 第五年 </w:t>
                        </w:r>
                        <w:r>
                          <w:rPr>
                            <w:rFonts w:ascii="Times New Roman" w:hAnsi="Times New Roman" w:cs="Times New Roman" w:eastAsia="Times New Roman" w:hint="default"/>
                            <w:sz w:val="18"/>
                            <w:szCs w:val="18"/>
                          </w:rPr>
                          <w:t>1.50%</w:t>
                        </w:r>
                        <w:r>
                          <w:rPr>
                            <w:rFonts w:ascii="宋体" w:hAnsi="宋体" w:cs="宋体" w:eastAsia="宋体" w:hint="default"/>
                            <w:sz w:val="18"/>
                            <w:szCs w:val="18"/>
                          </w:rPr>
                          <w:t>；第六年</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1.80%</w:t>
                        </w:r>
                        <w:r>
                          <w:rPr>
                            <w:rFonts w:ascii="宋体" w:hAnsi="宋体" w:cs="宋体" w:eastAsia="宋体" w:hint="default"/>
                            <w:sz w:val="18"/>
                            <w:szCs w:val="18"/>
                          </w:rPr>
                          <w:t>。</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4"/>
                          <w:jc w:val="both"/>
                          <w:rPr>
                            <w:rFonts w:ascii="宋体" w:hAnsi="宋体" w:cs="宋体" w:eastAsia="宋体" w:hint="default"/>
                            <w:sz w:val="18"/>
                            <w:szCs w:val="18"/>
                          </w:rPr>
                        </w:pPr>
                        <w:r>
                          <w:rPr>
                            <w:rFonts w:ascii="宋体" w:hAnsi="宋体" w:cs="宋体" w:eastAsia="宋体" w:hint="default"/>
                            <w:sz w:val="18"/>
                            <w:szCs w:val="18"/>
                          </w:rPr>
                          <w:t>本次发行的 可转债采用 每年付息一 次的付息方 式</w:t>
                        </w:r>
                      </w:p>
                    </w:tc>
                  </w:tr>
                  <w:tr>
                    <w:trPr>
                      <w:trHeight w:val="714" w:hRule="exact"/>
                    </w:trPr>
                    <w:tc>
                      <w:tcPr>
                        <w:tcW w:w="20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公司债券上市或转让的 交易场所</w:t>
                        </w:r>
                      </w:p>
                    </w:tc>
                    <w:tc>
                      <w:tcPr>
                        <w:tcW w:w="764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0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64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338" w:hRule="exact"/>
                    </w:trPr>
                    <w:tc>
                      <w:tcPr>
                        <w:tcW w:w="20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189"/>
                          <w:jc w:val="left"/>
                          <w:rPr>
                            <w:rFonts w:ascii="宋体" w:hAnsi="宋体" w:cs="宋体" w:eastAsia="宋体" w:hint="default"/>
                            <w:sz w:val="18"/>
                            <w:szCs w:val="18"/>
                          </w:rPr>
                        </w:pPr>
                        <w:r>
                          <w:rPr>
                            <w:rFonts w:ascii="宋体" w:hAnsi="宋体" w:cs="宋体" w:eastAsia="宋体" w:hint="default"/>
                            <w:sz w:val="18"/>
                            <w:szCs w:val="18"/>
                          </w:rPr>
                          <w:t>报告期内公司债券的付 息兑付情况</w:t>
                        </w:r>
                      </w:p>
                    </w:tc>
                    <w:tc>
                      <w:tcPr>
                        <w:tcW w:w="764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日按面值支付久其转债第一年利息，每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张久其转债（面值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利息为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。具体情况详见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在</w:t>
                        </w:r>
                        <w:r>
                          <w:rPr>
                            <w:rFonts w:ascii="宋体" w:hAnsi="宋体" w:cs="宋体" w:eastAsia="宋体" w:hint="default"/>
                            <w:sz w:val="18"/>
                            <w:szCs w:val="18"/>
                          </w:rPr>
                          <w:t>信息披露媒体《中国证券报</w:t>
                        </w:r>
                        <w:r>
                          <w:rPr>
                            <w:rFonts w:ascii="宋体" w:hAnsi="宋体" w:cs="宋体" w:eastAsia="宋体" w:hint="default"/>
                            <w:spacing w:val="-90"/>
                            <w:sz w:val="18"/>
                            <w:szCs w:val="18"/>
                          </w:rPr>
                          <w:t>》</w:t>
                        </w:r>
                        <w:r>
                          <w:rPr>
                            <w:rFonts w:ascii="宋体" w:hAnsi="宋体" w:cs="宋体" w:eastAsia="宋体" w:hint="default"/>
                            <w:sz w:val="18"/>
                            <w:szCs w:val="18"/>
                          </w:rPr>
                          <w:t>《证券时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16"/>
                            <w:sz w:val="18"/>
                            <w:szCs w:val="18"/>
                          </w:rPr>
                          <w:t>》</w:t>
                        </w:r>
                        <w:r>
                          <w:rPr>
                            <w:rFonts w:ascii="宋体" w:hAnsi="宋体" w:cs="宋体" w:eastAsia="宋体" w:hint="default"/>
                            <w:sz w:val="18"/>
                            <w:szCs w:val="18"/>
                          </w:rPr>
                          <w:t>和巨潮资讯</w:t>
                        </w:r>
                        <w:r>
                          <w:rPr>
                            <w:rFonts w:ascii="宋体" w:hAnsi="宋体" w:cs="宋体" w:eastAsia="宋体" w:hint="default"/>
                            <w:spacing w:val="-16"/>
                            <w:sz w:val="18"/>
                            <w:szCs w:val="18"/>
                          </w:rPr>
                          <w:t>网</w:t>
                        </w:r>
                        <w:r>
                          <w:rPr>
                            <w:rFonts w:ascii="宋体" w:hAnsi="宋体" w:cs="宋体" w:eastAsia="宋体" w:hint="default"/>
                            <w:sz w:val="18"/>
                            <w:szCs w:val="18"/>
                          </w:rPr>
                          <w:t>（</w:t>
                        </w:r>
                        <w:hyperlink r:id="rId13">
                          <w:r>
                            <w:rPr>
                              <w:rFonts w:ascii="Times New Roman" w:hAnsi="Times New Roman" w:cs="Times New Roman" w:eastAsia="Times New Roman" w:hint="default"/>
                              <w:w w:val="99"/>
                              <w:sz w:val="18"/>
                              <w:szCs w:val="18"/>
                            </w:rPr>
                            <w:t>ww</w:t>
                          </w:r>
                          <w:r>
                            <w:rPr>
                              <w:rFonts w:ascii="Times New Roman" w:hAnsi="Times New Roman" w:cs="Times New Roman" w:eastAsia="Times New Roman" w:hint="default"/>
                              <w:spacing w:val="-12"/>
                              <w:w w:val="99"/>
                              <w:sz w:val="18"/>
                              <w:szCs w:val="18"/>
                            </w:rPr>
                            <w:t>w</w:t>
                          </w:r>
                          <w:r>
                            <w:rPr>
                              <w:rFonts w:ascii="Times New Roman" w:hAnsi="Times New Roman" w:cs="Times New Roman" w:eastAsia="Times New Roman" w:hint="default"/>
                              <w:sz w:val="18"/>
                              <w:szCs w:val="18"/>
                            </w:rPr>
                            <w:t>.cninfo.co</w:t>
                          </w:r>
                          <w:r>
                            <w:rPr>
                              <w:rFonts w:ascii="Times New Roman" w:hAnsi="Times New Roman" w:cs="Times New Roman" w:eastAsia="Times New Roman" w:hint="default"/>
                              <w:spacing w:val="-1"/>
                              <w:sz w:val="18"/>
                              <w:szCs w:val="18"/>
                            </w:rPr>
                            <w:t>m</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n</w:t>
                          </w:r>
                        </w:hyperlink>
                        <w:r>
                          <w:rPr>
                            <w:rFonts w:ascii="宋体" w:hAnsi="宋体" w:cs="宋体" w:eastAsia="宋体" w:hint="default"/>
                            <w:spacing w:val="-16"/>
                            <w:sz w:val="18"/>
                            <w:szCs w:val="18"/>
                          </w:rPr>
                          <w:t>）</w:t>
                        </w:r>
                        <w:r>
                          <w:rPr>
                            <w:rFonts w:ascii="宋体" w:hAnsi="宋体" w:cs="宋体" w:eastAsia="宋体" w:hint="default"/>
                            <w:spacing w:val="-2"/>
                            <w:sz w:val="18"/>
                            <w:szCs w:val="18"/>
                          </w:rPr>
                          <w:t>披</w:t>
                        </w:r>
                        <w:r>
                          <w:rPr>
                            <w:rFonts w:ascii="宋体" w:hAnsi="宋体" w:cs="宋体" w:eastAsia="宋体" w:hint="default"/>
                            <w:sz w:val="18"/>
                            <w:szCs w:val="18"/>
                          </w:rPr>
                          <w:t>露</w:t>
                        </w:r>
                        <w:r>
                          <w:rPr>
                            <w:rFonts w:ascii="宋体" w:hAnsi="宋体" w:cs="宋体" w:eastAsia="宋体" w:hint="default"/>
                            <w:spacing w:val="-16"/>
                            <w:sz w:val="18"/>
                            <w:szCs w:val="18"/>
                          </w:rPr>
                          <w:t>的</w:t>
                        </w:r>
                        <w:r>
                          <w:rPr>
                            <w:rFonts w:ascii="宋体" w:hAnsi="宋体" w:cs="宋体" w:eastAsia="宋体" w:hint="default"/>
                            <w:sz w:val="18"/>
                            <w:szCs w:val="18"/>
                          </w:rPr>
                          <w:t>《可转换公司债券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年付息公告</w:t>
                        </w:r>
                        <w:r>
                          <w:rPr>
                            <w:rFonts w:ascii="宋体" w:hAnsi="宋体" w:cs="宋体" w:eastAsia="宋体" w:hint="default"/>
                            <w:spacing w:val="-106"/>
                            <w:sz w:val="18"/>
                            <w:szCs w:val="18"/>
                          </w:rPr>
                          <w:t>》</w:t>
                        </w:r>
                        <w:r>
                          <w:rPr>
                            <w:rFonts w:ascii="宋体" w:hAnsi="宋体" w:cs="宋体" w:eastAsia="宋体" w:hint="default"/>
                            <w:sz w:val="18"/>
                            <w:szCs w:val="18"/>
                          </w:rPr>
                          <w:t>（公告编号</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2018-060</w:t>
                        </w:r>
                        <w:r>
                          <w:rPr>
                            <w:rFonts w:ascii="宋体" w:hAnsi="宋体" w:cs="宋体" w:eastAsia="宋体" w:hint="default"/>
                            <w:sz w:val="18"/>
                            <w:szCs w:val="18"/>
                          </w:rPr>
                          <w:t>）</w:t>
                        </w:r>
                      </w:p>
                    </w:tc>
                  </w:tr>
                  <w:tr>
                    <w:trPr>
                      <w:trHeight w:val="1650" w:hRule="exact"/>
                    </w:trPr>
                    <w:tc>
                      <w:tcPr>
                        <w:tcW w:w="20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公司债券附发行人或投 </w:t>
                        </w:r>
                        <w:r>
                          <w:rPr>
                            <w:rFonts w:ascii="宋体" w:hAnsi="宋体" w:cs="宋体" w:eastAsia="宋体" w:hint="default"/>
                            <w:spacing w:val="-2"/>
                            <w:sz w:val="18"/>
                            <w:szCs w:val="18"/>
                          </w:rPr>
                          <w:t>资者选择权条款、可交换</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条款等特殊条款的，报告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期内相关条款的执行情 </w:t>
                        </w:r>
                        <w:r>
                          <w:rPr>
                            <w:rFonts w:ascii="宋体" w:hAnsi="宋体" w:cs="宋体" w:eastAsia="宋体" w:hint="default"/>
                            <w:spacing w:val="-13"/>
                            <w:sz w:val="18"/>
                            <w:szCs w:val="18"/>
                          </w:rPr>
                          <w:t>况（如适用）。</w:t>
                        </w:r>
                      </w:p>
                    </w:tc>
                    <w:tc>
                      <w:tcPr>
                        <w:tcW w:w="764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2"/>
        <w:spacing w:line="240" w:lineRule="auto" w:before="26"/>
        <w:ind w:right="0"/>
        <w:jc w:val="left"/>
        <w:rPr>
          <w:b w:val="0"/>
          <w:bCs w:val="0"/>
        </w:rPr>
      </w:pPr>
      <w:bookmarkStart w:name="二、债券受托管理人和资信评级机构信息" w:id="156"/>
      <w:bookmarkEnd w:id="156"/>
      <w:r>
        <w:rPr>
          <w:b w:val="0"/>
          <w:bCs w:val="0"/>
        </w:rPr>
      </w:r>
      <w:r>
        <w:rPr/>
        <w:t>二、债券受托管理人和资信评级机构信息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179"/>
        <w:gridCol w:w="1219"/>
        <w:gridCol w:w="1148"/>
        <w:gridCol w:w="1245"/>
        <w:gridCol w:w="998"/>
        <w:gridCol w:w="1392"/>
        <w:gridCol w:w="1173"/>
        <w:gridCol w:w="1208"/>
      </w:tblGrid>
      <w:tr>
        <w:trPr>
          <w:trHeight w:val="397" w:hRule="exact"/>
        </w:trPr>
        <w:tc>
          <w:tcPr>
            <w:tcW w:w="956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412" w:hRule="exact"/>
        </w:trPr>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219"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245"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56"/>
              <w:ind w:left="4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392"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2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92" w:hRule="exact"/>
        </w:trPr>
        <w:tc>
          <w:tcPr>
            <w:tcW w:w="956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407" w:hRule="exact"/>
        </w:trPr>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612" w:type="dxa"/>
            <w:gridSpan w:val="3"/>
            <w:tcBorders>
              <w:top w:val="single" w:sz="4" w:space="0" w:color="000000"/>
              <w:left w:val="single" w:sz="13" w:space="0" w:color="D2D2D2"/>
              <w:bottom w:val="single" w:sz="4" w:space="0" w:color="000000"/>
              <w:right w:val="single" w:sz="9" w:space="0" w:color="D2D2D2"/>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联合信用评级有限公司</w:t>
            </w:r>
          </w:p>
        </w:tc>
        <w:tc>
          <w:tcPr>
            <w:tcW w:w="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77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北京朝阳区建国门外大街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PICC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1026" w:hRule="exact"/>
        </w:trPr>
        <w:tc>
          <w:tcPr>
            <w:tcW w:w="354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3"/>
              <w:jc w:val="both"/>
              <w:rPr>
                <w:rFonts w:ascii="宋体" w:hAnsi="宋体" w:cs="宋体" w:eastAsia="宋体" w:hint="default"/>
                <w:sz w:val="18"/>
                <w:szCs w:val="18"/>
              </w:rPr>
            </w:pPr>
            <w:r>
              <w:rPr>
                <w:rFonts w:ascii="宋体" w:hAnsi="宋体" w:cs="宋体" w:eastAsia="宋体" w:hint="default"/>
                <w:sz w:val="18"/>
                <w:szCs w:val="18"/>
              </w:rPr>
              <w:t>报告期内公司聘请的债券受托管理人、资信 评级机构发生变更的，变更的原因、履行的 程序、对投资者利益的影响等（如适用）</w:t>
            </w:r>
          </w:p>
        </w:tc>
        <w:tc>
          <w:tcPr>
            <w:tcW w:w="6017"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9"/>
        <w:rPr>
          <w:rFonts w:ascii="宋体" w:hAnsi="宋体" w:cs="宋体" w:eastAsia="宋体" w:hint="default"/>
          <w:b/>
          <w:bCs/>
          <w:sz w:val="19"/>
          <w:szCs w:val="19"/>
        </w:rPr>
      </w:pPr>
    </w:p>
    <w:p>
      <w:pPr>
        <w:pStyle w:val="Heading2"/>
        <w:spacing w:line="240" w:lineRule="auto" w:before="26"/>
        <w:ind w:right="0"/>
        <w:jc w:val="left"/>
        <w:rPr>
          <w:b w:val="0"/>
          <w:bCs w:val="0"/>
        </w:rPr>
      </w:pPr>
      <w:bookmarkStart w:name="三、公司债券募集资金使用情况" w:id="157"/>
      <w:bookmarkEnd w:id="157"/>
      <w:r>
        <w:rPr>
          <w:b w:val="0"/>
          <w:bCs w:val="0"/>
        </w:rPr>
      </w:r>
      <w:r>
        <w:rPr/>
        <w:t>三、公司债券募集资金使用情况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812"/>
        <w:gridCol w:w="3756"/>
      </w:tblGrid>
      <w:tr>
        <w:trPr>
          <w:trHeight w:val="714" w:hRule="exact"/>
        </w:trPr>
        <w:tc>
          <w:tcPr>
            <w:tcW w:w="5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公司债券募集资金使用情况及履行的程序</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参见本报告</w:t>
            </w:r>
            <w:r>
              <w:rPr>
                <w:rFonts w:ascii="Times New Roman" w:hAnsi="Times New Roman" w:cs="Times New Roman" w:eastAsia="Times New Roman" w:hint="default"/>
                <w:sz w:val="18"/>
                <w:szCs w:val="18"/>
              </w:rPr>
              <w:t>“</w:t>
            </w:r>
            <w:r>
              <w:rPr>
                <w:rFonts w:ascii="宋体" w:hAnsi="宋体" w:cs="宋体" w:eastAsia="宋体" w:hint="default"/>
                <w:sz w:val="18"/>
                <w:szCs w:val="18"/>
              </w:rPr>
              <w:t>第四节经营情况讨论与分析</w:t>
            </w:r>
            <w:r>
              <w:rPr>
                <w:rFonts w:ascii="宋体" w:hAnsi="宋体" w:cs="宋体" w:eastAsia="宋体" w:hint="default"/>
                <w:spacing w:val="1"/>
                <w:sz w:val="18"/>
                <w:szCs w:val="18"/>
              </w:rPr>
              <w:t> </w:t>
            </w:r>
            <w:r>
              <w:rPr>
                <w:rFonts w:ascii="宋体" w:hAnsi="宋体" w:cs="宋体" w:eastAsia="宋体" w:hint="default"/>
                <w:spacing w:val="-24"/>
                <w:sz w:val="18"/>
                <w:szCs w:val="18"/>
              </w:rPr>
              <w:t>五、投</w:t>
            </w:r>
            <w:r>
              <w:rPr>
                <w:rFonts w:ascii="宋体" w:hAnsi="宋体" w:cs="宋体" w:eastAsia="宋体" w:hint="default"/>
                <w:sz w:val="18"/>
                <w:szCs w:val="18"/>
              </w:rPr>
              <w:t> 资状况分析 </w:t>
            </w:r>
            <w:r>
              <w:rPr>
                <w:rFonts w:ascii="Times New Roman" w:hAnsi="Times New Roman" w:cs="Times New Roman" w:eastAsia="Times New Roman" w:hint="default"/>
                <w:sz w:val="18"/>
                <w:szCs w:val="18"/>
              </w:rPr>
              <w:t>5</w:t>
            </w:r>
            <w:r>
              <w:rPr>
                <w:rFonts w:ascii="宋体" w:hAnsi="宋体" w:cs="宋体" w:eastAsia="宋体" w:hint="default"/>
                <w:sz w:val="18"/>
                <w:szCs w:val="18"/>
              </w:rPr>
              <w:t>、募集资金使用情况</w:t>
            </w:r>
            <w:r>
              <w:rPr>
                <w:rFonts w:ascii="Times New Roman" w:hAnsi="Times New Roman" w:cs="Times New Roman" w:eastAsia="Times New Roman" w:hint="default"/>
                <w:sz w:val="18"/>
                <w:szCs w:val="18"/>
              </w:rPr>
              <w:t>”</w:t>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50,647.54</w:t>
            </w:r>
          </w:p>
        </w:tc>
      </w:tr>
      <w:tr>
        <w:trPr>
          <w:trHeight w:val="714" w:hRule="exact"/>
        </w:trPr>
        <w:tc>
          <w:tcPr>
            <w:tcW w:w="5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参见本报告</w:t>
            </w:r>
            <w:r>
              <w:rPr>
                <w:rFonts w:ascii="Times New Roman" w:hAnsi="Times New Roman" w:cs="Times New Roman" w:eastAsia="Times New Roman" w:hint="default"/>
                <w:sz w:val="18"/>
                <w:szCs w:val="18"/>
              </w:rPr>
              <w:t>“</w:t>
            </w:r>
            <w:r>
              <w:rPr>
                <w:rFonts w:ascii="宋体" w:hAnsi="宋体" w:cs="宋体" w:eastAsia="宋体" w:hint="default"/>
                <w:sz w:val="18"/>
                <w:szCs w:val="18"/>
              </w:rPr>
              <w:t>第四节经营情况讨论与分析</w:t>
            </w:r>
            <w:r>
              <w:rPr>
                <w:rFonts w:ascii="宋体" w:hAnsi="宋体" w:cs="宋体" w:eastAsia="宋体" w:hint="default"/>
                <w:spacing w:val="1"/>
                <w:sz w:val="18"/>
                <w:szCs w:val="18"/>
              </w:rPr>
              <w:t> </w:t>
            </w:r>
            <w:r>
              <w:rPr>
                <w:rFonts w:ascii="宋体" w:hAnsi="宋体" w:cs="宋体" w:eastAsia="宋体" w:hint="default"/>
                <w:spacing w:val="-24"/>
                <w:sz w:val="18"/>
                <w:szCs w:val="18"/>
              </w:rPr>
              <w:t>五、投</w:t>
            </w:r>
            <w:r>
              <w:rPr>
                <w:rFonts w:ascii="宋体" w:hAnsi="宋体" w:cs="宋体" w:eastAsia="宋体" w:hint="default"/>
                <w:sz w:val="18"/>
                <w:szCs w:val="18"/>
              </w:rPr>
              <w:t> 资状况分析 </w:t>
            </w:r>
            <w:r>
              <w:rPr>
                <w:rFonts w:ascii="Times New Roman" w:hAnsi="Times New Roman" w:cs="Times New Roman" w:eastAsia="Times New Roman" w:hint="default"/>
                <w:sz w:val="18"/>
                <w:szCs w:val="18"/>
              </w:rPr>
              <w:t>5</w:t>
            </w:r>
            <w:r>
              <w:rPr>
                <w:rFonts w:ascii="宋体" w:hAnsi="宋体" w:cs="宋体" w:eastAsia="宋体" w:hint="default"/>
                <w:sz w:val="18"/>
                <w:szCs w:val="18"/>
              </w:rPr>
              <w:t>、募集资金使用情况</w:t>
            </w:r>
            <w:r>
              <w:rPr>
                <w:rFonts w:ascii="Times New Roman" w:hAnsi="Times New Roman" w:cs="Times New Roman" w:eastAsia="Times New Roman" w:hint="default"/>
                <w:sz w:val="18"/>
                <w:szCs w:val="18"/>
              </w:rPr>
              <w:t>”</w:t>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募集资金使用是否与募集说明书承诺的用途、使用计划及其他约定一致</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both"/>
        <w:rPr>
          <w:b w:val="0"/>
          <w:bCs w:val="0"/>
        </w:rPr>
      </w:pPr>
      <w:bookmarkStart w:name="四、公司债券信息评级情况" w:id="158"/>
      <w:bookmarkEnd w:id="158"/>
      <w:r>
        <w:rPr>
          <w:b w:val="0"/>
          <w:bCs w:val="0"/>
        </w:rPr>
      </w:r>
      <w:r>
        <w:rPr/>
        <w:t>四、公司债券信息评级情况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29"/>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日，联合信用评级有限公司出具了《北京久其软件股份有限公司可转换公司债券</w:t>
      </w:r>
      <w:r>
        <w:rPr>
          <w:rFonts w:ascii="Times New Roman" w:hAnsi="Times New Roman" w:cs="Times New Roman" w:eastAsia="Times New Roman" w:hint="default"/>
        </w:rPr>
        <w:t>2018</w:t>
      </w:r>
      <w:r>
        <w:rPr/>
        <w:t>年跟踪评级报告》（联合 </w:t>
      </w:r>
      <w:r>
        <w:rPr>
          <w:rFonts w:ascii="Times New Roman" w:hAnsi="Times New Roman" w:cs="Times New Roman" w:eastAsia="Times New Roman" w:hint="default"/>
          <w:spacing w:val="-2"/>
        </w:rPr>
        <w:t>[2018]864</w:t>
      </w:r>
      <w:r>
        <w:rPr>
          <w:spacing w:val="-2"/>
        </w:rPr>
        <w:t>号），维持</w:t>
      </w:r>
      <w:r>
        <w:rPr>
          <w:rFonts w:ascii="Times New Roman" w:hAnsi="Times New Roman" w:cs="Times New Roman" w:eastAsia="Times New Roman" w:hint="default"/>
          <w:spacing w:val="-2"/>
        </w:rPr>
        <w:t>"</w:t>
      </w:r>
      <w:r>
        <w:rPr>
          <w:spacing w:val="-2"/>
        </w:rPr>
        <w:t>久其转债</w:t>
      </w:r>
      <w:r>
        <w:rPr>
          <w:rFonts w:ascii="Times New Roman" w:hAnsi="Times New Roman" w:cs="Times New Roman" w:eastAsia="Times New Roman" w:hint="default"/>
          <w:spacing w:val="-2"/>
        </w:rPr>
        <w:t>"</w:t>
      </w:r>
      <w:r>
        <w:rPr>
          <w:spacing w:val="-2"/>
        </w:rPr>
        <w:t>信用等级</w:t>
      </w:r>
      <w:r>
        <w:rPr>
          <w:rFonts w:ascii="Times New Roman" w:hAnsi="Times New Roman" w:cs="Times New Roman" w:eastAsia="Times New Roman" w:hint="default"/>
          <w:spacing w:val="-2"/>
        </w:rPr>
        <w:t>AA</w:t>
      </w:r>
      <w:r>
        <w:rPr>
          <w:spacing w:val="-2"/>
        </w:rPr>
        <w:t>，维持本公司长期主体信用等级为</w:t>
      </w:r>
      <w:r>
        <w:rPr>
          <w:rFonts w:ascii="Times New Roman" w:hAnsi="Times New Roman" w:cs="Times New Roman" w:eastAsia="Times New Roman" w:hint="default"/>
          <w:spacing w:val="-2"/>
        </w:rPr>
        <w:t>AA-</w:t>
      </w:r>
      <w:r>
        <w:rPr>
          <w:spacing w:val="-2"/>
        </w:rPr>
        <w:t>，评级展望为</w:t>
      </w:r>
      <w:r>
        <w:rPr>
          <w:rFonts w:ascii="Times New Roman" w:hAnsi="Times New Roman" w:cs="Times New Roman" w:eastAsia="Times New Roman" w:hint="default"/>
          <w:spacing w:val="-2"/>
        </w:rPr>
        <w:t>“</w:t>
      </w:r>
      <w:r>
        <w:rPr>
          <w:spacing w:val="-2"/>
        </w:rPr>
        <w:t>稳定</w:t>
      </w:r>
      <w:r>
        <w:rPr>
          <w:rFonts w:ascii="Times New Roman" w:hAnsi="Times New Roman" w:cs="Times New Roman" w:eastAsia="Times New Roman" w:hint="default"/>
          <w:spacing w:val="-2"/>
        </w:rPr>
        <w:t>”</w:t>
      </w:r>
      <w:r>
        <w:rPr>
          <w:spacing w:val="-2"/>
        </w:rPr>
        <w:t>，与</w:t>
      </w:r>
      <w:r>
        <w:rPr>
          <w:rFonts w:ascii="Times New Roman" w:hAnsi="Times New Roman" w:cs="Times New Roman" w:eastAsia="Times New Roman" w:hint="default"/>
          <w:spacing w:val="-2"/>
        </w:rPr>
        <w:t>“</w:t>
      </w:r>
      <w:r>
        <w:rPr>
          <w:spacing w:val="-2"/>
        </w:rPr>
        <w:t>久其转债</w:t>
      </w:r>
      <w:r>
        <w:rPr>
          <w:rFonts w:ascii="Times New Roman" w:hAnsi="Times New Roman" w:cs="Times New Roman" w:eastAsia="Times New Roman" w:hint="default"/>
          <w:spacing w:val="-2"/>
        </w:rPr>
        <w:t>”</w:t>
      </w:r>
      <w:r>
        <w:rPr>
          <w:spacing w:val="-2"/>
        </w:rPr>
        <w:t>发行</w:t>
      </w:r>
      <w:r>
        <w:rPr>
          <w:spacing w:val="-49"/>
        </w:rPr>
        <w:t> </w:t>
      </w:r>
      <w:r>
        <w:rPr/>
        <w:t>时评级结果无差异。</w:t>
      </w:r>
    </w:p>
    <w:p>
      <w:pPr>
        <w:spacing w:line="240" w:lineRule="auto" w:before="9"/>
        <w:rPr>
          <w:rFonts w:ascii="宋体" w:hAnsi="宋体" w:cs="宋体" w:eastAsia="宋体" w:hint="default"/>
          <w:sz w:val="21"/>
          <w:szCs w:val="21"/>
        </w:rPr>
      </w:pPr>
    </w:p>
    <w:p>
      <w:pPr>
        <w:pStyle w:val="Heading2"/>
        <w:spacing w:line="240" w:lineRule="auto"/>
        <w:ind w:right="0"/>
        <w:jc w:val="both"/>
        <w:rPr>
          <w:b w:val="0"/>
          <w:bCs w:val="0"/>
        </w:rPr>
      </w:pPr>
      <w:bookmarkStart w:name="五、 公司债券增信机制、偿债计划及其他偿债保障措施" w:id="159"/>
      <w:bookmarkEnd w:id="159"/>
      <w:r>
        <w:rPr>
          <w:b w:val="0"/>
          <w:bCs w:val="0"/>
        </w:rPr>
      </w:r>
      <w:r>
        <w:rPr/>
        <w:t>五、</w:t>
      </w:r>
      <w:r>
        <w:rPr>
          <w:spacing w:val="-22"/>
        </w:rPr>
        <w:t> </w:t>
      </w:r>
      <w:r>
        <w:rPr/>
        <w:t>公司债券增信机制、偿债计划及其他偿债保障措施</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报告期内，公司债券增信机制、偿债计划及其他偿债保障措施未发生变更。</w:t>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bookmarkStart w:name="六、报告期内债券持有人会议的召开情况" w:id="160"/>
      <w:bookmarkEnd w:id="160"/>
      <w:r>
        <w:rPr>
          <w:b w:val="0"/>
          <w:bCs w:val="0"/>
        </w:rPr>
      </w:r>
      <w:r>
        <w:rPr/>
        <w:t>六、报告期内债券持有人会议的召开情况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报告期内，公司未召开债券持有人会议。</w:t>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bookmarkStart w:name="七、报告期内债券受托管理人履行职责的情况" w:id="161"/>
      <w:bookmarkEnd w:id="161"/>
      <w:r>
        <w:rPr>
          <w:b w:val="0"/>
          <w:bCs w:val="0"/>
        </w:rPr>
      </w:r>
      <w:r>
        <w:rPr/>
        <w:t>七、报告期内债券受托管理人履行职责的情况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不适用</w:t>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bookmarkStart w:name="八、截至报告期末公司近2年的主要会计数据和财务指标" w:id="162"/>
      <w:bookmarkEnd w:id="162"/>
      <w:r>
        <w:rPr>
          <w:b w:val="0"/>
          <w:bCs w:val="0"/>
        </w:rPr>
      </w:r>
      <w:r>
        <w:rPr/>
        <w:t>八、截至报告期末公司近</w:t>
      </w:r>
      <w:r>
        <w:rPr>
          <w:spacing w:val="-70"/>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年的主要会计数据和财务指标</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-70,150.65</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43,899.34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-259.80%</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23.11%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全部债务比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-55.82%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-178.46%</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-77.17%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利息保障倍数</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-167.70%</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上述会计数据和财务指标同比变动超过</w:t>
      </w:r>
      <w:r>
        <w:rPr>
          <w:spacing w:val="-46"/>
        </w:rPr>
        <w:t> </w:t>
      </w:r>
      <w:r>
        <w:rPr>
          <w:rFonts w:ascii="Times New Roman" w:hAnsi="Times New Roman" w:cs="Times New Roman" w:eastAsia="Times New Roman" w:hint="default"/>
        </w:rPr>
        <w:t>30%</w:t>
      </w:r>
      <w:r>
        <w:rPr/>
        <w:t>的主要原因</w:t>
      </w:r>
    </w:p>
    <w:p>
      <w:pPr>
        <w:pStyle w:val="BodyText"/>
        <w:spacing w:line="319" w:lineRule="auto" w:before="10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2"/>
        </w:rPr>
        <w:t>1</w:t>
      </w:r>
      <w:r>
        <w:rPr>
          <w:spacing w:val="-2"/>
        </w:rPr>
        <w:t>、息税折旧摊销前利润同比减少</w:t>
      </w:r>
      <w:r>
        <w:rPr>
          <w:rFonts w:ascii="Times New Roman" w:hAnsi="Times New Roman" w:cs="Times New Roman" w:eastAsia="Times New Roman" w:hint="default"/>
          <w:spacing w:val="-2"/>
        </w:rPr>
        <w:t>259.80%</w:t>
      </w:r>
      <w:r>
        <w:rPr>
          <w:spacing w:val="-2"/>
        </w:rPr>
        <w:t>、</w:t>
      </w:r>
      <w:r>
        <w:rPr>
          <w:rFonts w:ascii="Times New Roman" w:hAnsi="Times New Roman" w:cs="Times New Roman" w:eastAsia="Times New Roman" w:hint="default"/>
          <w:spacing w:val="-2"/>
        </w:rPr>
        <w:t>EBITDA</w:t>
      </w:r>
      <w:r>
        <w:rPr>
          <w:spacing w:val="-2"/>
        </w:rPr>
        <w:t>全部债务比同比减少</w:t>
      </w:r>
      <w:r>
        <w:rPr>
          <w:rFonts w:ascii="Times New Roman" w:hAnsi="Times New Roman" w:cs="Times New Roman" w:eastAsia="Times New Roman" w:hint="default"/>
          <w:spacing w:val="-2"/>
        </w:rPr>
        <w:t>55.82%</w:t>
      </w:r>
      <w:r>
        <w:rPr>
          <w:spacing w:val="-2"/>
        </w:rPr>
        <w:t>、利息保障倍数同比减少</w:t>
      </w:r>
      <w:r>
        <w:rPr>
          <w:rFonts w:ascii="Times New Roman" w:hAnsi="Times New Roman" w:cs="Times New Roman" w:eastAsia="Times New Roman" w:hint="default"/>
          <w:spacing w:val="-2"/>
        </w:rPr>
        <w:t>178.46%</w:t>
      </w:r>
      <w:r>
        <w:rPr>
          <w:spacing w:val="-2"/>
        </w:rPr>
        <w:t>、</w:t>
      </w:r>
      <w:r>
        <w:rPr>
          <w:rFonts w:ascii="Times New Roman" w:hAnsi="Times New Roman" w:cs="Times New Roman" w:eastAsia="Times New Roman" w:hint="default"/>
          <w:spacing w:val="-2"/>
        </w:rPr>
        <w:t>EBITDA</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t>利息保障倍数同比减少</w:t>
      </w:r>
      <w:r>
        <w:rPr>
          <w:rFonts w:ascii="Times New Roman" w:hAnsi="Times New Roman" w:cs="Times New Roman" w:eastAsia="Times New Roman" w:hint="default"/>
        </w:rPr>
        <w:t>167.70%</w:t>
      </w:r>
      <w:r>
        <w:rPr/>
        <w:t>、主要系报告期计提大额商誉资产减值后净利润亏损所致。</w:t>
      </w:r>
    </w:p>
    <w:p>
      <w:pPr>
        <w:pStyle w:val="BodyText"/>
        <w:spacing w:line="246" w:lineRule="exact"/>
        <w:ind w:right="0"/>
        <w:jc w:val="left"/>
      </w:pPr>
      <w:r>
        <w:rPr>
          <w:rFonts w:ascii="Times New Roman" w:hAnsi="Times New Roman" w:cs="Times New Roman" w:eastAsia="Times New Roman" w:hint="default"/>
        </w:rPr>
        <w:t>2</w:t>
      </w:r>
      <w:r>
        <w:rPr/>
        <w:t>、现金利息保障倍数同比减少</w:t>
      </w:r>
      <w:r>
        <w:rPr>
          <w:rFonts w:ascii="Times New Roman" w:hAnsi="Times New Roman" w:cs="Times New Roman" w:eastAsia="Times New Roman" w:hint="default"/>
        </w:rPr>
        <w:t>77.17%</w:t>
      </w:r>
      <w:r>
        <w:rPr/>
        <w:t>，主要系报告期利息支出增加所致。</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九、报告期内对其他债券和债务融资工具的付息兑付情况" w:id="163"/>
      <w:bookmarkEnd w:id="163"/>
      <w:r>
        <w:rPr>
          <w:b w:val="0"/>
          <w:bCs w:val="0"/>
        </w:rPr>
      </w:r>
      <w:r>
        <w:rPr/>
        <w:t>九、报告期内对其他债券和债务融资工具的付息兑付情况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报告期内，公司未发行其他债券和债务融资工具。</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报告期内获得的银行授信情况、使用情况以及偿还银行贷款的情况" w:id="164"/>
      <w:bookmarkEnd w:id="164"/>
      <w:r>
        <w:rPr>
          <w:b w:val="0"/>
          <w:bCs w:val="0"/>
        </w:rPr>
      </w:r>
      <w:r>
        <w:rPr/>
        <w:t>十、报告期内获得的银行授信情况、使用情况以及偿还银行贷款的情况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67"/>
        <w:jc w:val="left"/>
      </w:pPr>
      <w:r>
        <w:rPr/>
        <w:t>报告期内，公司及子公司共获得银行授信</w:t>
      </w:r>
      <w:r>
        <w:rPr>
          <w:rFonts w:ascii="Times New Roman" w:hAnsi="Times New Roman" w:cs="Times New Roman" w:eastAsia="Times New Roman" w:hint="default"/>
        </w:rPr>
        <w:t>131,000</w:t>
      </w:r>
      <w:r>
        <w:rPr/>
        <w:t>万元，截至报告期末已使用授信额度</w:t>
      </w:r>
      <w:r>
        <w:rPr>
          <w:rFonts w:ascii="Times New Roman" w:hAnsi="Times New Roman" w:cs="Times New Roman" w:eastAsia="Times New Roman" w:hint="default"/>
        </w:rPr>
        <w:t>46,657.71</w:t>
      </w:r>
      <w:r>
        <w:rPr/>
        <w:t>万元。报告期，公司及子公 司已偿还银行贷款共计</w:t>
      </w:r>
      <w:r>
        <w:rPr>
          <w:rFonts w:ascii="Times New Roman" w:hAnsi="Times New Roman" w:cs="Times New Roman" w:eastAsia="Times New Roman" w:hint="default"/>
        </w:rPr>
        <w:t>24,600</w:t>
      </w:r>
      <w:r>
        <w:rPr/>
        <w:t>万元。</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2"/>
        <w:spacing w:line="240" w:lineRule="auto"/>
        <w:ind w:right="0"/>
        <w:jc w:val="left"/>
        <w:rPr>
          <w:b w:val="0"/>
          <w:bCs w:val="0"/>
        </w:rPr>
      </w:pPr>
      <w:bookmarkStart w:name="十一、报告期内执行公司债券募集说明书相关约定或承诺的情况" w:id="165"/>
      <w:bookmarkEnd w:id="165"/>
      <w:r>
        <w:rPr>
          <w:b w:val="0"/>
          <w:bCs w:val="0"/>
        </w:rPr>
      </w:r>
      <w:r>
        <w:rPr/>
        <w:t>十一、报告期内执行公司债券募集说明书相关约定或承诺的情况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jc w:val="left"/>
      </w:pPr>
      <w:r>
        <w:rPr>
          <w:spacing w:val="-2"/>
        </w:rPr>
        <w:t>报告期内，公司严格按照公司可转债《募集说明书》的相关约定或承诺进行募集资金存放与使用等事项，不存在违反上述约</w:t>
      </w:r>
      <w:r>
        <w:rPr>
          <w:spacing w:val="-66"/>
        </w:rPr>
        <w:t> </w:t>
      </w:r>
      <w:r>
        <w:rPr>
          <w:spacing w:val="-66"/>
        </w:rPr>
      </w:r>
      <w:r>
        <w:rPr/>
        <w:t>定和承诺的行为。</w:t>
      </w: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bookmarkStart w:name="十二、报告期内发生的重大事项" w:id="166"/>
      <w:bookmarkEnd w:id="166"/>
      <w:r>
        <w:rPr>
          <w:b w:val="0"/>
          <w:bCs w:val="0"/>
        </w:rPr>
      </w:r>
      <w:r>
        <w:rPr/>
        <w:t>十二、报告期内发生的重大事项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1</w:t>
      </w:r>
      <w:r>
        <w:rPr/>
        <w:t>、公司实施</w:t>
      </w:r>
      <w:r>
        <w:rPr>
          <w:rFonts w:ascii="Times New Roman" w:hAnsi="Times New Roman" w:cs="Times New Roman" w:eastAsia="Times New Roman" w:hint="default"/>
        </w:rPr>
        <w:t>2017</w:t>
      </w:r>
      <w:r>
        <w:rPr/>
        <w:t>年年度权益分派方案，以权益分派股权登记日（即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日）的总股本为基数向全体股东每</w:t>
      </w:r>
      <w:r>
        <w:rPr>
          <w:rFonts w:ascii="Times New Roman" w:hAnsi="Times New Roman" w:cs="Times New Roman" w:eastAsia="Times New Roman" w:hint="default"/>
        </w:rPr>
        <w:t>10</w:t>
      </w:r>
      <w:r>
        <w:rPr/>
        <w:t>股派发</w:t>
      </w:r>
    </w:p>
    <w:p>
      <w:pPr>
        <w:pStyle w:val="BodyText"/>
        <w:spacing w:line="300" w:lineRule="auto" w:before="63"/>
        <w:ind w:right="1132"/>
        <w:jc w:val="both"/>
      </w:pPr>
      <w:r>
        <w:rPr>
          <w:rFonts w:ascii="Times New Roman" w:hAnsi="Times New Roman" w:cs="Times New Roman" w:eastAsia="Times New Roman" w:hint="default"/>
          <w:spacing w:val="-1"/>
        </w:rPr>
        <w:t>0.30</w:t>
      </w:r>
      <w:r>
        <w:rPr>
          <w:spacing w:val="-1"/>
        </w:rPr>
        <w:t>元（含税）现金股利。此外，公司不送红股，不以资本公积金转增股本。根据《募集说明书》发行条款以及中国证监会</w:t>
      </w:r>
      <w:r>
        <w:rPr>
          <w:spacing w:val="-74"/>
        </w:rPr>
        <w:t> </w:t>
      </w:r>
      <w:r>
        <w:rPr>
          <w:spacing w:val="-74"/>
        </w:rPr>
      </w:r>
      <w:r>
        <w:rPr/>
        <w:t>关于可转换公司债券发行的有关规定，久其转债转股价格由原</w:t>
      </w:r>
      <w:r>
        <w:rPr>
          <w:rFonts w:ascii="Times New Roman" w:hAnsi="Times New Roman" w:cs="Times New Roman" w:eastAsia="Times New Roman" w:hint="default"/>
        </w:rPr>
        <w:t>12.90</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12.87</w:t>
      </w:r>
      <w:r>
        <w:rPr/>
        <w:t>元</w:t>
      </w:r>
      <w:r>
        <w:rPr>
          <w:rFonts w:ascii="Times New Roman" w:hAnsi="Times New Roman" w:cs="Times New Roman" w:eastAsia="Times New Roman" w:hint="default"/>
        </w:rPr>
        <w:t>/</w:t>
      </w:r>
      <w:r>
        <w:rPr/>
        <w:t>股，调整后的转股价格已于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 </w:t>
      </w:r>
      <w:r>
        <w:rPr/>
        <w:t>月</w:t>
      </w:r>
      <w:r>
        <w:rPr>
          <w:rFonts w:ascii="Times New Roman" w:hAnsi="Times New Roman" w:cs="Times New Roman" w:eastAsia="Times New Roman" w:hint="default"/>
        </w:rPr>
        <w:t>4</w:t>
      </w:r>
      <w:r>
        <w:rPr/>
        <w:t>日（除权除息日）起生效。具体情况详见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日的信息披露媒体《中国证券报》《证券时报》和巨潮资讯网</w:t>
      </w:r>
    </w:p>
    <w:p>
      <w:pPr>
        <w:pStyle w:val="BodyText"/>
        <w:spacing w:line="300" w:lineRule="auto" w:before="13"/>
        <w:ind w:right="1130"/>
        <w:jc w:val="left"/>
      </w:pPr>
      <w:r>
        <w:rPr/>
        <w:t>（</w:t>
      </w:r>
      <w:hyperlink r:id="rId13">
        <w:r>
          <w:rPr>
            <w:rFonts w:ascii="Times New Roman" w:hAnsi="Times New Roman" w:cs="Times New Roman" w:eastAsia="Times New Roman" w:hint="default"/>
          </w:rPr>
          <w:t>www.cninfo.com.cn</w:t>
        </w:r>
      </w:hyperlink>
      <w:r>
        <w:rPr/>
        <w:t>）上披露的《关于可转债转股价格调整的公告》（公告编号：</w:t>
      </w:r>
      <w:r>
        <w:rPr>
          <w:rFonts w:ascii="Times New Roman" w:hAnsi="Times New Roman" w:cs="Times New Roman" w:eastAsia="Times New Roman" w:hint="default"/>
        </w:rPr>
        <w:t>2018-071</w:t>
      </w:r>
      <w:r>
        <w:rPr/>
        <w:t>）。</w:t>
      </w:r>
      <w:r>
        <w:rPr>
          <w:w w:val="99"/>
        </w:rPr>
        <w:t> </w:t>
      </w:r>
      <w:r>
        <w:rPr>
          <w:rFonts w:ascii="Times New Roman" w:hAnsi="Times New Roman" w:cs="Times New Roman" w:eastAsia="Times New Roman" w:hint="default"/>
          <w:spacing w:val="-2"/>
        </w:rPr>
        <w:t>2</w:t>
      </w:r>
      <w:r>
        <w:rPr>
          <w:spacing w:val="-2"/>
        </w:rPr>
        <w:t>、由于公司股权激励计划预留限制性股票已完成登记并于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7</w:t>
      </w:r>
      <w:r>
        <w:rPr>
          <w:spacing w:val="-2"/>
        </w:rPr>
        <w:t>日上市，根据《募集说明书》发行条款以及中国证监</w:t>
      </w:r>
      <w:r>
        <w:rPr>
          <w:spacing w:val="-59"/>
        </w:rPr>
        <w:t> </w:t>
      </w:r>
      <w:r>
        <w:rPr>
          <w:spacing w:val="-59"/>
        </w:rPr>
      </w:r>
      <w:r>
        <w:rPr/>
        <w:t>会关于可转换公司债券发行的有关规定，久其转债转股价格由原</w:t>
      </w:r>
      <w:r>
        <w:rPr>
          <w:rFonts w:ascii="Times New Roman" w:hAnsi="Times New Roman" w:cs="Times New Roman" w:eastAsia="Times New Roman" w:hint="default"/>
        </w:rPr>
        <w:t>12.87</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12.86</w:t>
      </w:r>
      <w:r>
        <w:rPr/>
        <w:t>元</w:t>
      </w:r>
      <w:r>
        <w:rPr>
          <w:rFonts w:ascii="Times New Roman" w:hAnsi="Times New Roman" w:cs="Times New Roman" w:eastAsia="Times New Roman" w:hint="default"/>
        </w:rPr>
        <w:t>/</w:t>
      </w:r>
      <w:r>
        <w:rPr/>
        <w:t>股，调整后的价格已于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rFonts w:ascii="Times New Roman" w:hAnsi="Times New Roman" w:cs="Times New Roman" w:eastAsia="Times New Roman" w:hint="default"/>
          <w:w w:val="99"/>
        </w:rPr>
        <w:t> </w:t>
      </w:r>
      <w:r>
        <w:rPr>
          <w:spacing w:val="-5"/>
          <w:w w:val="99"/>
        </w:rPr>
        <w:t>月</w:t>
      </w:r>
      <w:r>
        <w:rPr>
          <w:rFonts w:ascii="Times New Roman" w:hAnsi="Times New Roman" w:cs="Times New Roman" w:eastAsia="Times New Roman" w:hint="default"/>
          <w:spacing w:val="-5"/>
          <w:w w:val="99"/>
        </w:rPr>
        <w:t>7</w:t>
      </w:r>
      <w:r>
        <w:rPr>
          <w:spacing w:val="-5"/>
          <w:w w:val="99"/>
        </w:rPr>
        <w:t>日起生效。具体情况详见</w:t>
      </w:r>
      <w:r>
        <w:rPr>
          <w:rFonts w:ascii="Times New Roman" w:hAnsi="Times New Roman" w:cs="Times New Roman" w:eastAsia="Times New Roman" w:hint="default"/>
          <w:spacing w:val="-5"/>
          <w:w w:val="99"/>
        </w:rPr>
        <w:t>2018</w:t>
      </w:r>
      <w:r>
        <w:rPr>
          <w:spacing w:val="-5"/>
          <w:w w:val="99"/>
        </w:rPr>
        <w:t>年</w:t>
      </w:r>
      <w:r>
        <w:rPr>
          <w:rFonts w:ascii="Times New Roman" w:hAnsi="Times New Roman" w:cs="Times New Roman" w:eastAsia="Times New Roman" w:hint="default"/>
          <w:spacing w:val="-5"/>
          <w:w w:val="99"/>
        </w:rPr>
        <w:t>11</w:t>
      </w:r>
      <w:r>
        <w:rPr>
          <w:spacing w:val="-5"/>
          <w:w w:val="99"/>
        </w:rPr>
        <w:t>月</w:t>
      </w:r>
      <w:r>
        <w:rPr>
          <w:rFonts w:ascii="Times New Roman" w:hAnsi="Times New Roman" w:cs="Times New Roman" w:eastAsia="Times New Roman" w:hint="default"/>
          <w:spacing w:val="-5"/>
          <w:w w:val="99"/>
        </w:rPr>
        <w:t>6</w:t>
      </w:r>
      <w:r>
        <w:rPr>
          <w:spacing w:val="-5"/>
          <w:w w:val="99"/>
        </w:rPr>
        <w:t>日的信息披露媒体《中国证券报》《证券时报》和巨潮资讯网（</w:t>
      </w:r>
      <w:hyperlink r:id="rId13">
        <w:r>
          <w:rPr>
            <w:rFonts w:ascii="Times New Roman" w:hAnsi="Times New Roman" w:cs="Times New Roman" w:eastAsia="Times New Roman" w:hint="default"/>
            <w:spacing w:val="-5"/>
            <w:w w:val="99"/>
          </w:rPr>
          <w:t>www.cninfo.com.cn</w:t>
        </w:r>
      </w:hyperlink>
      <w:r>
        <w:rPr>
          <w:spacing w:val="-5"/>
          <w:w w:val="99"/>
        </w:rPr>
        <w:t>）</w:t>
      </w:r>
      <w:r>
        <w:rPr>
          <w:spacing w:val="-42"/>
          <w:w w:val="99"/>
        </w:rPr>
        <w:t> </w:t>
      </w:r>
      <w:r>
        <w:rPr/>
        <w:t>上披露的《关于可转债转股价格调整的公告》（公告编号：</w:t>
      </w:r>
      <w:r>
        <w:rPr>
          <w:rFonts w:ascii="Times New Roman" w:hAnsi="Times New Roman" w:cs="Times New Roman" w:eastAsia="Times New Roman" w:hint="default"/>
        </w:rPr>
        <w:t>2018-120</w:t>
      </w:r>
      <w:r>
        <w:rPr/>
        <w:t>）。</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十三、公司债券是否存在保证人" w:id="167"/>
      <w:bookmarkEnd w:id="167"/>
      <w:r>
        <w:rPr>
          <w:b w:val="0"/>
          <w:bCs w:val="0"/>
        </w:rPr>
      </w:r>
      <w:r>
        <w:rPr/>
        <w:t>十三、公司债券是否存在保证人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608" w:right="0"/>
        <w:jc w:val="left"/>
        <w:rPr>
          <w:b w:val="0"/>
          <w:bCs w:val="0"/>
        </w:rPr>
      </w:pPr>
      <w:bookmarkStart w:name="第十一节 财务报告" w:id="168"/>
      <w:bookmarkEnd w:id="168"/>
      <w:r>
        <w:rPr>
          <w:b w:val="0"/>
          <w:bCs w:val="0"/>
        </w:rPr>
      </w:r>
      <w:bookmarkStart w:name="_bookmark9" w:id="169"/>
      <w:bookmarkEnd w:id="169"/>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70"/>
      <w:bookmarkEnd w:id="170"/>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ZG11458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梁谦海、胡碟</w:t>
            </w:r>
          </w:p>
        </w:tc>
      </w:tr>
    </w:tbl>
    <w:p>
      <w:pPr>
        <w:spacing w:line="240" w:lineRule="auto" w:before="11"/>
        <w:rPr>
          <w:rFonts w:ascii="宋体" w:hAnsi="宋体" w:cs="宋体" w:eastAsia="宋体" w:hint="default"/>
          <w:b/>
          <w:bCs/>
          <w:sz w:val="18"/>
          <w:szCs w:val="18"/>
        </w:rPr>
      </w:pPr>
    </w:p>
    <w:p>
      <w:pPr>
        <w:pStyle w:val="Heading2"/>
        <w:spacing w:line="240" w:lineRule="auto" w:before="26"/>
        <w:ind w:left="3270" w:right="4248"/>
        <w:jc w:val="center"/>
        <w:rPr>
          <w:b w:val="0"/>
          <w:bCs w:val="0"/>
        </w:rPr>
      </w:pPr>
      <w:r>
        <w:rPr/>
        <w:t>审计报告正文</w:t>
      </w:r>
      <w:r>
        <w:rPr>
          <w:b w:val="0"/>
          <w:bCs w:val="0"/>
        </w:rPr>
      </w:r>
    </w:p>
    <w:p>
      <w:pPr>
        <w:spacing w:line="240" w:lineRule="auto" w:before="1"/>
        <w:rPr>
          <w:rFonts w:ascii="宋体" w:hAnsi="宋体" w:cs="宋体" w:eastAsia="宋体" w:hint="default"/>
          <w:b/>
          <w:bCs/>
          <w:sz w:val="24"/>
          <w:szCs w:val="24"/>
        </w:rPr>
      </w:pPr>
    </w:p>
    <w:p>
      <w:pPr>
        <w:pStyle w:val="BodyText"/>
        <w:spacing w:line="636" w:lineRule="auto" w:before="44"/>
        <w:ind w:right="7692"/>
        <w:jc w:val="left"/>
      </w:pPr>
      <w:r>
        <w:rPr/>
        <w:t>北京久其软件股份有限公司全体股东： 一、</w:t>
      </w:r>
      <w:r>
        <w:rPr>
          <w:spacing w:val="-30"/>
        </w:rPr>
        <w:t> </w:t>
      </w:r>
      <w:r>
        <w:rPr/>
        <w:t>保留意见</w:t>
      </w:r>
    </w:p>
    <w:p>
      <w:pPr>
        <w:pStyle w:val="BodyText"/>
        <w:spacing w:line="304" w:lineRule="auto" w:before="91"/>
        <w:ind w:right="1032"/>
        <w:jc w:val="left"/>
      </w:pPr>
      <w:r>
        <w:rPr/>
        <w:t>我们审计了北京久其软件股份有限公司（以下简称久其软件）财务报表，包括</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日的合并及母公司资产负债表，</w:t>
      </w:r>
      <w:r>
        <w:rPr>
          <w:spacing w:val="-84"/>
        </w:rPr>
        <w:t> </w:t>
      </w:r>
      <w:r>
        <w:rPr>
          <w:spacing w:val="-84"/>
        </w:rPr>
      </w:r>
      <w:r>
        <w:rPr>
          <w:rFonts w:ascii="Times New Roman" w:hAnsi="Times New Roman" w:cs="Times New Roman" w:eastAsia="Times New Roman" w:hint="default"/>
        </w:rPr>
        <w:t>2018</w:t>
      </w:r>
      <w:r>
        <w:rPr/>
        <w:t>年度的合并及母公司利润表、合并及母公司现金流量表、合并及母公司股东权益变动表以及相关财务报表附注。 </w:t>
      </w:r>
      <w:r>
        <w:rPr>
          <w:spacing w:val="-2"/>
        </w:rPr>
        <w:t>我们认为，除“形成保留意见的基础”部分所述事项可能产生的影响外，后附的财务报表在所有重大方面按照企业会计准则</w:t>
      </w:r>
      <w:r>
        <w:rPr>
          <w:spacing w:val="-66"/>
        </w:rPr>
        <w:t> </w:t>
      </w:r>
      <w:r>
        <w:rPr>
          <w:spacing w:val="-66"/>
        </w:rPr>
      </w:r>
      <w:r>
        <w:rPr>
          <w:spacing w:val="-2"/>
        </w:rPr>
        <w:t>的规定编制，公允反映了久其软件</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日的合并及母公司财务状况以及</w:t>
      </w:r>
      <w:r>
        <w:rPr>
          <w:rFonts w:ascii="Times New Roman" w:hAnsi="Times New Roman" w:cs="Times New Roman" w:eastAsia="Times New Roman" w:hint="default"/>
          <w:spacing w:val="-2"/>
        </w:rPr>
        <w:t>2018</w:t>
      </w:r>
      <w:r>
        <w:rPr>
          <w:spacing w:val="-2"/>
        </w:rPr>
        <w:t>年度的合并及母公司经营成果和现金流</w:t>
      </w:r>
      <w:r>
        <w:rPr>
          <w:spacing w:val="-52"/>
        </w:rPr>
        <w:t> </w:t>
      </w:r>
      <w:r>
        <w:rPr/>
        <w:t>量。</w:t>
      </w:r>
    </w:p>
    <w:p>
      <w:pPr>
        <w:spacing w:line="240" w:lineRule="auto" w:before="13"/>
        <w:rPr>
          <w:rFonts w:ascii="宋体" w:hAnsi="宋体" w:cs="宋体" w:eastAsia="宋体" w:hint="default"/>
          <w:sz w:val="25"/>
          <w:szCs w:val="25"/>
        </w:rPr>
      </w:pPr>
    </w:p>
    <w:p>
      <w:pPr>
        <w:pStyle w:val="BodyText"/>
        <w:spacing w:line="240" w:lineRule="auto"/>
        <w:ind w:right="0"/>
        <w:jc w:val="left"/>
      </w:pPr>
      <w:r>
        <w:rPr/>
        <w:t>二、</w:t>
      </w:r>
      <w:r>
        <w:rPr>
          <w:spacing w:val="-30"/>
        </w:rPr>
        <w:t> </w:t>
      </w:r>
      <w:r>
        <w:rPr/>
        <w:t>形成保留意见的基础</w:t>
      </w:r>
    </w:p>
    <w:p>
      <w:pPr>
        <w:spacing w:line="240" w:lineRule="auto" w:before="0"/>
        <w:rPr>
          <w:rFonts w:ascii="宋体" w:hAnsi="宋体" w:cs="宋体" w:eastAsia="宋体" w:hint="default"/>
          <w:sz w:val="18"/>
          <w:szCs w:val="18"/>
        </w:rPr>
      </w:pPr>
    </w:p>
    <w:p>
      <w:pPr>
        <w:pStyle w:val="BodyText"/>
        <w:spacing w:line="304" w:lineRule="auto" w:before="153"/>
        <w:ind w:right="1129"/>
        <w:jc w:val="both"/>
      </w:pPr>
      <w:r>
        <w:rPr>
          <w:spacing w:val="-5"/>
        </w:rPr>
        <w:t>截至</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日，久其软件下属子公司上海移通网络有限公司（以下简称“上海移通”）考虑了如附注五（三）、（五）</w:t>
      </w:r>
      <w:r>
        <w:rPr>
          <w:spacing w:val="-58"/>
        </w:rPr>
        <w:t> </w:t>
      </w:r>
      <w:r>
        <w:rPr>
          <w:spacing w:val="-58"/>
        </w:rPr>
      </w:r>
      <w:r>
        <w:rPr>
          <w:spacing w:val="-2"/>
        </w:rPr>
        <w:t>所述相关款项回收的不确定性，对中云通科技股份有限公司等</w:t>
      </w:r>
      <w:r>
        <w:rPr>
          <w:rFonts w:ascii="Times New Roman" w:hAnsi="Times New Roman" w:cs="Times New Roman" w:eastAsia="Times New Roman" w:hint="default"/>
          <w:spacing w:val="-2"/>
        </w:rPr>
        <w:t>2</w:t>
      </w:r>
      <w:r>
        <w:rPr>
          <w:spacing w:val="-2"/>
        </w:rPr>
        <w:t>家单位的往来款项合计</w:t>
      </w:r>
      <w:r>
        <w:rPr>
          <w:rFonts w:ascii="Times New Roman" w:hAnsi="Times New Roman" w:cs="Times New Roman" w:eastAsia="Times New Roman" w:hint="default"/>
          <w:spacing w:val="-2"/>
        </w:rPr>
        <w:t>3,400.00</w:t>
      </w:r>
      <w:r>
        <w:rPr>
          <w:spacing w:val="-2"/>
        </w:rPr>
        <w:t>万元全额计提了坏账准备。同</w:t>
      </w:r>
      <w:r>
        <w:rPr>
          <w:spacing w:val="-57"/>
        </w:rPr>
        <w:t> </w:t>
      </w:r>
      <w:r>
        <w:rPr>
          <w:spacing w:val="-57"/>
        </w:rPr>
      </w:r>
      <w:r>
        <w:rPr>
          <w:spacing w:val="-2"/>
        </w:rPr>
        <w:t>时，如附注五（二十三）所披露，上海移通在其他应付款中列示了北京凌渡科技有限公司等</w:t>
      </w:r>
      <w:r>
        <w:rPr>
          <w:rFonts w:ascii="Times New Roman" w:hAnsi="Times New Roman" w:cs="Times New Roman" w:eastAsia="Times New Roman" w:hint="default"/>
          <w:spacing w:val="-2"/>
        </w:rPr>
        <w:t>7</w:t>
      </w:r>
      <w:r>
        <w:rPr>
          <w:spacing w:val="-2"/>
        </w:rPr>
        <w:t>家单位的往来余额合计</w:t>
      </w:r>
      <w:r>
        <w:rPr>
          <w:rFonts w:ascii="Times New Roman" w:hAnsi="Times New Roman" w:cs="Times New Roman" w:eastAsia="Times New Roman" w:hint="default"/>
          <w:spacing w:val="-2"/>
        </w:rPr>
        <w:t>4,612.95</w:t>
      </w:r>
      <w:r>
        <w:rPr>
          <w:rFonts w:ascii="Times New Roman" w:hAnsi="Times New Roman" w:cs="Times New Roman" w:eastAsia="Times New Roman" w:hint="default"/>
          <w:spacing w:val="-11"/>
        </w:rPr>
        <w:t> </w:t>
      </w:r>
      <w:r>
        <w:rPr>
          <w:spacing w:val="-2"/>
        </w:rPr>
        <w:t>万元。在审计过程中，我们无法获取充分、适当的审计证据以判断与上述单位资金往来的款项性质及目的。因此，我们无法</w:t>
      </w:r>
      <w:r>
        <w:rPr>
          <w:spacing w:val="-66"/>
        </w:rPr>
        <w:t> </w:t>
      </w:r>
      <w:r>
        <w:rPr>
          <w:spacing w:val="-66"/>
        </w:rPr>
      </w:r>
      <w:r>
        <w:rPr/>
        <w:t>确定上述款项的列报是否正确，是否有必要对相应的余额及坏账准备项目做出调整。</w:t>
      </w:r>
    </w:p>
    <w:p>
      <w:pPr>
        <w:spacing w:line="240" w:lineRule="auto" w:before="13"/>
        <w:rPr>
          <w:rFonts w:ascii="宋体" w:hAnsi="宋体" w:cs="宋体" w:eastAsia="宋体" w:hint="default"/>
          <w:sz w:val="25"/>
          <w:szCs w:val="25"/>
        </w:rPr>
      </w:pPr>
    </w:p>
    <w:p>
      <w:pPr>
        <w:pStyle w:val="BodyText"/>
        <w:spacing w:line="316" w:lineRule="auto"/>
        <w:ind w:right="1132"/>
        <w:jc w:val="both"/>
      </w:pPr>
      <w:r>
        <w:rPr>
          <w:spacing w:val="-2"/>
        </w:rPr>
        <w:t>我们按照中国注册会计师审计准则的规定执行了审计工作。审计报告的“注册会计师对财务报表审计的责任”部分进一步阐</w:t>
      </w:r>
      <w:r>
        <w:rPr>
          <w:spacing w:val="-66"/>
        </w:rPr>
        <w:t> </w:t>
      </w:r>
      <w:r>
        <w:rPr>
          <w:spacing w:val="-66"/>
        </w:rPr>
      </w:r>
      <w:r>
        <w:rPr>
          <w:spacing w:val="-2"/>
        </w:rPr>
        <w:t>述了我们在这些准则下的责任。按照中国注册会计师职业道德守则，我们独立于久其软件，并履行了职业道德方面的其他责</w:t>
      </w:r>
      <w:r>
        <w:rPr>
          <w:spacing w:val="-66"/>
        </w:rPr>
        <w:t> </w:t>
      </w:r>
      <w:r>
        <w:rPr>
          <w:spacing w:val="-66"/>
        </w:rPr>
      </w:r>
      <w:r>
        <w:rPr/>
        <w:t>任。我们相信，我们获取的审计证据是充分、适当的，为发表保留意见提供了基础。</w:t>
      </w:r>
    </w:p>
    <w:p>
      <w:pPr>
        <w:spacing w:line="240" w:lineRule="auto" w:before="4"/>
        <w:rPr>
          <w:rFonts w:ascii="宋体" w:hAnsi="宋体" w:cs="宋体" w:eastAsia="宋体" w:hint="default"/>
          <w:sz w:val="25"/>
          <w:szCs w:val="25"/>
        </w:rPr>
      </w:pPr>
    </w:p>
    <w:p>
      <w:pPr>
        <w:pStyle w:val="BodyText"/>
        <w:spacing w:line="240" w:lineRule="auto"/>
        <w:ind w:right="0"/>
        <w:jc w:val="left"/>
      </w:pPr>
      <w:r>
        <w:rPr/>
        <w:t>三、</w:t>
      </w:r>
      <w:r>
        <w:rPr>
          <w:spacing w:val="-30"/>
        </w:rPr>
        <w:t> </w:t>
      </w:r>
      <w:r>
        <w:rPr/>
        <w:t>强调事项</w:t>
      </w:r>
    </w:p>
    <w:p>
      <w:pPr>
        <w:spacing w:line="240" w:lineRule="auto" w:before="0"/>
        <w:rPr>
          <w:rFonts w:ascii="宋体" w:hAnsi="宋体" w:cs="宋体" w:eastAsia="宋体" w:hint="default"/>
          <w:sz w:val="18"/>
          <w:szCs w:val="18"/>
        </w:rPr>
      </w:pPr>
    </w:p>
    <w:p>
      <w:pPr>
        <w:pStyle w:val="BodyText"/>
        <w:spacing w:line="304" w:lineRule="auto" w:before="151"/>
        <w:ind w:right="1122"/>
        <w:jc w:val="left"/>
      </w:pPr>
      <w:r>
        <w:rPr/>
        <w:t>我们提醒财务报表使用者关注，财务报表附注十五（其他重要事项）描述了</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月初，久其软件在对下属子公司上海移</w:t>
      </w:r>
      <w:r>
        <w:rPr>
          <w:spacing w:val="-82"/>
        </w:rPr>
        <w:t> </w:t>
      </w:r>
      <w:r>
        <w:rPr>
          <w:spacing w:val="-82"/>
        </w:rPr>
      </w:r>
      <w:r>
        <w:rPr/>
        <w:t>通派驻工作小组实施子公司业务审计，发现上海移通三名员工存在伪造、私刻客户单位公章的不法行为，并于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rFonts w:ascii="Times New Roman" w:hAnsi="Times New Roman" w:cs="Times New Roman" w:eastAsia="Times New Roman" w:hint="default"/>
          <w:spacing w:val="-36"/>
        </w:rPr>
        <w:t> </w:t>
      </w:r>
      <w:r>
        <w:rPr/>
        <w:t>日向公安机关报案。截至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日，久其软件已收到上海与北京两地公安机关出具的立案通知文件，分别对久其软件</w:t>
      </w:r>
      <w:r>
        <w:rPr>
          <w:spacing w:val="-83"/>
        </w:rPr>
        <w:t> </w:t>
      </w:r>
      <w:r>
        <w:rPr>
          <w:spacing w:val="-83"/>
        </w:rPr>
      </w:r>
      <w:r>
        <w:rPr/>
        <w:t>举报伪造公章一案和被合同诈骗一案立案，目前案件侦查工作正在进行中，案件情况存在不确定性。 </w:t>
      </w:r>
      <w:r>
        <w:rPr>
          <w:spacing w:val="-2"/>
        </w:rPr>
        <w:t>根据久其软件与上海移通原实际控制人签署的收购协议约定，业绩补偿承诺方应于</w:t>
      </w:r>
      <w:r>
        <w:rPr>
          <w:rFonts w:ascii="Times New Roman" w:hAnsi="Times New Roman" w:cs="Times New Roman" w:eastAsia="Times New Roman" w:hint="default"/>
          <w:spacing w:val="-2"/>
        </w:rPr>
        <w:t>2018</w:t>
      </w:r>
      <w:r>
        <w:rPr>
          <w:spacing w:val="-2"/>
        </w:rPr>
        <w:t>年度上海移通专项审计报告出具后一</w:t>
      </w:r>
      <w:r>
        <w:rPr>
          <w:spacing w:val="-60"/>
        </w:rPr>
        <w:t> </w:t>
      </w:r>
      <w:r>
        <w:rPr>
          <w:spacing w:val="-5"/>
        </w:rPr>
        <w:t>个月内向公司支付业绩补偿款。但可能受公安机关案件调查、债权债务纠纷、业绩补偿承诺方履约意愿及履约能力等的影响，</w:t>
      </w:r>
    </w:p>
    <w:p>
      <w:pPr>
        <w:spacing w:after="0" w:line="304"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636" w:lineRule="auto" w:before="44"/>
        <w:ind w:left="214" w:right="1572"/>
        <w:jc w:val="left"/>
      </w:pPr>
      <w:r>
        <w:rPr/>
        <w:t>可能存在久其软件主张的业绩补偿款不能按期足额获得业绩对赌补偿款的风险。本段内容不影响已发表的审计意见。 四、</w:t>
      </w:r>
      <w:r>
        <w:rPr>
          <w:spacing w:val="-30"/>
        </w:rPr>
        <w:t> </w:t>
      </w:r>
      <w:r>
        <w:rPr/>
        <w:t>关键审计事项</w:t>
      </w:r>
    </w:p>
    <w:p>
      <w:pPr>
        <w:pStyle w:val="BodyText"/>
        <w:spacing w:line="316" w:lineRule="auto" w:before="92"/>
        <w:ind w:left="214" w:right="1132"/>
        <w:jc w:val="both"/>
      </w:pPr>
      <w:r>
        <w:rPr>
          <w:spacing w:val="-2"/>
        </w:rPr>
        <w:t>关键审计事项是我们根据职业判断，认为对本期财务报表审计最为重要的事项。这些事项的应对以对财务报表整体进行审计</w:t>
      </w:r>
      <w:r>
        <w:rPr>
          <w:spacing w:val="-64"/>
        </w:rPr>
        <w:t> </w:t>
      </w:r>
      <w:r>
        <w:rPr>
          <w:spacing w:val="-64"/>
        </w:rPr>
      </w:r>
      <w:r>
        <w:rPr>
          <w:spacing w:val="-2"/>
        </w:rPr>
        <w:t>并形成审计意见为背景，我们不对这些事项单独发表意见。除“形成保留意见的基础”部分所述事项外，我们确定商誉减值</w:t>
      </w:r>
      <w:r>
        <w:rPr>
          <w:spacing w:val="-66"/>
        </w:rPr>
        <w:t> </w:t>
      </w:r>
      <w:r>
        <w:rPr>
          <w:spacing w:val="-66"/>
        </w:rPr>
      </w:r>
      <w:r>
        <w:rPr/>
        <w:t>的确认事项是需要在审计报告中沟通的关键审计事项。</w:t>
      </w: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4928"/>
        <w:gridCol w:w="4928"/>
      </w:tblGrid>
      <w:tr>
        <w:trPr>
          <w:trHeight w:val="410" w:hRule="exact"/>
        </w:trPr>
        <w:tc>
          <w:tcPr>
            <w:tcW w:w="4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6"/>
              <w:ind w:left="1283"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409"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63" w:right="0"/>
              <w:jc w:val="left"/>
              <w:rPr>
                <w:rFonts w:ascii="宋体" w:hAnsi="宋体" w:cs="宋体" w:eastAsia="宋体" w:hint="default"/>
                <w:sz w:val="18"/>
                <w:szCs w:val="18"/>
              </w:rPr>
            </w:pPr>
            <w:r>
              <w:rPr>
                <w:rFonts w:ascii="宋体" w:hAnsi="宋体" w:cs="宋体" w:eastAsia="宋体" w:hint="default"/>
                <w:sz w:val="18"/>
                <w:szCs w:val="18"/>
              </w:rPr>
              <w:t>（一）商誉减值</w:t>
            </w:r>
          </w:p>
        </w:tc>
        <w:tc>
          <w:tcPr>
            <w:tcW w:w="4928" w:type="dxa"/>
            <w:tcBorders>
              <w:top w:val="single" w:sz="4" w:space="0" w:color="000000"/>
              <w:left w:val="single" w:sz="4" w:space="0" w:color="000000"/>
              <w:bottom w:val="single" w:sz="4" w:space="0" w:color="000000"/>
              <w:right w:val="single" w:sz="4" w:space="0" w:color="000000"/>
            </w:tcBorders>
          </w:tcPr>
          <w:p>
            <w:pPr/>
          </w:p>
        </w:tc>
      </w:tr>
      <w:tr>
        <w:trPr>
          <w:trHeight w:val="961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7"/>
              <w:ind w:left="103" w:right="105" w:firstLine="360"/>
              <w:jc w:val="both"/>
              <w:rPr>
                <w:rFonts w:ascii="宋体" w:hAnsi="宋体" w:cs="宋体" w:eastAsia="宋体" w:hint="default"/>
                <w:sz w:val="18"/>
                <w:szCs w:val="18"/>
              </w:rPr>
            </w:pPr>
            <w:r>
              <w:rPr>
                <w:rFonts w:ascii="宋体" w:hAnsi="宋体" w:cs="宋体" w:eastAsia="宋体" w:hint="default"/>
                <w:sz w:val="18"/>
                <w:szCs w:val="18"/>
              </w:rPr>
              <w:t>商誉减值的会计政策详情及分析请参阅合并财务报表附 </w:t>
            </w:r>
            <w:r>
              <w:rPr>
                <w:rFonts w:ascii="宋体" w:hAnsi="宋体" w:cs="宋体" w:eastAsia="宋体" w:hint="default"/>
                <w:spacing w:val="-10"/>
                <w:sz w:val="18"/>
                <w:szCs w:val="18"/>
              </w:rPr>
              <w:t>注三（二十）（长期资产减值）及附注五（十五）（商誉）。</w:t>
            </w:r>
          </w:p>
          <w:p>
            <w:pPr>
              <w:pStyle w:val="TableParagraph"/>
              <w:spacing w:line="240" w:lineRule="auto" w:before="38"/>
              <w:ind w:left="46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日，久其软件商誉的账面价值合计</w:t>
            </w:r>
          </w:p>
          <w:p>
            <w:pPr>
              <w:pStyle w:val="TableParagraph"/>
              <w:spacing w:line="240" w:lineRule="auto" w:before="151"/>
              <w:ind w:left="103" w:right="0"/>
              <w:jc w:val="left"/>
              <w:rPr>
                <w:rFonts w:ascii="宋体" w:hAnsi="宋体" w:cs="宋体" w:eastAsia="宋体" w:hint="default"/>
                <w:sz w:val="18"/>
                <w:szCs w:val="18"/>
              </w:rPr>
            </w:pPr>
            <w:r>
              <w:rPr>
                <w:rFonts w:ascii="宋体" w:hAnsi="宋体" w:cs="宋体" w:eastAsia="宋体" w:hint="default"/>
                <w:spacing w:val="10"/>
                <w:sz w:val="18"/>
                <w:szCs w:val="18"/>
              </w:rPr>
              <w:t>人民币 </w:t>
            </w:r>
            <w:r>
              <w:rPr>
                <w:rFonts w:ascii="Times New Roman" w:hAnsi="Times New Roman" w:cs="Times New Roman" w:eastAsia="Times New Roman" w:hint="default"/>
                <w:sz w:val="18"/>
                <w:szCs w:val="18"/>
              </w:rPr>
              <w:t>168,103.15 </w:t>
            </w:r>
            <w:r>
              <w:rPr>
                <w:rFonts w:ascii="Times New Roman" w:hAnsi="Times New Roman" w:cs="Times New Roman" w:eastAsia="Times New Roman" w:hint="default"/>
                <w:spacing w:val="23"/>
                <w:sz w:val="18"/>
                <w:szCs w:val="18"/>
              </w:rPr>
              <w:t> </w:t>
            </w:r>
            <w:r>
              <w:rPr>
                <w:rFonts w:ascii="宋体" w:hAnsi="宋体" w:cs="宋体" w:eastAsia="宋体" w:hint="default"/>
                <w:spacing w:val="15"/>
                <w:sz w:val="18"/>
                <w:szCs w:val="18"/>
              </w:rPr>
              <w:t>万元，相应的减值准备余额为人民币</w:t>
            </w:r>
            <w:r>
              <w:rPr>
                <w:rFonts w:ascii="宋体" w:hAnsi="宋体" w:cs="宋体" w:eastAsia="宋体" w:hint="default"/>
                <w:sz w:val="18"/>
                <w:szCs w:val="18"/>
              </w:rPr>
            </w:r>
          </w:p>
          <w:p>
            <w:pPr>
              <w:pStyle w:val="TableParagraph"/>
              <w:spacing w:line="240" w:lineRule="auto" w:before="1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107,979.59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408" w:lineRule="auto" w:before="150"/>
              <w:ind w:left="103" w:right="103" w:firstLine="360"/>
              <w:jc w:val="both"/>
              <w:rPr>
                <w:rFonts w:ascii="宋体" w:hAnsi="宋体" w:cs="宋体" w:eastAsia="宋体" w:hint="default"/>
                <w:sz w:val="18"/>
                <w:szCs w:val="18"/>
              </w:rPr>
            </w:pPr>
            <w:r>
              <w:rPr>
                <w:rFonts w:ascii="宋体" w:hAnsi="宋体" w:cs="宋体" w:eastAsia="宋体" w:hint="default"/>
                <w:sz w:val="18"/>
                <w:szCs w:val="18"/>
              </w:rPr>
              <w:t>管理层结合可获取的内部与外部信息，合理判断并识别 商誉减值迹象。当商誉所在资产组或资产组组合出现特定减</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值迹象时，及时进行商誉减值测试，并恰当考虑该减值迹象</w:t>
            </w:r>
            <w:r>
              <w:rPr>
                <w:rFonts w:ascii="宋体" w:hAnsi="宋体" w:cs="宋体" w:eastAsia="宋体" w:hint="default"/>
                <w:spacing w:val="-65"/>
                <w:sz w:val="18"/>
                <w:szCs w:val="18"/>
              </w:rPr>
              <w:t> </w:t>
            </w:r>
            <w:r>
              <w:rPr>
                <w:rFonts w:ascii="宋体" w:hAnsi="宋体" w:cs="宋体" w:eastAsia="宋体" w:hint="default"/>
                <w:sz w:val="18"/>
                <w:szCs w:val="18"/>
              </w:rPr>
              <w:t>的影响。</w:t>
            </w:r>
          </w:p>
          <w:p>
            <w:pPr>
              <w:pStyle w:val="TableParagraph"/>
              <w:spacing w:line="408" w:lineRule="auto" w:before="39"/>
              <w:ind w:left="103" w:right="101" w:firstLine="360"/>
              <w:jc w:val="both"/>
              <w:rPr>
                <w:rFonts w:ascii="宋体" w:hAnsi="宋体" w:cs="宋体" w:eastAsia="宋体" w:hint="default"/>
                <w:sz w:val="18"/>
                <w:szCs w:val="18"/>
              </w:rPr>
            </w:pPr>
            <w:r>
              <w:rPr>
                <w:rFonts w:ascii="宋体" w:hAnsi="宋体" w:cs="宋体" w:eastAsia="宋体" w:hint="default"/>
                <w:sz w:val="18"/>
                <w:szCs w:val="18"/>
              </w:rPr>
              <w:t>管理层每年评估商誉可能出现减值的情况。商誉的减值 评估结果由管理层依据其聘任的外部评估师编制的估值报告</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进行确定。减值评估是依据所编制的折现现金流预测而估计</w:t>
            </w:r>
            <w:r>
              <w:rPr>
                <w:rFonts w:ascii="宋体" w:hAnsi="宋体" w:cs="宋体" w:eastAsia="宋体" w:hint="default"/>
                <w:spacing w:val="-65"/>
                <w:sz w:val="18"/>
                <w:szCs w:val="18"/>
              </w:rPr>
              <w:t> </w:t>
            </w:r>
            <w:r>
              <w:rPr>
                <w:rFonts w:ascii="宋体" w:hAnsi="宋体" w:cs="宋体" w:eastAsia="宋体" w:hint="default"/>
                <w:sz w:val="18"/>
                <w:szCs w:val="18"/>
              </w:rPr>
              <w:t>商誉的使用价值。折现现金流预测的编制涉及运用重大判断</w:t>
            </w:r>
            <w:r>
              <w:rPr>
                <w:rFonts w:ascii="宋体" w:hAnsi="宋体" w:cs="宋体" w:eastAsia="宋体" w:hint="default"/>
                <w:spacing w:val="-65"/>
                <w:sz w:val="18"/>
                <w:szCs w:val="18"/>
              </w:rPr>
              <w:t> </w:t>
            </w:r>
            <w:r>
              <w:rPr>
                <w:rFonts w:ascii="宋体" w:hAnsi="宋体" w:cs="宋体" w:eastAsia="宋体" w:hint="default"/>
                <w:sz w:val="18"/>
                <w:szCs w:val="18"/>
              </w:rPr>
              <w:t>和估计，特别是确定收入增长率、永续增长率、成本上涨，</w:t>
            </w:r>
            <w:r>
              <w:rPr>
                <w:rFonts w:ascii="宋体" w:hAnsi="宋体" w:cs="宋体" w:eastAsia="宋体" w:hint="default"/>
                <w:spacing w:val="-65"/>
                <w:sz w:val="18"/>
                <w:szCs w:val="18"/>
              </w:rPr>
              <w:t> </w:t>
            </w:r>
            <w:r>
              <w:rPr>
                <w:rFonts w:ascii="宋体" w:hAnsi="宋体" w:cs="宋体" w:eastAsia="宋体" w:hint="default"/>
                <w:sz w:val="18"/>
                <w:szCs w:val="18"/>
              </w:rPr>
              <w:t>以及确定所应用的风险调整折现率时均存在固有不确定性和</w:t>
            </w:r>
            <w:r>
              <w:rPr>
                <w:rFonts w:ascii="宋体" w:hAnsi="宋体" w:cs="宋体" w:eastAsia="宋体" w:hint="default"/>
                <w:spacing w:val="-65"/>
                <w:sz w:val="18"/>
                <w:szCs w:val="18"/>
              </w:rPr>
              <w:t> </w:t>
            </w:r>
            <w:r>
              <w:rPr>
                <w:rFonts w:ascii="宋体" w:hAnsi="宋体" w:cs="宋体" w:eastAsia="宋体" w:hint="default"/>
                <w:sz w:val="18"/>
                <w:szCs w:val="18"/>
              </w:rPr>
              <w:t>可能受到管理层偏好的影响。</w:t>
            </w:r>
          </w:p>
          <w:p>
            <w:pPr>
              <w:pStyle w:val="TableParagraph"/>
              <w:spacing w:line="408" w:lineRule="auto" w:before="38"/>
              <w:ind w:left="103" w:right="12" w:firstLine="360"/>
              <w:jc w:val="left"/>
              <w:rPr>
                <w:rFonts w:ascii="宋体" w:hAnsi="宋体" w:cs="宋体" w:eastAsia="宋体" w:hint="default"/>
                <w:sz w:val="18"/>
                <w:szCs w:val="18"/>
              </w:rPr>
            </w:pPr>
            <w:r>
              <w:rPr>
                <w:rFonts w:ascii="宋体" w:hAnsi="宋体" w:cs="宋体" w:eastAsia="宋体" w:hint="default"/>
                <w:sz w:val="18"/>
                <w:szCs w:val="18"/>
              </w:rPr>
              <w:t>由于商誉的减值预测和折现未来现金流量涉及固有不确 </w:t>
            </w:r>
            <w:r>
              <w:rPr>
                <w:rFonts w:ascii="宋体" w:hAnsi="宋体" w:cs="宋体" w:eastAsia="宋体" w:hint="default"/>
                <w:spacing w:val="-3"/>
                <w:sz w:val="18"/>
                <w:szCs w:val="18"/>
              </w:rPr>
              <w:t>定性，以及管理层在选用假设和估计时可能出现偏好的风险，</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我们将评估商誉的减值视为久其软件的关键审计事项。</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63" w:right="0"/>
              <w:jc w:val="left"/>
              <w:rPr>
                <w:rFonts w:ascii="宋体" w:hAnsi="宋体" w:cs="宋体" w:eastAsia="宋体" w:hint="default"/>
                <w:sz w:val="18"/>
                <w:szCs w:val="18"/>
              </w:rPr>
            </w:pPr>
            <w:r>
              <w:rPr>
                <w:rFonts w:ascii="宋体" w:hAnsi="宋体" w:cs="宋体" w:eastAsia="宋体" w:hint="default"/>
                <w:sz w:val="18"/>
                <w:szCs w:val="18"/>
              </w:rPr>
              <w:t>与商誉减值有关的审计程序包括：</w:t>
            </w:r>
          </w:p>
          <w:p>
            <w:pPr>
              <w:pStyle w:val="TableParagraph"/>
              <w:spacing w:line="240" w:lineRule="auto" w:before="7"/>
              <w:ind w:right="0"/>
              <w:jc w:val="left"/>
              <w:rPr>
                <w:rFonts w:ascii="宋体" w:hAnsi="宋体" w:cs="宋体" w:eastAsia="宋体" w:hint="default"/>
                <w:sz w:val="12"/>
                <w:szCs w:val="12"/>
              </w:rPr>
            </w:pPr>
          </w:p>
          <w:p>
            <w:pPr>
              <w:pStyle w:val="TableParagraph"/>
              <w:spacing w:line="396" w:lineRule="auto"/>
              <w:ind w:left="103" w:right="101" w:firstLine="36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、我们评估及测试了与商誉减值测试相关的内部控制的</w:t>
            </w:r>
            <w:r>
              <w:rPr>
                <w:rFonts w:ascii="宋体" w:hAnsi="宋体" w:cs="宋体" w:eastAsia="宋体" w:hint="default"/>
                <w:sz w:val="18"/>
                <w:szCs w:val="18"/>
              </w:rPr>
              <w:t> 设计及执行有效性，包括关键假设的采用及减值计提金额的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复核及审批；</w:t>
            </w:r>
          </w:p>
          <w:p>
            <w:pPr>
              <w:pStyle w:val="TableParagraph"/>
              <w:spacing w:line="384" w:lineRule="auto" w:before="47"/>
              <w:ind w:left="103" w:right="102" w:firstLine="36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、评价管理层委聘的外部估值专家的胜任能力、专业素</w:t>
            </w:r>
            <w:r>
              <w:rPr>
                <w:rFonts w:ascii="宋体" w:hAnsi="宋体" w:cs="宋体" w:eastAsia="宋体" w:hint="default"/>
                <w:sz w:val="18"/>
                <w:szCs w:val="18"/>
              </w:rPr>
              <w:t> 质和客观性；</w:t>
            </w:r>
          </w:p>
          <w:p>
            <w:pPr>
              <w:pStyle w:val="TableParagraph"/>
              <w:spacing w:line="384" w:lineRule="auto" w:before="57"/>
              <w:ind w:left="103" w:right="101" w:firstLine="36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、复核管理层对资产组的识别以及如何将商誉分配至各</w:t>
            </w:r>
            <w:r>
              <w:rPr>
                <w:rFonts w:ascii="宋体" w:hAnsi="宋体" w:cs="宋体" w:eastAsia="宋体" w:hint="default"/>
                <w:sz w:val="18"/>
                <w:szCs w:val="18"/>
              </w:rPr>
              <w:t> 资产组；</w:t>
            </w:r>
          </w:p>
          <w:p>
            <w:pPr>
              <w:pStyle w:val="TableParagraph"/>
              <w:spacing w:line="386" w:lineRule="auto" w:before="56"/>
              <w:ind w:left="103" w:right="102" w:firstLine="36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、了解各资产组的历史业绩情况及发展规划，以及宏观</w:t>
            </w:r>
            <w:r>
              <w:rPr>
                <w:rFonts w:ascii="宋体" w:hAnsi="宋体" w:cs="宋体" w:eastAsia="宋体" w:hint="default"/>
                <w:sz w:val="18"/>
                <w:szCs w:val="18"/>
              </w:rPr>
              <w:t> 经济和所属行业的发展趋势；</w:t>
            </w:r>
          </w:p>
          <w:p>
            <w:pPr>
              <w:pStyle w:val="TableParagraph"/>
              <w:spacing w:line="384" w:lineRule="auto" w:before="54"/>
              <w:ind w:left="103" w:right="102" w:firstLine="36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、通过参考行业惯例，评估了管理层进行现金流量预测</w:t>
            </w:r>
            <w:r>
              <w:rPr>
                <w:rFonts w:ascii="宋体" w:hAnsi="宋体" w:cs="宋体" w:eastAsia="宋体" w:hint="default"/>
                <w:sz w:val="18"/>
                <w:szCs w:val="18"/>
              </w:rPr>
              <w:t> 时使用的估值方法的适当性；</w:t>
            </w:r>
          </w:p>
          <w:p>
            <w:pPr>
              <w:pStyle w:val="TableParagraph"/>
              <w:spacing w:line="396" w:lineRule="auto" w:before="57"/>
              <w:ind w:left="103" w:right="101" w:firstLine="36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、通过将收入增长率、永续增长率和成本上涨等关键输</w:t>
            </w:r>
            <w:r>
              <w:rPr>
                <w:rFonts w:ascii="宋体" w:hAnsi="宋体" w:cs="宋体" w:eastAsia="宋体" w:hint="default"/>
                <w:sz w:val="18"/>
                <w:szCs w:val="18"/>
              </w:rPr>
              <w:t> 入值与过往业绩、管理层预算和预测及行业报告进行比较，</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审慎评价编制折现现金流预测中采用的关键假设及判断；</w:t>
            </w:r>
          </w:p>
          <w:p>
            <w:pPr>
              <w:pStyle w:val="TableParagraph"/>
              <w:spacing w:line="400" w:lineRule="auto" w:before="48"/>
              <w:ind w:left="103" w:right="101" w:firstLine="36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、基于同行业可比公司的市场数据重新计算折现率，并</w:t>
            </w:r>
            <w:r>
              <w:rPr>
                <w:rFonts w:ascii="宋体" w:hAnsi="宋体" w:cs="宋体" w:eastAsia="宋体" w:hint="default"/>
                <w:sz w:val="18"/>
                <w:szCs w:val="18"/>
              </w:rPr>
              <w:t> 将我们的计算结果与管理层计算预计未来现金流量现值时采</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用的折现率进行比较，以评价其计算预计未来现金流量现值</w:t>
            </w:r>
            <w:r>
              <w:rPr>
                <w:rFonts w:ascii="宋体" w:hAnsi="宋体" w:cs="宋体" w:eastAsia="宋体" w:hint="default"/>
                <w:spacing w:val="-65"/>
                <w:sz w:val="18"/>
                <w:szCs w:val="18"/>
              </w:rPr>
              <w:t> </w:t>
            </w:r>
            <w:r>
              <w:rPr>
                <w:rFonts w:ascii="宋体" w:hAnsi="宋体" w:cs="宋体" w:eastAsia="宋体" w:hint="default"/>
                <w:sz w:val="18"/>
                <w:szCs w:val="18"/>
              </w:rPr>
              <w:t>时采用的折现率；</w:t>
            </w:r>
          </w:p>
          <w:p>
            <w:pPr>
              <w:pStyle w:val="TableParagraph"/>
              <w:spacing w:line="396" w:lineRule="auto" w:before="43"/>
              <w:ind w:left="103" w:right="101" w:firstLine="36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、对预测收入和采用的折现率等关键假设进行敏感性分</w:t>
            </w:r>
            <w:r>
              <w:rPr>
                <w:rFonts w:ascii="宋体" w:hAnsi="宋体" w:cs="宋体" w:eastAsia="宋体" w:hint="default"/>
                <w:sz w:val="18"/>
                <w:szCs w:val="18"/>
              </w:rPr>
              <w:t> 析，以评价关键假设的变化对减值评估结果的影响以及考虑</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对关键假设的选择是否存在管理层偏向的迹象；</w:t>
            </w:r>
          </w:p>
          <w:p>
            <w:pPr>
              <w:pStyle w:val="TableParagraph"/>
              <w:spacing w:line="240" w:lineRule="auto" w:before="47"/>
              <w:ind w:left="46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、通过对比上一年度的预测和本年度的业绩进行追溯性</w:t>
            </w:r>
          </w:p>
          <w:p>
            <w:pPr>
              <w:pStyle w:val="TableParagraph"/>
              <w:spacing w:line="240" w:lineRule="auto" w:before="151"/>
              <w:ind w:left="103" w:right="0"/>
              <w:jc w:val="left"/>
              <w:rPr>
                <w:rFonts w:ascii="宋体" w:hAnsi="宋体" w:cs="宋体" w:eastAsia="宋体" w:hint="default"/>
                <w:sz w:val="18"/>
                <w:szCs w:val="18"/>
              </w:rPr>
            </w:pPr>
            <w:r>
              <w:rPr>
                <w:rFonts w:ascii="宋体" w:hAnsi="宋体" w:cs="宋体" w:eastAsia="宋体" w:hint="default"/>
                <w:sz w:val="18"/>
                <w:szCs w:val="18"/>
              </w:rPr>
              <w:t>审核，以评估管理层预测过程的可靠性和历史准确性。</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before="44"/>
        <w:ind w:left="214" w:right="1572"/>
        <w:jc w:val="left"/>
      </w:pPr>
      <w:r>
        <w:rPr/>
        <w:t>五、</w:t>
      </w:r>
      <w:r>
        <w:rPr>
          <w:spacing w:val="-30"/>
        </w:rPr>
        <w:t> </w:t>
      </w:r>
      <w:r>
        <w:rPr/>
        <w:t>其他信息</w:t>
      </w:r>
    </w:p>
    <w:p>
      <w:pPr>
        <w:spacing w:after="0" w:line="240" w:lineRule="auto"/>
        <w:jc w:val="left"/>
        <w:sectPr>
          <w:pgSz w:w="11910" w:h="16840"/>
          <w:pgMar w:header="877" w:footer="979" w:top="1100" w:bottom="1160" w:left="92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BodyText"/>
        <w:spacing w:line="314" w:lineRule="auto" w:before="44"/>
        <w:ind w:right="1127"/>
        <w:jc w:val="left"/>
      </w:pPr>
      <w:r>
        <w:rPr>
          <w:spacing w:val="-2"/>
        </w:rPr>
        <w:t>久其软件管理层（以下简称管理层）对其他信息负责。其他信息包括久其软件</w:t>
      </w:r>
      <w:r>
        <w:rPr>
          <w:rFonts w:ascii="Times New Roman" w:hAnsi="Times New Roman" w:cs="Times New Roman" w:eastAsia="Times New Roman" w:hint="default"/>
          <w:spacing w:val="-2"/>
        </w:rPr>
        <w:t>2018</w:t>
      </w:r>
      <w:r>
        <w:rPr>
          <w:spacing w:val="-2"/>
        </w:rPr>
        <w:t>年年度报告中涵盖的信息，但不包括财务</w:t>
      </w:r>
      <w:r>
        <w:rPr>
          <w:spacing w:val="-62"/>
        </w:rPr>
        <w:t> </w:t>
      </w:r>
      <w:r>
        <w:rPr>
          <w:spacing w:val="-62"/>
        </w:rPr>
      </w:r>
      <w:r>
        <w:rPr/>
        <w:t>报表和我们的审计报告。 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结合我们对财务报表的审计，我们的责任是阅读其他信息，在此过程中，考虑其他信息是否与财务报表或我们在审计过程中</w:t>
      </w:r>
      <w:r>
        <w:rPr>
          <w:spacing w:val="-66"/>
        </w:rPr>
        <w:t> </w:t>
      </w:r>
      <w:r>
        <w:rPr>
          <w:spacing w:val="-66"/>
        </w:rPr>
      </w:r>
      <w:r>
        <w:rPr/>
        <w:t>了解到的情况存在重大不一致或者似乎存在重大错报。 </w:t>
      </w:r>
      <w:r>
        <w:rPr>
          <w:spacing w:val="-5"/>
        </w:rPr>
        <w:t>基于我们已执行的工作，如果我们确定其他信息存在重大错报，我们应当报告该事实。在这方面，我们无任何事项需要报告。</w:t>
      </w:r>
      <w:r>
        <w:rPr>
          <w:spacing w:val="-82"/>
        </w:rPr>
        <w:t> </w:t>
      </w:r>
      <w:r>
        <w:rPr>
          <w:spacing w:val="-82"/>
        </w:rPr>
      </w:r>
      <w:r>
        <w:rPr>
          <w:spacing w:val="-5"/>
        </w:rPr>
        <w:t>如上述“形成保留意见的基础”及“强调事项”部分所述，我们无法就这些事项涉及的</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日久其软件的预付账款、</w:t>
      </w:r>
      <w:r>
        <w:rPr>
          <w:spacing w:val="-59"/>
        </w:rPr>
        <w:t> </w:t>
      </w:r>
      <w:r>
        <w:rPr>
          <w:spacing w:val="-2"/>
        </w:rPr>
        <w:t>其他应收款、其他应付款、资产减值损失账面价值等获取充分、适当的审计证据。因此，我们无法确定与该事项相关的其他</w:t>
      </w:r>
      <w:r>
        <w:rPr>
          <w:spacing w:val="-66"/>
        </w:rPr>
        <w:t> </w:t>
      </w:r>
      <w:r>
        <w:rPr>
          <w:spacing w:val="-66"/>
        </w:rPr>
      </w:r>
      <w:r>
        <w:rPr/>
        <w:t>信息是否存在重大错报。</w:t>
      </w:r>
    </w:p>
    <w:p>
      <w:pPr>
        <w:spacing w:line="240" w:lineRule="auto" w:before="6"/>
        <w:rPr>
          <w:rFonts w:ascii="宋体" w:hAnsi="宋体" w:cs="宋体" w:eastAsia="宋体" w:hint="default"/>
          <w:sz w:val="25"/>
          <w:szCs w:val="25"/>
        </w:rPr>
      </w:pPr>
    </w:p>
    <w:p>
      <w:pPr>
        <w:pStyle w:val="BodyText"/>
        <w:spacing w:line="240" w:lineRule="auto"/>
        <w:ind w:right="0"/>
        <w:jc w:val="left"/>
      </w:pPr>
      <w:r>
        <w:rPr/>
        <w:t>六、</w:t>
      </w:r>
      <w:r>
        <w:rPr>
          <w:spacing w:val="-30"/>
        </w:rPr>
        <w:t> </w:t>
      </w:r>
      <w:r>
        <w:rPr/>
        <w:t>管理层和治理层对财务报表的责任</w:t>
      </w:r>
    </w:p>
    <w:p>
      <w:pPr>
        <w:spacing w:line="240" w:lineRule="auto" w:before="0"/>
        <w:rPr>
          <w:rFonts w:ascii="宋体" w:hAnsi="宋体" w:cs="宋体" w:eastAsia="宋体" w:hint="default"/>
          <w:sz w:val="18"/>
          <w:szCs w:val="18"/>
        </w:rPr>
      </w:pPr>
    </w:p>
    <w:p>
      <w:pPr>
        <w:pStyle w:val="BodyText"/>
        <w:spacing w:line="316" w:lineRule="auto" w:before="153"/>
        <w:ind w:right="0"/>
        <w:jc w:val="left"/>
      </w:pPr>
      <w:r>
        <w:rPr>
          <w:spacing w:val="-2"/>
        </w:rPr>
        <w:t>管理层负责按照企业会计准则的规定编制财务报表，使其实现公允反映，并设计、执行和维护必要的内部控制，以使财务报</w:t>
      </w:r>
      <w:r>
        <w:rPr>
          <w:spacing w:val="-66"/>
        </w:rPr>
        <w:t> </w:t>
      </w:r>
      <w:r>
        <w:rPr>
          <w:spacing w:val="-66"/>
        </w:rPr>
      </w:r>
      <w:r>
        <w:rPr/>
        <w:t>表不存在由于舞弊或错误导致的重大错报。 </w:t>
      </w:r>
      <w:r>
        <w:rPr>
          <w:spacing w:val="-2"/>
        </w:rPr>
        <w:t>在编制财务报表时，管理层负责评估久其软件的持续经营能力，披露与持续经营相关的事项（如适用），并运用持续经营假</w:t>
      </w:r>
      <w:r>
        <w:rPr>
          <w:spacing w:val="-66"/>
        </w:rPr>
        <w:t> </w:t>
      </w:r>
      <w:r>
        <w:rPr>
          <w:spacing w:val="-66"/>
        </w:rPr>
      </w:r>
      <w:r>
        <w:rPr/>
        <w:t>设，除非计划进行清算、终止运营或别无其他现实的选择。</w:t>
      </w:r>
    </w:p>
    <w:p>
      <w:pPr>
        <w:pStyle w:val="BodyText"/>
        <w:spacing w:line="636" w:lineRule="auto" w:before="19"/>
        <w:ind w:right="7332"/>
        <w:jc w:val="left"/>
      </w:pPr>
      <w:r>
        <w:rPr/>
        <w:t>治理层负责监督久其软件的财务报告过程。 七、</w:t>
      </w:r>
      <w:r>
        <w:rPr>
          <w:spacing w:val="-30"/>
        </w:rPr>
        <w:t> </w:t>
      </w:r>
      <w:r>
        <w:rPr/>
        <w:t>注册会计师对财务报表审计的责任</w:t>
      </w:r>
    </w:p>
    <w:p>
      <w:pPr>
        <w:pStyle w:val="BodyText"/>
        <w:spacing w:line="319" w:lineRule="auto" w:before="91"/>
        <w:ind w:right="1032"/>
        <w:jc w:val="left"/>
      </w:pPr>
      <w:r>
        <w:rPr/>
        <w:t>我们的目标是对财务报表整体是否不存在由于舞弊或错误导致的重大错报获取合理保证，并出具包含审计意见的审计报告。</w:t>
      </w:r>
      <w:r>
        <w:rPr>
          <w:spacing w:val="-84"/>
        </w:rPr>
        <w:t> </w:t>
      </w:r>
      <w:r>
        <w:rPr>
          <w:spacing w:val="-84"/>
        </w:rPr>
      </w:r>
      <w:r>
        <w:rPr>
          <w:spacing w:val="-2"/>
        </w:rPr>
        <w:t>合理保证是高水平的保证，但并不能保证按照审计准则执行的审计在某一重大错报存在时总能发现。错报可能由于舞弊或错</w:t>
      </w:r>
      <w:r>
        <w:rPr>
          <w:spacing w:val="-64"/>
        </w:rPr>
        <w:t> </w:t>
      </w:r>
      <w:r>
        <w:rPr>
          <w:spacing w:val="-64"/>
        </w:rPr>
      </w:r>
      <w:r>
        <w:rPr>
          <w:spacing w:val="-2"/>
        </w:rPr>
        <w:t>误导致，如果合理预期错报单独或汇总起来可能影响财务报表使用者依据财务报表作出的经济决策，则通常认为错报是重大</w:t>
      </w:r>
      <w:r>
        <w:rPr>
          <w:spacing w:val="-64"/>
        </w:rPr>
        <w:t> </w:t>
      </w:r>
      <w:r>
        <w:rPr>
          <w:spacing w:val="-64"/>
        </w:rPr>
      </w:r>
      <w:r>
        <w:rPr/>
        <w:t>的。</w:t>
      </w:r>
    </w:p>
    <w:p>
      <w:pPr>
        <w:pStyle w:val="BodyText"/>
        <w:spacing w:line="240" w:lineRule="auto" w:before="17"/>
        <w:ind w:right="0"/>
        <w:jc w:val="left"/>
      </w:pPr>
      <w:r>
        <w:rPr/>
        <w:t>在按照审计准则执行审计工作的过程中，我们运用职业判断，并保持职业怀疑。同时，我们也执行以下工作：</w:t>
      </w:r>
    </w:p>
    <w:p>
      <w:pPr>
        <w:pStyle w:val="BodyText"/>
        <w:spacing w:line="309" w:lineRule="auto" w:before="76"/>
        <w:ind w:right="1129"/>
        <w:jc w:val="both"/>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）识别和评估由于舞弊或错误导致的财务报表重大错报风险，设计和实施审计程序以应对这些风险，并获取充分、适当</w:t>
      </w:r>
      <w:r>
        <w:rPr>
          <w:spacing w:val="-83"/>
        </w:rPr>
        <w:t> </w:t>
      </w:r>
      <w:r>
        <w:rPr>
          <w:spacing w:val="-83"/>
        </w:rPr>
      </w:r>
      <w:r>
        <w:rPr>
          <w:spacing w:val="-2"/>
        </w:rPr>
        <w:t>的审计证据，作为发表审计意见的基础。由于舞弊可能涉及串通、伪造、故意遗漏、虚假陈述或凌驾于内部控制之上，未能</w:t>
      </w:r>
      <w:r>
        <w:rPr>
          <w:spacing w:val="-68"/>
        </w:rPr>
        <w:t> </w:t>
      </w:r>
      <w:r>
        <w:rPr>
          <w:spacing w:val="-68"/>
        </w:rPr>
      </w:r>
      <w:r>
        <w:rPr/>
        <w:t>发现由于舞弊导致的重大错报的风险高于未能发现由于错误导致的重大错报的风险。</w:t>
      </w:r>
    </w:p>
    <w:p>
      <w:pPr>
        <w:pStyle w:val="BodyText"/>
        <w:spacing w:line="240" w:lineRule="auto" w:before="24"/>
        <w:ind w:right="0"/>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63"/>
        <w:ind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63"/>
        <w:ind w:right="1129"/>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）对管理层使用持续经营假设的恰当性得出结论。同时，根据获取的审计证据，就可能导致对久其软件持续经营能力产</w:t>
      </w:r>
      <w:r>
        <w:rPr>
          <w:spacing w:val="-81"/>
        </w:rPr>
        <w:t> </w:t>
      </w:r>
      <w:r>
        <w:rPr>
          <w:spacing w:val="-81"/>
        </w:rPr>
      </w:r>
      <w:r>
        <w:rPr>
          <w:spacing w:val="-2"/>
        </w:rPr>
        <w:t>生重大疑虑的事项或情况是否存在重大不确定性得出结论。如果我们得出结论认为存在重大不确定性，审计准则要求我们在</w:t>
      </w:r>
      <w:r>
        <w:rPr>
          <w:spacing w:val="-64"/>
        </w:rPr>
        <w:t> </w:t>
      </w:r>
      <w:r>
        <w:rPr>
          <w:spacing w:val="-64"/>
        </w:rPr>
      </w:r>
      <w:r>
        <w:rPr>
          <w:spacing w:val="-2"/>
        </w:rPr>
        <w:t>审计报告中提请报表使用者注意财务报表中的相关披露；如果披露不充分，我们应当发表非无保留意见。我们的结论基于截</w:t>
      </w:r>
      <w:r>
        <w:rPr>
          <w:spacing w:val="-66"/>
        </w:rPr>
        <w:t> </w:t>
      </w:r>
      <w:r>
        <w:rPr>
          <w:spacing w:val="-66"/>
        </w:rPr>
      </w:r>
      <w:r>
        <w:rPr/>
        <w:t>至审计报告日可获得的信息。然而，未来的事项或情况可能导致久其软件不能持续经营。</w:t>
      </w:r>
    </w:p>
    <w:p>
      <w:pPr>
        <w:pStyle w:val="BodyText"/>
        <w:spacing w:line="240" w:lineRule="auto" w:before="22"/>
        <w:ind w:right="0"/>
        <w:jc w:val="left"/>
      </w:pPr>
      <w:r>
        <w:rPr/>
        <w:t>（</w:t>
      </w:r>
      <w:r>
        <w:rPr>
          <w:rFonts w:ascii="Times New Roman" w:hAnsi="Times New Roman" w:cs="Times New Roman" w:eastAsia="Times New Roman" w:hint="default"/>
        </w:rPr>
        <w:t>5</w:t>
      </w:r>
      <w:r>
        <w:rPr/>
        <w:t>）评价财务报表的总体列报、结构和内容（包括披露），并评价财务报表是否公允反映相关交易和事项。</w:t>
      </w:r>
    </w:p>
    <w:p>
      <w:pPr>
        <w:pStyle w:val="BodyText"/>
        <w:spacing w:line="314" w:lineRule="auto" w:before="63"/>
        <w:ind w:right="1122"/>
        <w:jc w:val="left"/>
      </w:pPr>
      <w:r>
        <w:rPr/>
        <w:t>（</w:t>
      </w:r>
      <w:r>
        <w:rPr>
          <w:rFonts w:ascii="Times New Roman" w:hAnsi="Times New Roman" w:cs="Times New Roman" w:eastAsia="Times New Roman" w:hint="default"/>
        </w:rPr>
        <w:t>6</w:t>
      </w:r>
      <w:r>
        <w:rPr/>
        <w:t>）就久其软件中实体或业务活动的财务信息获取充分、适当的审计证据，以对财务报表发表审计意见。我们负责指导、</w:t>
      </w:r>
      <w:r>
        <w:rPr>
          <w:spacing w:val="-81"/>
        </w:rPr>
        <w:t> </w:t>
      </w:r>
      <w:r>
        <w:rPr>
          <w:spacing w:val="-81"/>
        </w:rPr>
      </w:r>
      <w:r>
        <w:rPr/>
        <w:t>监督和执行集团审计，并对审计意见承担全部责任。 </w:t>
      </w:r>
      <w:r>
        <w:rPr>
          <w:spacing w:val="-2"/>
        </w:rPr>
        <w:t>我们与治理层就计划的审计范围、时间安排和重大审计发现等事项进行沟通，包括沟通我们在审计中识别出的值得关注的内</w:t>
      </w:r>
      <w:r>
        <w:rPr>
          <w:spacing w:val="-64"/>
        </w:rPr>
        <w:t> </w:t>
      </w:r>
      <w:r>
        <w:rPr>
          <w:spacing w:val="-64"/>
        </w:rPr>
      </w:r>
      <w:r>
        <w:rPr/>
        <w:t>部控制缺陷。 </w:t>
      </w:r>
      <w:r>
        <w:rPr>
          <w:spacing w:val="-2"/>
        </w:rPr>
        <w:t>我们还就已遵守与独立性相关的职业道德要求向治理层提供声明，并与治理层沟通可能被合理认为影响我们独立性的所有关</w:t>
      </w:r>
      <w:r>
        <w:rPr>
          <w:spacing w:val="-64"/>
        </w:rPr>
        <w:t> </w:t>
      </w:r>
      <w:r>
        <w:rPr>
          <w:spacing w:val="-64"/>
        </w:rPr>
      </w:r>
      <w:r>
        <w:rPr/>
        <w:t>系和其他事项，以及相关的防范措施（如适用）。 </w:t>
      </w:r>
      <w:r>
        <w:rPr>
          <w:spacing w:val="-2"/>
        </w:rPr>
        <w:t>从与治理层沟通过的事项中，我们确定哪些事项对本期财务报表审计最为重要，因而构成关键审计事项。我们在审计报告中</w:t>
      </w:r>
      <w:r>
        <w:rPr>
          <w:spacing w:val="-66"/>
        </w:rPr>
        <w:t> </w:t>
      </w:r>
      <w:r>
        <w:rPr>
          <w:spacing w:val="-66"/>
        </w:rPr>
      </w:r>
      <w:r>
        <w:rPr>
          <w:spacing w:val="-2"/>
        </w:rPr>
        <w:t>描述这些事项，除非法律法规禁止公开披露这些事项，或在极少数情形下，如果合理预期在审计报告中沟通某事项造成的负</w:t>
      </w:r>
    </w:p>
    <w:p>
      <w:pPr>
        <w:spacing w:after="0" w:line="314"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right="0"/>
        <w:jc w:val="left"/>
      </w:pPr>
      <w:r>
        <w:rPr/>
        <w:t>面后果超过在公众利益方面产生的益处，我们确定不应在审计报告中沟通该事项。</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二、财务报表" w:id="171"/>
      <w:bookmarkEnd w:id="171"/>
      <w:r>
        <w:rPr>
          <w:b w:val="0"/>
          <w:bCs w:val="0"/>
        </w:rPr>
      </w:r>
      <w:r>
        <w:rPr/>
        <w:t>二、财务报表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7" w:footer="979" w:top="1100" w:bottom="1160" w:left="980" w:right="0"/>
        </w:sectPr>
      </w:pPr>
    </w:p>
    <w:p>
      <w:pPr>
        <w:pStyle w:val="Heading3"/>
        <w:spacing w:line="240" w:lineRule="auto" w:before="35"/>
        <w:ind w:right="0"/>
        <w:jc w:val="left"/>
        <w:rPr>
          <w:b w:val="0"/>
          <w:bCs w:val="0"/>
        </w:rPr>
      </w:pPr>
      <w:bookmarkStart w:name="1、合并资产负债表" w:id="172"/>
      <w:bookmarkEnd w:id="172"/>
      <w:r>
        <w:rPr>
          <w:b w:val="0"/>
          <w:bCs w:val="0"/>
        </w:rPr>
      </w:r>
      <w:r>
        <w:rPr>
          <w:rFonts w:ascii="Times New Roman" w:hAnsi="Times New Roman" w:cs="Times New Roman" w:eastAsia="Times New Roman" w:hint="default"/>
          <w:w w:val="95"/>
        </w:rPr>
        <w:t>1</w:t>
      </w:r>
      <w:r>
        <w:rPr>
          <w:w w:val="95"/>
        </w:rPr>
        <w:t>、合并资产负债表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pStyle w:val="BodyText"/>
        <w:spacing w:line="240" w:lineRule="auto"/>
        <w:ind w:left="153" w:right="0"/>
        <w:jc w:val="left"/>
      </w:pPr>
      <w:r>
        <w:rPr/>
        <w:t>单位：元</w:t>
      </w:r>
    </w:p>
    <w:p>
      <w:pPr>
        <w:spacing w:after="0" w:line="240" w:lineRule="auto"/>
        <w:jc w:val="left"/>
        <w:sectPr>
          <w:type w:val="continuous"/>
          <w:pgSz w:w="11910" w:h="16840"/>
          <w:pgMar w:top="1060" w:bottom="700" w:left="980" w:right="0"/>
          <w:cols w:num="2" w:equalWidth="0">
            <w:col w:w="1945" w:space="6974"/>
            <w:col w:w="2011"/>
          </w:cols>
        </w:sectPr>
      </w:pP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5652"/>
        <w:gridCol w:w="2589"/>
        <w:gridCol w:w="1442"/>
      </w:tblGrid>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6"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793,917,307.25</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932,948,125.31</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589" w:type="dxa"/>
            <w:tcBorders>
              <w:top w:val="single" w:sz="4" w:space="0" w:color="000000"/>
              <w:left w:val="single" w:sz="13" w:space="0" w:color="D2D2D2"/>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589" w:type="dxa"/>
            <w:tcBorders>
              <w:top w:val="single" w:sz="4" w:space="0" w:color="000000"/>
              <w:left w:val="single" w:sz="13" w:space="0" w:color="D2D2D2"/>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589" w:type="dxa"/>
            <w:tcBorders>
              <w:top w:val="single" w:sz="4" w:space="0" w:color="000000"/>
              <w:left w:val="single" w:sz="13" w:space="0" w:color="D2D2D2"/>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589" w:type="dxa"/>
            <w:tcBorders>
              <w:top w:val="single" w:sz="4" w:space="0" w:color="000000"/>
              <w:left w:val="single" w:sz="13" w:space="0" w:color="D2D2D2"/>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5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529,518,836.46</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488,366,872.31</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25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11,928,010.71</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517,590,825.75</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488,216,872.31</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70,883,629.59</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44,464,060.78</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应收保理款</w:t>
            </w:r>
          </w:p>
        </w:tc>
        <w:tc>
          <w:tcPr>
            <w:tcW w:w="2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130,125,330.00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253,120,711.94</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5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5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589" w:type="dxa"/>
            <w:tcBorders>
              <w:top w:val="single" w:sz="4" w:space="0" w:color="000000"/>
              <w:left w:val="single" w:sz="13" w:space="0" w:color="D2D2D2"/>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79,152,699.71</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93,455,377.06</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5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2,634,529.98</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1,075,506.77</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89" w:type="dxa"/>
            <w:tcBorders>
              <w:top w:val="single" w:sz="4" w:space="0" w:color="000000"/>
              <w:left w:val="single" w:sz="13" w:space="0" w:color="D2D2D2"/>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589" w:type="dxa"/>
            <w:tcBorders>
              <w:top w:val="single" w:sz="4" w:space="0" w:color="000000"/>
              <w:left w:val="single" w:sz="13" w:space="0" w:color="D2D2D2"/>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23,991,294.24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56,658,351.64</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589" w:type="dxa"/>
            <w:tcBorders>
              <w:top w:val="single" w:sz="4" w:space="0" w:color="000000"/>
              <w:left w:val="single" w:sz="13" w:space="0" w:color="D2D2D2"/>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89" w:type="dxa"/>
            <w:tcBorders>
              <w:top w:val="single" w:sz="4" w:space="0" w:color="000000"/>
              <w:left w:val="single" w:sz="13" w:space="0" w:color="D2D2D2"/>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446,058,173.02</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573,532,599.01</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2,073,647,270.27</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2,442,546,098.05</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589" w:type="dxa"/>
            <w:tcBorders>
              <w:top w:val="single" w:sz="4" w:space="0" w:color="000000"/>
              <w:left w:val="single" w:sz="13" w:space="0" w:color="D2D2D2"/>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6,998,002.94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6,998,002.94</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589" w:type="dxa"/>
            <w:tcBorders>
              <w:top w:val="single" w:sz="4" w:space="0" w:color="000000"/>
              <w:left w:val="single" w:sz="13" w:space="0" w:color="D2D2D2"/>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70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5652"/>
        <w:gridCol w:w="2589"/>
        <w:gridCol w:w="1442"/>
      </w:tblGrid>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6"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89" w:type="dxa"/>
            <w:tcBorders>
              <w:top w:val="single" w:sz="4" w:space="0" w:color="000000"/>
              <w:left w:val="single" w:sz="13" w:space="0" w:color="D2D2D2"/>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129,886,501.93</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133,658,047.63</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28,522,376.28</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29,455,657.20</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226,609,647.58</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234,522,059.54</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81,224,640.18</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50,514,159.99</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589" w:type="dxa"/>
            <w:tcBorders>
              <w:top w:val="single" w:sz="4" w:space="0" w:color="000000"/>
              <w:left w:val="single" w:sz="13" w:space="0" w:color="D2D2D2"/>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589" w:type="dxa"/>
            <w:tcBorders>
              <w:top w:val="single" w:sz="4" w:space="0" w:color="000000"/>
              <w:left w:val="single" w:sz="13" w:space="0" w:color="D2D2D2"/>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99,460,970.67</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122,775,051.70</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16,026,424.23</w:t>
            </w: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601,235,608.10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1,678,630,539.32</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3,564,349.43</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5,022,652.76</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9,882,375.71</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3,630,517.14</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89" w:type="dxa"/>
            <w:tcBorders>
              <w:top w:val="single" w:sz="4" w:space="0" w:color="000000"/>
              <w:left w:val="single" w:sz="13" w:space="0" w:color="D2D2D2"/>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5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1,203,410,897.05</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2,265,206,688.22</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5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3,277,058,167.32</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4,707,752,786.27</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134,820,300.00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185,825,300.00</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589" w:type="dxa"/>
            <w:tcBorders>
              <w:top w:val="single" w:sz="4" w:space="0" w:color="000000"/>
              <w:left w:val="single" w:sz="13" w:space="0" w:color="D2D2D2"/>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589" w:type="dxa"/>
            <w:tcBorders>
              <w:top w:val="single" w:sz="4" w:space="0" w:color="000000"/>
              <w:left w:val="single" w:sz="13" w:space="0" w:color="D2D2D2"/>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589" w:type="dxa"/>
            <w:tcBorders>
              <w:top w:val="single" w:sz="4" w:space="0" w:color="000000"/>
              <w:left w:val="single" w:sz="13" w:space="0" w:color="D2D2D2"/>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589" w:type="dxa"/>
            <w:tcBorders>
              <w:top w:val="single" w:sz="4" w:space="0" w:color="000000"/>
              <w:left w:val="single" w:sz="13" w:space="0" w:color="D2D2D2"/>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589" w:type="dxa"/>
            <w:tcBorders>
              <w:top w:val="single" w:sz="4" w:space="0" w:color="000000"/>
              <w:left w:val="single" w:sz="13" w:space="0" w:color="D2D2D2"/>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5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183,810,965.70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220,967,020.59</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68,584,431.39</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112,939,472.36</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589" w:type="dxa"/>
            <w:tcBorders>
              <w:top w:val="single" w:sz="4" w:space="0" w:color="000000"/>
              <w:left w:val="single" w:sz="13" w:space="0" w:color="D2D2D2"/>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589" w:type="dxa"/>
            <w:tcBorders>
              <w:top w:val="single" w:sz="4" w:space="0" w:color="000000"/>
              <w:left w:val="single" w:sz="13" w:space="0" w:color="D2D2D2"/>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125,362,030.41</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100,783,449.01</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49,807,214.11</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45,379,181.33</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626,829,746.13</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632,796,325.17</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5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2,457,701.65</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1,488,394.40</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89" w:type="dxa"/>
            <w:tcBorders>
              <w:top w:val="single" w:sz="4" w:space="0" w:color="000000"/>
              <w:left w:val="single" w:sz="13" w:space="0" w:color="D2D2D2"/>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589" w:type="dxa"/>
            <w:tcBorders>
              <w:top w:val="single" w:sz="4" w:space="0" w:color="000000"/>
              <w:left w:val="single" w:sz="13" w:space="0" w:color="D2D2D2"/>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589" w:type="dxa"/>
            <w:tcBorders>
              <w:top w:val="single" w:sz="4" w:space="0" w:color="000000"/>
              <w:left w:val="single" w:sz="13" w:space="0" w:color="D2D2D2"/>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5647"/>
        <w:gridCol w:w="2594"/>
        <w:gridCol w:w="1442"/>
      </w:tblGrid>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6"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594" w:type="dxa"/>
            <w:tcBorders>
              <w:top w:val="single" w:sz="4" w:space="0" w:color="000000"/>
              <w:left w:val="single" w:sz="13" w:space="0" w:color="D2D2D2"/>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594" w:type="dxa"/>
            <w:tcBorders>
              <w:top w:val="single" w:sz="4" w:space="0" w:color="000000"/>
              <w:left w:val="single" w:sz="13" w:space="0" w:color="D2D2D2"/>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594" w:type="dxa"/>
            <w:tcBorders>
              <w:top w:val="single" w:sz="4" w:space="0" w:color="000000"/>
              <w:left w:val="single" w:sz="13" w:space="0" w:color="D2D2D2"/>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594" w:type="dxa"/>
            <w:tcBorders>
              <w:top w:val="single" w:sz="4" w:space="0" w:color="000000"/>
              <w:left w:val="single" w:sz="13" w:space="0" w:color="D2D2D2"/>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594" w:type="dxa"/>
            <w:tcBorders>
              <w:top w:val="single" w:sz="4" w:space="0" w:color="000000"/>
              <w:left w:val="single" w:sz="13" w:space="0" w:color="D2D2D2"/>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1,189,214,687.74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1,298,690,748.46</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252,000,000.00</w:t>
            </w: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659,725,709.42</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628,609,066.64</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94" w:type="dxa"/>
            <w:tcBorders>
              <w:top w:val="single" w:sz="4" w:space="0" w:color="000000"/>
              <w:left w:val="single" w:sz="13" w:space="0" w:color="D2D2D2"/>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94" w:type="dxa"/>
            <w:tcBorders>
              <w:top w:val="single" w:sz="4" w:space="0" w:color="000000"/>
              <w:left w:val="single" w:sz="13" w:space="0" w:color="D2D2D2"/>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594" w:type="dxa"/>
            <w:tcBorders>
              <w:top w:val="single" w:sz="4" w:space="0" w:color="000000"/>
              <w:left w:val="single" w:sz="13" w:space="0" w:color="D2D2D2"/>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594" w:type="dxa"/>
            <w:tcBorders>
              <w:top w:val="single" w:sz="4" w:space="0" w:color="000000"/>
              <w:left w:val="single" w:sz="13" w:space="0" w:color="D2D2D2"/>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594" w:type="dxa"/>
            <w:tcBorders>
              <w:top w:val="single" w:sz="4" w:space="0" w:color="000000"/>
              <w:left w:val="single" w:sz="13" w:space="0" w:color="D2D2D2"/>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9,548,582.02</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13,861,358.79</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594" w:type="dxa"/>
            <w:tcBorders>
              <w:top w:val="single" w:sz="4" w:space="0" w:color="000000"/>
              <w:left w:val="single" w:sz="13" w:space="0" w:color="D2D2D2"/>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2,730,030.00</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594" w:type="dxa"/>
            <w:tcBorders>
              <w:top w:val="single" w:sz="4" w:space="0" w:color="000000"/>
              <w:left w:val="single" w:sz="13" w:space="0" w:color="D2D2D2"/>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921,274,291.44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645,200,455.43</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2,110,488,979.18</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1,943,891,203.89</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711,226,578.00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710,727,417.00</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154,587,824.25</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154,607,862.97</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94" w:type="dxa"/>
            <w:tcBorders>
              <w:top w:val="single" w:sz="4" w:space="0" w:color="000000"/>
              <w:left w:val="single" w:sz="13" w:space="0" w:color="D2D2D2"/>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94" w:type="dxa"/>
            <w:tcBorders>
              <w:top w:val="single" w:sz="4" w:space="0" w:color="000000"/>
              <w:left w:val="single" w:sz="13" w:space="0" w:color="D2D2D2"/>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258,987,182.74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891,956,409.25</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29,874,024.00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43,131,880.00</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791,865.03</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-989,779.34</w:t>
            </w:r>
            <w:r>
              <w:rPr>
                <w:rFonts w:ascii="Times New Roman"/>
                <w:sz w:val="18"/>
              </w:rPr>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594" w:type="dxa"/>
            <w:tcBorders>
              <w:top w:val="single" w:sz="4" w:space="0" w:color="000000"/>
              <w:left w:val="single" w:sz="13" w:space="0" w:color="D2D2D2"/>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72,495,704.44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72,495,704.44</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594" w:type="dxa"/>
            <w:tcBorders>
              <w:top w:val="single" w:sz="4" w:space="0" w:color="000000"/>
              <w:left w:val="single" w:sz="13" w:space="0" w:color="D2D2D2"/>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-34,386,587.17</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828,390,827.75</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1,133,828,543.29</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2,614,056,562.07</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32,740,644.85</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149,805,020.31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5652"/>
        <w:gridCol w:w="2589"/>
        <w:gridCol w:w="1442"/>
      </w:tblGrid>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5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1,166,569,188.14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center"/>
              <w:rPr>
                <w:rFonts w:ascii="Times New Roman" w:hAnsi="Times New Roman" w:cs="Times New Roman" w:eastAsia="Times New Roman" w:hint="default"/>
                <w:sz w:val="18"/>
                <w:szCs w:val="18"/>
              </w:rPr>
            </w:pPr>
            <w:r>
              <w:rPr>
                <w:rFonts w:ascii="Times New Roman"/>
                <w:sz w:val="18"/>
              </w:rPr>
              <w:t>2,763,861,582.38</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5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3,277,058,167.32</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center"/>
              <w:rPr>
                <w:rFonts w:ascii="Times New Roman" w:hAnsi="Times New Roman" w:cs="Times New Roman" w:eastAsia="Times New Roman" w:hint="default"/>
                <w:sz w:val="18"/>
                <w:szCs w:val="18"/>
              </w:rPr>
            </w:pPr>
            <w:r>
              <w:rPr>
                <w:rFonts w:ascii="Times New Roman"/>
                <w:sz w:val="18"/>
              </w:rPr>
              <w:t>4,707,752,786.27</w:t>
            </w:r>
          </w:p>
        </w:tc>
      </w:tr>
    </w:tbl>
    <w:p>
      <w:pPr>
        <w:spacing w:line="240" w:lineRule="auto" w:before="9"/>
        <w:rPr>
          <w:rFonts w:ascii="Times New Roman" w:hAnsi="Times New Roman" w:cs="Times New Roman" w:eastAsia="Times New Roman" w:hint="default"/>
          <w:sz w:val="21"/>
          <w:szCs w:val="21"/>
        </w:rPr>
      </w:pPr>
    </w:p>
    <w:p>
      <w:pPr>
        <w:spacing w:after="0" w:line="240" w:lineRule="auto"/>
        <w:rPr>
          <w:rFonts w:ascii="Times New Roman" w:hAnsi="Times New Roman" w:cs="Times New Roman" w:eastAsia="Times New Roman" w:hint="default"/>
          <w:sz w:val="21"/>
          <w:szCs w:val="21"/>
        </w:rPr>
        <w:sectPr>
          <w:pgSz w:w="11910" w:h="16840"/>
          <w:pgMar w:header="877" w:footer="979" w:top="1100" w:bottom="1160" w:left="980" w:right="0"/>
        </w:sectPr>
      </w:pPr>
    </w:p>
    <w:p>
      <w:pPr>
        <w:pStyle w:val="Heading3"/>
        <w:spacing w:line="240" w:lineRule="auto" w:before="35"/>
        <w:ind w:right="0"/>
        <w:jc w:val="left"/>
        <w:rPr>
          <w:b w:val="0"/>
          <w:bCs w:val="0"/>
        </w:rPr>
      </w:pPr>
      <w:bookmarkStart w:name="2、母公司资产负债表" w:id="173"/>
      <w:bookmarkEnd w:id="173"/>
      <w:r>
        <w:rPr>
          <w:b w:val="0"/>
          <w:bCs w:val="0"/>
        </w:rPr>
      </w:r>
      <w:r>
        <w:rPr>
          <w:rFonts w:ascii="Times New Roman" w:hAnsi="Times New Roman" w:cs="Times New Roman" w:eastAsia="Times New Roman" w:hint="default"/>
          <w:w w:val="95"/>
        </w:rPr>
        <w:t>2</w:t>
      </w:r>
      <w:r>
        <w:rPr>
          <w:w w:val="95"/>
        </w:rPr>
        <w:t>、母公司资产负债表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pStyle w:val="BodyText"/>
        <w:spacing w:line="240" w:lineRule="auto"/>
        <w:ind w:left="153" w:right="0"/>
        <w:jc w:val="left"/>
      </w:pPr>
      <w:r>
        <w:rPr/>
        <w:t>单位：元</w:t>
      </w:r>
    </w:p>
    <w:p>
      <w:pPr>
        <w:spacing w:after="0" w:line="240" w:lineRule="auto"/>
        <w:jc w:val="left"/>
        <w:sectPr>
          <w:type w:val="continuous"/>
          <w:pgSz w:w="11910" w:h="16840"/>
          <w:pgMar w:top="1060" w:bottom="700" w:left="980" w:right="0"/>
          <w:cols w:num="2" w:equalWidth="0">
            <w:col w:w="2156" w:space="6763"/>
            <w:col w:w="2011"/>
          </w:cols>
        </w:sectPr>
      </w:pP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6025"/>
        <w:gridCol w:w="1838"/>
        <w:gridCol w:w="1820"/>
      </w:tblGrid>
      <w:tr>
        <w:trPr>
          <w:trHeight w:val="402" w:hRule="exact"/>
        </w:trPr>
        <w:tc>
          <w:tcPr>
            <w:tcW w:w="6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6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153,919,297.28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215,982,082.59</w:t>
            </w:r>
          </w:p>
        </w:tc>
      </w:tr>
      <w:tr>
        <w:trPr>
          <w:trHeight w:val="402" w:hRule="exact"/>
        </w:trPr>
        <w:tc>
          <w:tcPr>
            <w:tcW w:w="6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838" w:type="dxa"/>
            <w:tcBorders>
              <w:top w:val="single" w:sz="4" w:space="0" w:color="000000"/>
              <w:left w:val="single" w:sz="13" w:space="0" w:color="D2D2D2"/>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838" w:type="dxa"/>
            <w:tcBorders>
              <w:top w:val="single" w:sz="4" w:space="0" w:color="000000"/>
              <w:left w:val="single" w:sz="13" w:space="0" w:color="D2D2D2"/>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113,515,515.57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111,270,185.87</w:t>
            </w:r>
          </w:p>
        </w:tc>
      </w:tr>
      <w:tr>
        <w:trPr>
          <w:trHeight w:val="402" w:hRule="exact"/>
        </w:trPr>
        <w:tc>
          <w:tcPr>
            <w:tcW w:w="6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1838" w:type="dxa"/>
            <w:tcBorders>
              <w:top w:val="single" w:sz="4" w:space="0" w:color="000000"/>
              <w:left w:val="single" w:sz="13" w:space="0" w:color="D2D2D2"/>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113,515,515.57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111,270,185.87</w:t>
            </w:r>
          </w:p>
        </w:tc>
      </w:tr>
      <w:tr>
        <w:trPr>
          <w:trHeight w:val="402" w:hRule="exact"/>
        </w:trPr>
        <w:tc>
          <w:tcPr>
            <w:tcW w:w="6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8,283,449.69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10,813,045.49</w:t>
            </w:r>
          </w:p>
        </w:tc>
      </w:tr>
      <w:tr>
        <w:trPr>
          <w:trHeight w:val="402" w:hRule="exact"/>
        </w:trPr>
        <w:tc>
          <w:tcPr>
            <w:tcW w:w="6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136,147,378.92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59,662,533.23</w:t>
            </w:r>
          </w:p>
        </w:tc>
      </w:tr>
      <w:tr>
        <w:trPr>
          <w:trHeight w:val="402" w:hRule="exact"/>
        </w:trPr>
        <w:tc>
          <w:tcPr>
            <w:tcW w:w="6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1838" w:type="dxa"/>
            <w:tcBorders>
              <w:top w:val="single" w:sz="4" w:space="0" w:color="000000"/>
              <w:left w:val="single" w:sz="13" w:space="0" w:color="D2D2D2"/>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38" w:type="dxa"/>
            <w:tcBorders>
              <w:top w:val="single" w:sz="4" w:space="0" w:color="000000"/>
              <w:left w:val="single" w:sz="13" w:space="0" w:color="D2D2D2"/>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1,278,332.73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1,921,889.20</w:t>
            </w:r>
          </w:p>
        </w:tc>
      </w:tr>
      <w:tr>
        <w:trPr>
          <w:trHeight w:val="402" w:hRule="exact"/>
        </w:trPr>
        <w:tc>
          <w:tcPr>
            <w:tcW w:w="6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838" w:type="dxa"/>
            <w:tcBorders>
              <w:top w:val="single" w:sz="4" w:space="0" w:color="000000"/>
              <w:left w:val="single" w:sz="13" w:space="0" w:color="D2D2D2"/>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838" w:type="dxa"/>
            <w:tcBorders>
              <w:top w:val="single" w:sz="4" w:space="0" w:color="000000"/>
              <w:left w:val="single" w:sz="13" w:space="0" w:color="D2D2D2"/>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124,002,725.75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350,000,000.00</w:t>
            </w:r>
          </w:p>
        </w:tc>
      </w:tr>
      <w:tr>
        <w:trPr>
          <w:trHeight w:val="402" w:hRule="exact"/>
        </w:trPr>
        <w:tc>
          <w:tcPr>
            <w:tcW w:w="6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537,146,699.94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749,649,736.38</w:t>
            </w:r>
          </w:p>
        </w:tc>
      </w:tr>
      <w:tr>
        <w:trPr>
          <w:trHeight w:val="402" w:hRule="exact"/>
        </w:trPr>
        <w:tc>
          <w:tcPr>
            <w:tcW w:w="6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4,998,002.94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4,998,002.94</w:t>
            </w:r>
          </w:p>
        </w:tc>
      </w:tr>
      <w:tr>
        <w:trPr>
          <w:trHeight w:val="402" w:hRule="exact"/>
        </w:trPr>
        <w:tc>
          <w:tcPr>
            <w:tcW w:w="6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838" w:type="dxa"/>
            <w:tcBorders>
              <w:top w:val="single" w:sz="4" w:space="0" w:color="000000"/>
              <w:left w:val="single" w:sz="13" w:space="0" w:color="D2D2D2"/>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38" w:type="dxa"/>
            <w:tcBorders>
              <w:top w:val="single" w:sz="4" w:space="0" w:color="000000"/>
              <w:left w:val="single" w:sz="13" w:space="0" w:color="D2D2D2"/>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2,290,316,453.59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2,799,343,722.21</w:t>
            </w:r>
          </w:p>
        </w:tc>
      </w:tr>
      <w:tr>
        <w:trPr>
          <w:trHeight w:val="402" w:hRule="exact"/>
        </w:trPr>
        <w:tc>
          <w:tcPr>
            <w:tcW w:w="6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38" w:type="dxa"/>
            <w:tcBorders>
              <w:top w:val="single" w:sz="4" w:space="0" w:color="000000"/>
              <w:left w:val="single" w:sz="13" w:space="0" w:color="D2D2D2"/>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127,752,484.75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130,028,206.87</w:t>
            </w:r>
          </w:p>
        </w:tc>
      </w:tr>
      <w:tr>
        <w:trPr>
          <w:trHeight w:val="402" w:hRule="exact"/>
        </w:trPr>
        <w:tc>
          <w:tcPr>
            <w:tcW w:w="6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38" w:type="dxa"/>
            <w:tcBorders>
              <w:top w:val="single" w:sz="4" w:space="0" w:color="000000"/>
              <w:left w:val="single" w:sz="13" w:space="0" w:color="D2D2D2"/>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838" w:type="dxa"/>
            <w:tcBorders>
              <w:top w:val="single" w:sz="4" w:space="0" w:color="000000"/>
              <w:left w:val="single" w:sz="13" w:space="0" w:color="D2D2D2"/>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38" w:type="dxa"/>
            <w:tcBorders>
              <w:top w:val="single" w:sz="4" w:space="0" w:color="000000"/>
              <w:left w:val="single" w:sz="13" w:space="0" w:color="D2D2D2"/>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65,827,225.40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74,858,361.14</w:t>
            </w:r>
          </w:p>
        </w:tc>
      </w:tr>
      <w:tr>
        <w:trPr>
          <w:trHeight w:val="402" w:hRule="exact"/>
        </w:trPr>
        <w:tc>
          <w:tcPr>
            <w:tcW w:w="6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16,026,424.23</w:t>
            </w:r>
          </w:p>
        </w:tc>
        <w:tc>
          <w:tcPr>
            <w:tcW w:w="182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70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6030"/>
        <w:gridCol w:w="1833"/>
        <w:gridCol w:w="1820"/>
      </w:tblGrid>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33" w:type="dxa"/>
            <w:tcBorders>
              <w:top w:val="single" w:sz="4" w:space="0" w:color="000000"/>
              <w:left w:val="single" w:sz="13" w:space="0" w:color="D2D2D2"/>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3,296,171.82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3,643,137.30</w:t>
            </w: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1,785,725.03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2,286,000.33</w:t>
            </w: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33" w:type="dxa"/>
            <w:tcBorders>
              <w:top w:val="single" w:sz="4" w:space="0" w:color="000000"/>
              <w:left w:val="single" w:sz="13" w:space="0" w:color="D2D2D2"/>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2,510,002,487.76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3,015,157,430.79</w:t>
            </w: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3,047,149,187.70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3,764,807,167.17</w:t>
            </w: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114,820,300.00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85,825,300.00</w:t>
            </w: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833" w:type="dxa"/>
            <w:tcBorders>
              <w:top w:val="single" w:sz="4" w:space="0" w:color="000000"/>
              <w:left w:val="single" w:sz="13" w:space="0" w:color="D2D2D2"/>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33" w:type="dxa"/>
            <w:tcBorders>
              <w:top w:val="single" w:sz="4" w:space="0" w:color="000000"/>
              <w:left w:val="single" w:sz="13" w:space="0" w:color="D2D2D2"/>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8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25,409,440.45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5,967,666.13</w:t>
            </w: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14,604,954.61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7,083,131.40</w:t>
            </w: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75,105,900.27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56,285,934.33</w:t>
            </w: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10,520,160.79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16,332,943.68</w:t>
            </w: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760,786,828.79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756,439,181.34</w:t>
            </w: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18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2,457,701.65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1,488,394.40</w:t>
            </w: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33" w:type="dxa"/>
            <w:tcBorders>
              <w:top w:val="single" w:sz="4" w:space="0" w:color="000000"/>
              <w:left w:val="single" w:sz="13" w:space="0" w:color="D2D2D2"/>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1833" w:type="dxa"/>
            <w:tcBorders>
              <w:top w:val="single" w:sz="4" w:space="0" w:color="000000"/>
              <w:left w:val="single" w:sz="13" w:space="0" w:color="D2D2D2"/>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33" w:type="dxa"/>
            <w:tcBorders>
              <w:top w:val="single" w:sz="4" w:space="0" w:color="000000"/>
              <w:left w:val="single" w:sz="13" w:space="0" w:color="D2D2D2"/>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33" w:type="dxa"/>
            <w:tcBorders>
              <w:top w:val="single" w:sz="4" w:space="0" w:color="000000"/>
              <w:left w:val="single" w:sz="13" w:space="0" w:color="D2D2D2"/>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1,001,247,584.91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927,934,156.88</w:t>
            </w: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252,000,000.00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659,725,709.42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628,609,066.64</w:t>
            </w: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833" w:type="dxa"/>
            <w:tcBorders>
              <w:top w:val="single" w:sz="4" w:space="0" w:color="000000"/>
              <w:left w:val="single" w:sz="13" w:space="0" w:color="D2D2D2"/>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833" w:type="dxa"/>
            <w:tcBorders>
              <w:top w:val="single" w:sz="4" w:space="0" w:color="000000"/>
              <w:left w:val="single" w:sz="13" w:space="0" w:color="D2D2D2"/>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33" w:type="dxa"/>
            <w:tcBorders>
              <w:top w:val="single" w:sz="4" w:space="0" w:color="000000"/>
              <w:left w:val="single" w:sz="13" w:space="0" w:color="D2D2D2"/>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833" w:type="dxa"/>
            <w:tcBorders>
              <w:top w:val="single" w:sz="4" w:space="0" w:color="000000"/>
              <w:left w:val="single" w:sz="13" w:space="0" w:color="D2D2D2"/>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33" w:type="dxa"/>
            <w:tcBorders>
              <w:top w:val="single" w:sz="4" w:space="0" w:color="000000"/>
              <w:left w:val="single" w:sz="13" w:space="0" w:color="D2D2D2"/>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8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9,548,582.02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13,741,137.46</w:t>
            </w: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33" w:type="dxa"/>
            <w:tcBorders>
              <w:top w:val="single" w:sz="4" w:space="0" w:color="000000"/>
              <w:left w:val="single" w:sz="13" w:space="0" w:color="D2D2D2"/>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33" w:type="dxa"/>
            <w:tcBorders>
              <w:top w:val="single" w:sz="4" w:space="0" w:color="000000"/>
              <w:left w:val="single" w:sz="13" w:space="0" w:color="D2D2D2"/>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921,274,291.44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642,350,204.10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6030"/>
        <w:gridCol w:w="1833"/>
        <w:gridCol w:w="1820"/>
      </w:tblGrid>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1,922,521,876.35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1,570,284,360.98</w:t>
            </w: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711,226,578.00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710,727,417.00</w:t>
            </w: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8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154,587,824.25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154,607,862.97</w:t>
            </w: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833" w:type="dxa"/>
            <w:tcBorders>
              <w:top w:val="single" w:sz="4" w:space="0" w:color="000000"/>
              <w:left w:val="single" w:sz="13" w:space="0" w:color="D2D2D2"/>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833" w:type="dxa"/>
            <w:tcBorders>
              <w:top w:val="single" w:sz="4" w:space="0" w:color="000000"/>
              <w:left w:val="single" w:sz="13" w:space="0" w:color="D2D2D2"/>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922,044,987.85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894,008,375.35</w:t>
            </w: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29,874,024.00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43,131,880.00</w:t>
            </w: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33" w:type="dxa"/>
            <w:tcBorders>
              <w:top w:val="single" w:sz="4" w:space="0" w:color="000000"/>
              <w:left w:val="single" w:sz="13" w:space="0" w:color="D2D2D2"/>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833" w:type="dxa"/>
            <w:tcBorders>
              <w:top w:val="single" w:sz="4" w:space="0" w:color="000000"/>
              <w:left w:val="single" w:sz="13" w:space="0" w:color="D2D2D2"/>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72,495,704.44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72,495,704.44</w:t>
            </w: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-705,853,759.19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405,815,326.43</w:t>
            </w: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1,124,627,311.35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2,194,522,806.19</w:t>
            </w:r>
          </w:p>
        </w:tc>
      </w:tr>
      <w:tr>
        <w:trPr>
          <w:trHeight w:val="402" w:hRule="exact"/>
        </w:trPr>
        <w:tc>
          <w:tcPr>
            <w:tcW w:w="6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3,047,149,187.70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3,764,807,167.17</w:t>
            </w:r>
          </w:p>
        </w:tc>
      </w:tr>
    </w:tbl>
    <w:p>
      <w:pPr>
        <w:spacing w:line="240" w:lineRule="auto" w:before="8"/>
        <w:rPr>
          <w:rFonts w:ascii="Times New Roman" w:hAnsi="Times New Roman" w:cs="Times New Roman" w:eastAsia="Times New Roman" w:hint="default"/>
          <w:sz w:val="21"/>
          <w:szCs w:val="21"/>
        </w:rPr>
      </w:pPr>
    </w:p>
    <w:p>
      <w:pPr>
        <w:spacing w:after="0" w:line="240" w:lineRule="auto"/>
        <w:rPr>
          <w:rFonts w:ascii="Times New Roman" w:hAnsi="Times New Roman" w:cs="Times New Roman" w:eastAsia="Times New Roman" w:hint="default"/>
          <w:sz w:val="21"/>
          <w:szCs w:val="21"/>
        </w:rPr>
        <w:sectPr>
          <w:pgSz w:w="11910" w:h="16840"/>
          <w:pgMar w:header="877" w:footer="979" w:top="1100" w:bottom="1160" w:left="980" w:right="0"/>
        </w:sectPr>
      </w:pPr>
    </w:p>
    <w:p>
      <w:pPr>
        <w:pStyle w:val="Heading3"/>
        <w:spacing w:line="240" w:lineRule="auto" w:before="35"/>
        <w:ind w:right="0"/>
        <w:jc w:val="left"/>
        <w:rPr>
          <w:b w:val="0"/>
          <w:bCs w:val="0"/>
        </w:rPr>
      </w:pPr>
      <w:bookmarkStart w:name="3、合并利润表" w:id="174"/>
      <w:bookmarkEnd w:id="174"/>
      <w:r>
        <w:rPr>
          <w:b w:val="0"/>
          <w:bCs w:val="0"/>
        </w:rPr>
      </w:r>
      <w:r>
        <w:rPr>
          <w:rFonts w:ascii="Times New Roman" w:hAnsi="Times New Roman" w:cs="Times New Roman" w:eastAsia="Times New Roman" w:hint="default"/>
          <w:w w:val="95"/>
        </w:rPr>
        <w:t>3</w:t>
      </w:r>
      <w:r>
        <w:rPr>
          <w:w w:val="95"/>
        </w:rPr>
        <w:t>、合并利润表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pStyle w:val="BodyText"/>
        <w:spacing w:line="240" w:lineRule="auto"/>
        <w:ind w:left="153" w:right="0"/>
        <w:jc w:val="left"/>
      </w:pPr>
      <w:r>
        <w:rPr/>
        <w:t>单位：元</w:t>
      </w:r>
    </w:p>
    <w:p>
      <w:pPr>
        <w:spacing w:after="0" w:line="240" w:lineRule="auto"/>
        <w:jc w:val="left"/>
        <w:sectPr>
          <w:type w:val="continuous"/>
          <w:pgSz w:w="11910" w:h="16840"/>
          <w:pgMar w:top="1060" w:bottom="700" w:left="980" w:right="0"/>
          <w:cols w:num="2" w:equalWidth="0">
            <w:col w:w="1523" w:space="7396"/>
            <w:col w:w="2011"/>
          </w:cols>
        </w:sectPr>
      </w:pP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5196"/>
        <w:gridCol w:w="2589"/>
        <w:gridCol w:w="1898"/>
      </w:tblGrid>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5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2,720,235,569.39</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1,992,176,981.00</w:t>
            </w: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5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2,720,235,569.39</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1,992,176,981.00</w:t>
            </w: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589" w:type="dxa"/>
            <w:tcBorders>
              <w:top w:val="single" w:sz="4" w:space="0" w:color="000000"/>
              <w:left w:val="single" w:sz="10" w:space="0" w:color="D2D2D2"/>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589" w:type="dxa"/>
            <w:tcBorders>
              <w:top w:val="single" w:sz="4" w:space="0" w:color="000000"/>
              <w:left w:val="single" w:sz="10" w:space="0" w:color="D2D2D2"/>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589" w:type="dxa"/>
            <w:tcBorders>
              <w:top w:val="single" w:sz="4" w:space="0" w:color="000000"/>
              <w:left w:val="single" w:sz="10" w:space="0" w:color="D2D2D2"/>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5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3,581,300,340.14</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1,689,063,849.80</w:t>
            </w: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5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1,560,423,380.98</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1,006,756,375.92</w:t>
            </w: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589" w:type="dxa"/>
            <w:tcBorders>
              <w:top w:val="single" w:sz="4" w:space="0" w:color="000000"/>
              <w:left w:val="single" w:sz="10" w:space="0" w:color="D2D2D2"/>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589" w:type="dxa"/>
            <w:tcBorders>
              <w:top w:val="single" w:sz="4" w:space="0" w:color="000000"/>
              <w:left w:val="single" w:sz="10" w:space="0" w:color="D2D2D2"/>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589" w:type="dxa"/>
            <w:tcBorders>
              <w:top w:val="single" w:sz="4" w:space="0" w:color="000000"/>
              <w:left w:val="single" w:sz="10" w:space="0" w:color="D2D2D2"/>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589" w:type="dxa"/>
            <w:tcBorders>
              <w:top w:val="single" w:sz="4" w:space="0" w:color="000000"/>
              <w:left w:val="single" w:sz="10" w:space="0" w:color="D2D2D2"/>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589" w:type="dxa"/>
            <w:tcBorders>
              <w:top w:val="single" w:sz="4" w:space="0" w:color="000000"/>
              <w:left w:val="single" w:sz="10" w:space="0" w:color="D2D2D2"/>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589" w:type="dxa"/>
            <w:tcBorders>
              <w:top w:val="single" w:sz="4" w:space="0" w:color="000000"/>
              <w:left w:val="single" w:sz="10" w:space="0" w:color="D2D2D2"/>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589" w:type="dxa"/>
            <w:tcBorders>
              <w:top w:val="single" w:sz="4" w:space="0" w:color="000000"/>
              <w:left w:val="single" w:sz="10" w:space="0" w:color="D2D2D2"/>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5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14,885,450.52</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15,575,070.21</w:t>
            </w: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5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111,128,496.71</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85,972,578.20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70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5196"/>
        <w:gridCol w:w="2589"/>
        <w:gridCol w:w="1898"/>
      </w:tblGrid>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5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402,278,571.92</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324,741,661.23</w:t>
            </w: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5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272,619,937.55</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232,757,317.80</w:t>
            </w: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5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40,791,170.98</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17,794,165.40</w:t>
            </w: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5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52,699,346.43</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22,324,534.16</w:t>
            </w: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5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5,481,810.56</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11,703,464.58</w:t>
            </w: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5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1,179,173,331.48</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5,466,681.04</w:t>
            </w: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5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29,352,811.66</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27,570,655.66</w:t>
            </w: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23,891,437.56</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4,933,511.44</w:t>
            </w: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5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1,374,034.36</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4,162,658.65</w:t>
            </w: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89" w:type="dxa"/>
            <w:tcBorders>
              <w:top w:val="single" w:sz="4" w:space="0" w:color="000000"/>
              <w:left w:val="single" w:sz="10" w:space="0" w:color="D2D2D2"/>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89" w:type="dxa"/>
            <w:tcBorders>
              <w:top w:val="single" w:sz="4" w:space="0" w:color="000000"/>
              <w:left w:val="single" w:sz="10" w:space="0" w:color="D2D2D2"/>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13,694.33</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28,335,690.17</w:t>
            </w: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-807,806,827.20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363,952,988.47</w:t>
            </w: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5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13,477,081.45</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15,264,367.91</w:t>
            </w: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5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1,618,116.94</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395,349.10</w:t>
            </w: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-795,947,862.69</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378,822,007.28</w:t>
            </w: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5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31,201,669.36</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35,111,109.41</w:t>
            </w: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-827,149,532.05</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343,710,897.87</w:t>
            </w: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-827,149,532.05</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343,710,897.87</w:t>
            </w: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89" w:type="dxa"/>
            <w:tcBorders>
              <w:top w:val="single" w:sz="4" w:space="0" w:color="000000"/>
              <w:left w:val="single" w:sz="10" w:space="0" w:color="D2D2D2"/>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5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-841,464,317.58</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306,943,384.51</w:t>
            </w: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5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14,314,785.53</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36,767,513.36</w:t>
            </w: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5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1,781,644.37</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-2,292,009.96</w:t>
            </w: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5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1,781,644.37</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-2,292,009.96</w:t>
            </w: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589" w:type="dxa"/>
            <w:tcBorders>
              <w:top w:val="single" w:sz="4" w:space="0" w:color="000000"/>
              <w:left w:val="single" w:sz="10" w:space="0" w:color="D2D2D2"/>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589" w:type="dxa"/>
            <w:tcBorders>
              <w:top w:val="single" w:sz="4" w:space="0" w:color="000000"/>
              <w:left w:val="single" w:sz="10" w:space="0" w:color="D2D2D2"/>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589" w:type="dxa"/>
            <w:tcBorders>
              <w:top w:val="single" w:sz="4" w:space="0" w:color="000000"/>
              <w:left w:val="single" w:sz="10" w:space="0" w:color="D2D2D2"/>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5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1,781,644.37</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-2,292,009.96</w:t>
            </w: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589" w:type="dxa"/>
            <w:tcBorders>
              <w:top w:val="single" w:sz="4" w:space="0" w:color="000000"/>
              <w:left w:val="single" w:sz="10" w:space="0" w:color="D2D2D2"/>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589" w:type="dxa"/>
            <w:tcBorders>
              <w:top w:val="single" w:sz="4" w:space="0" w:color="000000"/>
              <w:left w:val="single" w:sz="10" w:space="0" w:color="D2D2D2"/>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589" w:type="dxa"/>
            <w:tcBorders>
              <w:top w:val="single" w:sz="4" w:space="0" w:color="000000"/>
              <w:left w:val="single" w:sz="10" w:space="0" w:color="D2D2D2"/>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589" w:type="dxa"/>
            <w:tcBorders>
              <w:top w:val="single" w:sz="4" w:space="0" w:color="000000"/>
              <w:left w:val="single" w:sz="10" w:space="0" w:color="D2D2D2"/>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5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1,781,644.37</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-2,292,009.96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5196"/>
        <w:gridCol w:w="2589"/>
        <w:gridCol w:w="1898"/>
      </w:tblGrid>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589" w:type="dxa"/>
            <w:tcBorders>
              <w:top w:val="single" w:sz="4" w:space="0" w:color="000000"/>
              <w:left w:val="single" w:sz="10" w:space="0" w:color="D2D2D2"/>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589" w:type="dxa"/>
            <w:tcBorders>
              <w:top w:val="single" w:sz="4" w:space="0" w:color="000000"/>
              <w:left w:val="single" w:sz="10" w:space="0" w:color="D2D2D2"/>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5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-825,367,887.68</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341,418,887.91</w:t>
            </w: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5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-839,682,673.21</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304,651,374.55</w:t>
            </w: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5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14,314,785.53</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36,767,513.36</w:t>
            </w: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5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5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-1.1838</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0.4351</w:t>
            </w:r>
          </w:p>
        </w:tc>
      </w:tr>
      <w:tr>
        <w:trPr>
          <w:trHeight w:val="402" w:hRule="exact"/>
        </w:trPr>
        <w:tc>
          <w:tcPr>
            <w:tcW w:w="5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5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-1.1838</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0.4351</w:t>
            </w:r>
          </w:p>
        </w:tc>
      </w:tr>
    </w:tbl>
    <w:p>
      <w:pPr>
        <w:pStyle w:val="BodyText"/>
        <w:spacing w:line="240" w:lineRule="auto" w:before="51"/>
        <w:ind w:right="0"/>
        <w:jc w:val="left"/>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0"/>
        </w:sectPr>
      </w:pPr>
    </w:p>
    <w:p>
      <w:pPr>
        <w:pStyle w:val="Heading3"/>
        <w:spacing w:line="240" w:lineRule="auto" w:before="35"/>
        <w:ind w:right="0"/>
        <w:jc w:val="left"/>
        <w:rPr>
          <w:b w:val="0"/>
          <w:bCs w:val="0"/>
        </w:rPr>
      </w:pPr>
      <w:bookmarkStart w:name="4、母公司利润表" w:id="175"/>
      <w:bookmarkEnd w:id="175"/>
      <w:r>
        <w:rPr>
          <w:b w:val="0"/>
          <w:bCs w:val="0"/>
        </w:rPr>
      </w:r>
      <w:r>
        <w:rPr>
          <w:rFonts w:ascii="Times New Roman" w:hAnsi="Times New Roman" w:cs="Times New Roman" w:eastAsia="Times New Roman" w:hint="default"/>
          <w:w w:val="95"/>
        </w:rPr>
        <w:t>4</w:t>
      </w:r>
      <w:r>
        <w:rPr>
          <w:w w:val="95"/>
        </w:rPr>
        <w:t>、母公司利润表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pStyle w:val="BodyText"/>
        <w:spacing w:line="240" w:lineRule="auto"/>
        <w:ind w:left="153" w:right="0"/>
        <w:jc w:val="left"/>
      </w:pPr>
      <w:r>
        <w:rPr/>
        <w:t>单位：元</w:t>
      </w:r>
    </w:p>
    <w:p>
      <w:pPr>
        <w:spacing w:after="0" w:line="240" w:lineRule="auto"/>
        <w:jc w:val="left"/>
        <w:sectPr>
          <w:type w:val="continuous"/>
          <w:pgSz w:w="11910" w:h="16840"/>
          <w:pgMar w:top="1060" w:bottom="700" w:left="980" w:right="0"/>
          <w:cols w:num="2" w:equalWidth="0">
            <w:col w:w="1734" w:space="7185"/>
            <w:col w:w="2011"/>
          </w:cols>
        </w:sectPr>
      </w:pPr>
    </w:p>
    <w:p>
      <w:pPr>
        <w:spacing w:line="240" w:lineRule="auto" w:before="0"/>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5958"/>
        <w:gridCol w:w="1431"/>
        <w:gridCol w:w="2294"/>
      </w:tblGrid>
      <w:tr>
        <w:trPr>
          <w:trHeight w:val="402" w:hRule="exact"/>
        </w:trPr>
        <w:tc>
          <w:tcPr>
            <w:tcW w:w="5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4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637,942,648.25</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472,862,467.96</w:t>
            </w:r>
          </w:p>
        </w:tc>
      </w:tr>
      <w:tr>
        <w:trPr>
          <w:trHeight w:val="402" w:hRule="exact"/>
        </w:trPr>
        <w:tc>
          <w:tcPr>
            <w:tcW w:w="5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4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84,448,270.50</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70,482,296.77</w:t>
            </w:r>
          </w:p>
        </w:tc>
      </w:tr>
      <w:tr>
        <w:trPr>
          <w:trHeight w:val="402" w:hRule="exact"/>
        </w:trPr>
        <w:tc>
          <w:tcPr>
            <w:tcW w:w="5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4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5,820,309.32</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7,762,622.97</w:t>
            </w:r>
          </w:p>
        </w:tc>
      </w:tr>
      <w:tr>
        <w:trPr>
          <w:trHeight w:val="402" w:hRule="exact"/>
        </w:trPr>
        <w:tc>
          <w:tcPr>
            <w:tcW w:w="5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16,135,151.13</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19,417,605.74</w:t>
            </w:r>
          </w:p>
        </w:tc>
      </w:tr>
      <w:tr>
        <w:trPr>
          <w:trHeight w:val="402" w:hRule="exact"/>
        </w:trPr>
        <w:tc>
          <w:tcPr>
            <w:tcW w:w="5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235,090,315.83</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186,981,350.77</w:t>
            </w:r>
          </w:p>
        </w:tc>
      </w:tr>
      <w:tr>
        <w:trPr>
          <w:trHeight w:val="402" w:hRule="exact"/>
        </w:trPr>
        <w:tc>
          <w:tcPr>
            <w:tcW w:w="5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4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136,542,550.05</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110,740,713.56</w:t>
            </w:r>
          </w:p>
        </w:tc>
      </w:tr>
      <w:tr>
        <w:trPr>
          <w:trHeight w:val="402" w:hRule="exact"/>
        </w:trPr>
        <w:tc>
          <w:tcPr>
            <w:tcW w:w="5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48,381,981.67</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26,301,073.07</w:t>
            </w:r>
          </w:p>
        </w:tc>
      </w:tr>
      <w:tr>
        <w:trPr>
          <w:trHeight w:val="402" w:hRule="exact"/>
        </w:trPr>
        <w:tc>
          <w:tcPr>
            <w:tcW w:w="5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14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49,965,226.89</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24,866,469.47</w:t>
            </w:r>
          </w:p>
        </w:tc>
      </w:tr>
      <w:tr>
        <w:trPr>
          <w:trHeight w:val="402" w:hRule="exact"/>
        </w:trPr>
        <w:tc>
          <w:tcPr>
            <w:tcW w:w="5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4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2,104,794.88</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5,379,497.97</w:t>
            </w:r>
          </w:p>
        </w:tc>
      </w:tr>
      <w:tr>
        <w:trPr>
          <w:trHeight w:val="402" w:hRule="exact"/>
        </w:trPr>
        <w:tc>
          <w:tcPr>
            <w:tcW w:w="5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1,500,567,828.43</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1,866,374.47</w:t>
            </w:r>
          </w:p>
        </w:tc>
      </w:tr>
      <w:tr>
        <w:trPr>
          <w:trHeight w:val="402" w:hRule="exact"/>
        </w:trPr>
        <w:tc>
          <w:tcPr>
            <w:tcW w:w="5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14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10,503,661.64</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12,168,407.71</w:t>
            </w:r>
          </w:p>
        </w:tc>
      </w:tr>
      <w:tr>
        <w:trPr>
          <w:trHeight w:val="402" w:hRule="exact"/>
        </w:trPr>
        <w:tc>
          <w:tcPr>
            <w:tcW w:w="5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292,995,522.41</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24,162,658.65</w:t>
            </w:r>
          </w:p>
        </w:tc>
      </w:tr>
      <w:tr>
        <w:trPr>
          <w:trHeight w:val="402" w:hRule="exact"/>
        </w:trPr>
        <w:tc>
          <w:tcPr>
            <w:tcW w:w="5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4"/>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4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1,374,034.36</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4,162,658.65</w:t>
            </w:r>
          </w:p>
        </w:tc>
      </w:tr>
      <w:tr>
        <w:trPr>
          <w:trHeight w:val="402" w:hRule="exact"/>
        </w:trPr>
        <w:tc>
          <w:tcPr>
            <w:tcW w:w="5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95"/>
              <w:jc w:val="right"/>
              <w:rPr>
                <w:rFonts w:ascii="宋体" w:hAnsi="宋体" w:cs="宋体" w:eastAsia="宋体" w:hint="default"/>
                <w:sz w:val="18"/>
                <w:szCs w:val="18"/>
              </w:rPr>
            </w:pPr>
            <w:r>
              <w:rPr>
                <w:rFonts w:ascii="宋体" w:hAnsi="宋体" w:cs="宋体" w:eastAsia="宋体" w:hint="default"/>
                <w:spacing w:val="-1"/>
                <w:sz w:val="18"/>
                <w:szCs w:val="18"/>
              </w:rPr>
              <w:t>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1431" w:type="dxa"/>
            <w:tcBorders>
              <w:top w:val="single" w:sz="4" w:space="0" w:color="000000"/>
              <w:left w:val="single" w:sz="13" w:space="0" w:color="D2D2D2"/>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31" w:type="dxa"/>
            <w:tcBorders>
              <w:top w:val="single" w:sz="4" w:space="0" w:color="000000"/>
              <w:left w:val="single" w:sz="13" w:space="0" w:color="D2D2D2"/>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28,396,148.42</w:t>
            </w:r>
          </w:p>
        </w:tc>
      </w:tr>
      <w:tr>
        <w:trPr>
          <w:trHeight w:val="402" w:hRule="exact"/>
        </w:trPr>
        <w:tc>
          <w:tcPr>
            <w:tcW w:w="5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-1,085,544,574.63</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114,037,645.39</w:t>
            </w:r>
          </w:p>
        </w:tc>
      </w:tr>
      <w:tr>
        <w:trPr>
          <w:trHeight w:val="402" w:hRule="exact"/>
        </w:trPr>
        <w:tc>
          <w:tcPr>
            <w:tcW w:w="5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4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1,865,229.80</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1,376,006.71</w:t>
            </w:r>
          </w:p>
        </w:tc>
      </w:tr>
      <w:tr>
        <w:trPr>
          <w:trHeight w:val="402" w:hRule="exact"/>
        </w:trPr>
        <w:tc>
          <w:tcPr>
            <w:tcW w:w="5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4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230,493.88</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154,457.36</w:t>
            </w:r>
          </w:p>
        </w:tc>
      </w:tr>
      <w:tr>
        <w:trPr>
          <w:trHeight w:val="402" w:hRule="exact"/>
        </w:trPr>
        <w:tc>
          <w:tcPr>
            <w:tcW w:w="5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-1,083,909,838.71</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115,259,194.74</w:t>
            </w:r>
          </w:p>
        </w:tc>
      </w:tr>
      <w:tr>
        <w:trPr>
          <w:trHeight w:val="402" w:hRule="exact"/>
        </w:trPr>
        <w:tc>
          <w:tcPr>
            <w:tcW w:w="5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4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6,446,149.57</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5,979,560.75</w:t>
            </w:r>
          </w:p>
        </w:tc>
      </w:tr>
      <w:tr>
        <w:trPr>
          <w:trHeight w:val="402" w:hRule="exact"/>
        </w:trPr>
        <w:tc>
          <w:tcPr>
            <w:tcW w:w="5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-1,090,355,988.28</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109,279,633.99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700" w:left="980" w:right="0"/>
        </w:sectPr>
      </w:pPr>
    </w:p>
    <w:p>
      <w:pPr>
        <w:spacing w:line="240" w:lineRule="auto" w:before="6"/>
        <w:rPr>
          <w:rFonts w:ascii="宋体" w:hAnsi="宋体" w:cs="宋体" w:eastAsia="宋体" w:hint="default"/>
          <w:sz w:val="24"/>
          <w:szCs w:val="24"/>
        </w:rPr>
      </w:pPr>
    </w:p>
    <w:tbl>
      <w:tblPr>
        <w:tblW w:w="0" w:type="auto"/>
        <w:jc w:val="left"/>
        <w:tblInd w:w="133" w:type="dxa"/>
        <w:tblLayout w:type="fixed"/>
        <w:tblCellMar>
          <w:top w:w="0" w:type="dxa"/>
          <w:left w:w="0" w:type="dxa"/>
          <w:bottom w:w="0" w:type="dxa"/>
          <w:right w:w="0" w:type="dxa"/>
        </w:tblCellMar>
        <w:tblLook w:val="01E0"/>
      </w:tblPr>
      <w:tblGrid>
        <w:gridCol w:w="5958"/>
        <w:gridCol w:w="1431"/>
        <w:gridCol w:w="2294"/>
      </w:tblGrid>
      <w:tr>
        <w:trPr>
          <w:trHeight w:val="402" w:hRule="exact"/>
        </w:trPr>
        <w:tc>
          <w:tcPr>
            <w:tcW w:w="5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-1,090,355,988.28</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109,279,633.99</w:t>
            </w:r>
          </w:p>
        </w:tc>
      </w:tr>
      <w:tr>
        <w:trPr>
          <w:trHeight w:val="402" w:hRule="exact"/>
        </w:trPr>
        <w:tc>
          <w:tcPr>
            <w:tcW w:w="5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31" w:type="dxa"/>
            <w:tcBorders>
              <w:top w:val="single" w:sz="4" w:space="0" w:color="000000"/>
              <w:left w:val="single" w:sz="13" w:space="0" w:color="D2D2D2"/>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1431" w:type="dxa"/>
            <w:tcBorders>
              <w:top w:val="single" w:sz="4" w:space="0" w:color="000000"/>
              <w:left w:val="single" w:sz="13" w:space="0" w:color="D2D2D2"/>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1431" w:type="dxa"/>
            <w:tcBorders>
              <w:top w:val="single" w:sz="4" w:space="0" w:color="000000"/>
              <w:left w:val="single" w:sz="13" w:space="0" w:color="D2D2D2"/>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1431" w:type="dxa"/>
            <w:tcBorders>
              <w:top w:val="single" w:sz="4" w:space="0" w:color="000000"/>
              <w:left w:val="single" w:sz="13" w:space="0" w:color="D2D2D2"/>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1431" w:type="dxa"/>
            <w:tcBorders>
              <w:top w:val="single" w:sz="4" w:space="0" w:color="000000"/>
              <w:left w:val="single" w:sz="13" w:space="0" w:color="D2D2D2"/>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1431" w:type="dxa"/>
            <w:tcBorders>
              <w:top w:val="single" w:sz="4" w:space="0" w:color="000000"/>
              <w:left w:val="single" w:sz="13" w:space="0" w:color="D2D2D2"/>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1431" w:type="dxa"/>
            <w:tcBorders>
              <w:top w:val="single" w:sz="4" w:space="0" w:color="000000"/>
              <w:left w:val="single" w:sz="13" w:space="0" w:color="D2D2D2"/>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1431" w:type="dxa"/>
            <w:tcBorders>
              <w:top w:val="single" w:sz="4" w:space="0" w:color="000000"/>
              <w:left w:val="single" w:sz="13" w:space="0" w:color="D2D2D2"/>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1431" w:type="dxa"/>
            <w:tcBorders>
              <w:top w:val="single" w:sz="4" w:space="0" w:color="000000"/>
              <w:left w:val="single" w:sz="13" w:space="0" w:color="D2D2D2"/>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1431" w:type="dxa"/>
            <w:tcBorders>
              <w:top w:val="single" w:sz="4" w:space="0" w:color="000000"/>
              <w:left w:val="single" w:sz="13" w:space="0" w:color="D2D2D2"/>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1431" w:type="dxa"/>
            <w:tcBorders>
              <w:top w:val="single" w:sz="4" w:space="0" w:color="000000"/>
              <w:left w:val="single" w:sz="13" w:space="0" w:color="D2D2D2"/>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431" w:type="dxa"/>
            <w:tcBorders>
              <w:top w:val="single" w:sz="4" w:space="0" w:color="000000"/>
              <w:left w:val="single" w:sz="13" w:space="0" w:color="D2D2D2"/>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14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-1,090,355,988.28</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109,279,633.99</w:t>
            </w:r>
          </w:p>
        </w:tc>
      </w:tr>
      <w:tr>
        <w:trPr>
          <w:trHeight w:val="402" w:hRule="exact"/>
        </w:trPr>
        <w:tc>
          <w:tcPr>
            <w:tcW w:w="5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4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-1.5340</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0.1553</w:t>
            </w:r>
          </w:p>
        </w:tc>
      </w:tr>
      <w:tr>
        <w:trPr>
          <w:trHeight w:val="402" w:hRule="exact"/>
        </w:trPr>
        <w:tc>
          <w:tcPr>
            <w:tcW w:w="5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4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-1.5340</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0.1553</w:t>
            </w:r>
          </w:p>
        </w:tc>
      </w:tr>
    </w:tbl>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979" w:top="1100" w:bottom="1160" w:left="980" w:right="0"/>
        </w:sectPr>
      </w:pPr>
    </w:p>
    <w:p>
      <w:pPr>
        <w:pStyle w:val="Heading3"/>
        <w:spacing w:line="240" w:lineRule="auto" w:before="35"/>
        <w:ind w:right="0"/>
        <w:jc w:val="left"/>
        <w:rPr>
          <w:b w:val="0"/>
          <w:bCs w:val="0"/>
        </w:rPr>
      </w:pPr>
      <w:bookmarkStart w:name="5、合并现金流量表" w:id="176"/>
      <w:bookmarkEnd w:id="176"/>
      <w:r>
        <w:rPr>
          <w:b w:val="0"/>
          <w:bCs w:val="0"/>
        </w:rPr>
      </w:r>
      <w:r>
        <w:rPr>
          <w:rFonts w:ascii="Times New Roman" w:hAnsi="Times New Roman" w:cs="Times New Roman" w:eastAsia="Times New Roman" w:hint="default"/>
          <w:w w:val="95"/>
        </w:rPr>
        <w:t>5</w:t>
      </w:r>
      <w:r>
        <w:rPr>
          <w:w w:val="95"/>
        </w:rPr>
        <w:t>、合并现金流量表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pStyle w:val="BodyText"/>
        <w:spacing w:line="240" w:lineRule="auto"/>
        <w:ind w:left="153" w:right="0"/>
        <w:jc w:val="left"/>
      </w:pPr>
      <w:r>
        <w:rPr/>
        <w:t>单位：元</w:t>
      </w:r>
    </w:p>
    <w:p>
      <w:pPr>
        <w:spacing w:after="0" w:line="240" w:lineRule="auto"/>
        <w:jc w:val="left"/>
        <w:sectPr>
          <w:type w:val="continuous"/>
          <w:pgSz w:w="11910" w:h="16840"/>
          <w:pgMar w:top="1060" w:bottom="700" w:left="980" w:right="0"/>
          <w:cols w:num="2" w:equalWidth="0">
            <w:col w:w="1945" w:space="6974"/>
            <w:col w:w="2011"/>
          </w:cols>
        </w:sectPr>
      </w:pP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983"/>
        <w:gridCol w:w="3356"/>
        <w:gridCol w:w="3345"/>
      </w:tblGrid>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51" w:right="0"/>
              <w:jc w:val="left"/>
              <w:rPr>
                <w:rFonts w:ascii="Times New Roman" w:hAnsi="Times New Roman" w:cs="Times New Roman" w:eastAsia="Times New Roman" w:hint="default"/>
                <w:sz w:val="18"/>
                <w:szCs w:val="18"/>
              </w:rPr>
            </w:pPr>
            <w:r>
              <w:rPr>
                <w:rFonts w:ascii="Times New Roman"/>
                <w:sz w:val="18"/>
              </w:rPr>
              <w:t>2,869,327,823.73</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1,924,739,636.55</w:t>
            </w:r>
          </w:p>
        </w:tc>
      </w:tr>
      <w:tr>
        <w:trPr>
          <w:trHeight w:val="714"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70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2978"/>
        <w:gridCol w:w="3360"/>
        <w:gridCol w:w="3345"/>
      </w:tblGrid>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60"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60"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24,206,453.93</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22,600,958.42</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63,556,717.36</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24,203,649.79</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2,957,090,995.02</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1,971,544,244.76</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1,629,737,626.00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1,128,911,071.63</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60"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60"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5"/>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60"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5"/>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60"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60"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556,000,061.61</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453,643,078.89</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138,148,645.83</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111,069,384.40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190,918,196.32</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150,000,784.31</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2,514,804,529.76</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1,843,624,319.23</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442,286,465.26</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127,919,925.53</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1,734,230,137.28</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76,000,000.00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24,143,879.03</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1,895,852.79</w:t>
            </w:r>
          </w:p>
        </w:tc>
      </w:tr>
      <w:tr>
        <w:trPr>
          <w:trHeight w:val="71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146,836.72</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31,275,297.42</w:t>
            </w:r>
          </w:p>
        </w:tc>
      </w:tr>
      <w:tr>
        <w:trPr>
          <w:trHeight w:val="71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60"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1,923,957.29</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1,142,635.00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1,760,444,810.32</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110,313,785.21</w:t>
            </w:r>
          </w:p>
        </w:tc>
      </w:tr>
      <w:tr>
        <w:trPr>
          <w:trHeight w:val="71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69,392,124.12</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82,698,308.42</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2,176,710,798.00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691,998,002.94</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60"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60"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105,534,633.77</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60"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2,246,102,922.12</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880,230,945.13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2983"/>
        <w:gridCol w:w="3356"/>
        <w:gridCol w:w="3345"/>
      </w:tblGrid>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-485,658,111.80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-769,917,159.92</w:t>
            </w: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12,230,000.00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53,031,880.00</w:t>
            </w:r>
          </w:p>
        </w:tc>
      </w:tr>
      <w:tr>
        <w:trPr>
          <w:trHeight w:val="714"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8,280,000.00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9,900,000.00</w:t>
            </w: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446,500,000.00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109,500,000.00</w:t>
            </w: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780,000,000.00</w:t>
            </w: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30,240,000.00</w:t>
            </w: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478,730,000.00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972,771,880.00</w:t>
            </w: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246,000,000.00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9,550,000.00</w:t>
            </w:r>
          </w:p>
        </w:tc>
      </w:tr>
      <w:tr>
        <w:trPr>
          <w:trHeight w:val="714"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42,214,674.00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19,775,602.46</w:t>
            </w:r>
          </w:p>
        </w:tc>
      </w:tr>
      <w:tr>
        <w:trPr>
          <w:trHeight w:val="714"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665,000.00</w:t>
            </w: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286,507,601.00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76,578,000.00</w:t>
            </w: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574,722,275.00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105,903,602.46</w:t>
            </w: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-95,992,275.00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866,868,277.54</w:t>
            </w:r>
          </w:p>
        </w:tc>
      </w:tr>
      <w:tr>
        <w:trPr>
          <w:trHeight w:val="714"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1,730,448.65</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-1,709,637.90</w:t>
            </w: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-137,633,472.89</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223,161,405.25</w:t>
            </w: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909,580,073.82</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686,418,668.57</w:t>
            </w: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771,946,600.93</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909,580,073.82</w:t>
            </w:r>
          </w:p>
        </w:tc>
      </w:tr>
    </w:tbl>
    <w:p>
      <w:pPr>
        <w:spacing w:line="240" w:lineRule="auto" w:before="8"/>
        <w:rPr>
          <w:rFonts w:ascii="Times New Roman" w:hAnsi="Times New Roman" w:cs="Times New Roman" w:eastAsia="Times New Roman" w:hint="default"/>
          <w:sz w:val="21"/>
          <w:szCs w:val="21"/>
        </w:rPr>
      </w:pPr>
    </w:p>
    <w:p>
      <w:pPr>
        <w:spacing w:after="0" w:line="240" w:lineRule="auto"/>
        <w:rPr>
          <w:rFonts w:ascii="Times New Roman" w:hAnsi="Times New Roman" w:cs="Times New Roman" w:eastAsia="Times New Roman" w:hint="default"/>
          <w:sz w:val="21"/>
          <w:szCs w:val="21"/>
        </w:rPr>
        <w:sectPr>
          <w:pgSz w:w="11910" w:h="16840"/>
          <w:pgMar w:header="877" w:footer="979" w:top="1100" w:bottom="1160" w:left="980" w:right="0"/>
        </w:sectPr>
      </w:pPr>
    </w:p>
    <w:p>
      <w:pPr>
        <w:pStyle w:val="Heading3"/>
        <w:spacing w:line="240" w:lineRule="auto" w:before="35"/>
        <w:ind w:right="0"/>
        <w:jc w:val="left"/>
        <w:rPr>
          <w:b w:val="0"/>
          <w:bCs w:val="0"/>
        </w:rPr>
      </w:pPr>
      <w:bookmarkStart w:name="6、母公司现金流量表" w:id="177"/>
      <w:bookmarkEnd w:id="177"/>
      <w:r>
        <w:rPr>
          <w:b w:val="0"/>
          <w:bCs w:val="0"/>
        </w:rPr>
      </w:r>
      <w:r>
        <w:rPr>
          <w:rFonts w:ascii="Times New Roman" w:hAnsi="Times New Roman" w:cs="Times New Roman" w:eastAsia="Times New Roman" w:hint="default"/>
          <w:w w:val="95"/>
        </w:rPr>
        <w:t>6</w:t>
      </w:r>
      <w:r>
        <w:rPr>
          <w:w w:val="95"/>
        </w:rPr>
        <w:t>、母公司现金流量表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pStyle w:val="BodyText"/>
        <w:spacing w:line="240" w:lineRule="auto"/>
        <w:ind w:left="153" w:right="0"/>
        <w:jc w:val="left"/>
      </w:pPr>
      <w:r>
        <w:rPr/>
        <w:t>单位：元</w:t>
      </w:r>
    </w:p>
    <w:p>
      <w:pPr>
        <w:spacing w:after="0" w:line="240" w:lineRule="auto"/>
        <w:jc w:val="left"/>
        <w:sectPr>
          <w:type w:val="continuous"/>
          <w:pgSz w:w="11910" w:h="16840"/>
          <w:pgMar w:top="1060" w:bottom="700" w:left="980" w:right="0"/>
          <w:cols w:num="2" w:equalWidth="0">
            <w:col w:w="2156" w:space="6763"/>
            <w:col w:w="2011"/>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680,189,309.61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476,942,081.25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5,554,864.60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6,181,721.80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4,506,441.92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5,568,229.48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690,250,616.13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488,692,032.53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77,760,221.15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78,159,951.93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274,502,664.70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232,642,702.24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49,711,965.20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34,169,117.76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70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39"/>
        <w:gridCol w:w="3318"/>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64,685,200.78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33,176,431.16</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466,660,051.83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378,148,203.09</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223,590,564.30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110,543,829.44</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1,520,730,136.28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298,866,575.83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21,125,000.00</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1,738,745.44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31,001,587.21</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1,142,635.00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1,821,335,457.55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53,269,222.21</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25,114,295.47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42,207,440.25</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2,047,893,539.00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1,047,598,002.94</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2,075,807,834.47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1,089,805,443.19</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-254,472,376.92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-1,036,536,220.98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43,131,880.00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780,000,000.00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480,450,000.00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952,631,880.00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9,500,000.00</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32,922,747.93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22,465,239.33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433,889,324.98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76,578,000.00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512,812,072.91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108,543,239.33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-32,362,072.91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844,088,640.67</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4,327.02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-63,239,558.51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-81,903,750.87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197,515,459.99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279,419,210.86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134,275,901.48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197,515,459.99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pStyle w:val="Heading3"/>
        <w:spacing w:line="240" w:lineRule="auto" w:before="52"/>
        <w:ind w:left="140" w:right="0"/>
        <w:jc w:val="left"/>
        <w:rPr>
          <w:b w:val="0"/>
          <w:bCs w:val="0"/>
        </w:rPr>
      </w:pPr>
      <w:r>
        <w:rPr/>
        <w:pict>
          <v:group style="position:absolute;margin-left:70.5pt;margin-top:2.263648pt;width:701pt;height:.1pt;mso-position-horizontal-relative:page;mso-position-vertical-relative:paragraph;z-index:2104" coordorigin="1410,45" coordsize="14020,2">
            <v:shape style="position:absolute;left:1410;top:45;width:14020;height:2" coordorigin="1410,45" coordsize="14020,0" path="m1410,45l15430,45e" filled="false" stroked="true" strokeweight=".72pt" strokecolor="#000000">
              <v:path arrowok="t"/>
            </v:shape>
            <w10:wrap type="none"/>
          </v:group>
        </w:pict>
      </w:r>
      <w:bookmarkStart w:name="7、合并所有者权益变动表" w:id="178"/>
      <w:bookmarkEnd w:id="178"/>
      <w:r>
        <w:rPr>
          <w:b w:val="0"/>
          <w:bCs w:val="0"/>
        </w:rPr>
      </w:r>
      <w:r>
        <w:rPr>
          <w:rFonts w:ascii="Times New Roman" w:hAnsi="Times New Roman" w:cs="Times New Roman" w:eastAsia="Times New Roman" w:hint="default"/>
          <w:w w:val="95"/>
        </w:rPr>
        <w:t>7</w:t>
      </w:r>
      <w:r>
        <w:rPr>
          <w:w w:val="95"/>
        </w:rPr>
        <w:t>、合并所有者权益变动表</w:t>
      </w:r>
      <w:r>
        <w:rPr>
          <w:b w:val="0"/>
          <w:bCs w:val="0"/>
        </w:rPr>
      </w:r>
    </w:p>
    <w:p>
      <w:pPr>
        <w:pStyle w:val="BodyText"/>
        <w:spacing w:line="240" w:lineRule="auto" w:before="88"/>
        <w:ind w:left="140" w:right="0"/>
        <w:jc w:val="left"/>
      </w:pPr>
      <w:r>
        <w:rPr/>
        <w:t>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3"/>
          <w:szCs w:val="23"/>
        </w:rPr>
      </w:pPr>
    </w:p>
    <w:p>
      <w:pPr>
        <w:pStyle w:val="BodyText"/>
        <w:spacing w:line="240" w:lineRule="auto"/>
        <w:ind w:left="140" w:right="0"/>
        <w:jc w:val="left"/>
      </w:pPr>
      <w:r>
        <w:rPr/>
        <w:t>单位：元</w:t>
      </w:r>
    </w:p>
    <w:p>
      <w:pPr>
        <w:spacing w:after="0" w:line="240" w:lineRule="auto"/>
        <w:jc w:val="left"/>
        <w:sectPr>
          <w:headerReference w:type="default" r:id="rId24"/>
          <w:footerReference w:type="default" r:id="rId25"/>
          <w:pgSz w:w="16840" w:h="11910" w:orient="landscape"/>
          <w:pgMar w:header="867" w:footer="979" w:top="1060" w:bottom="1260" w:left="1300" w:right="1300"/>
          <w:pgNumType w:start="100"/>
          <w:cols w:num="2" w:equalWidth="0">
            <w:col w:w="2562" w:space="10677"/>
            <w:col w:w="1001"/>
          </w:cols>
        </w:sectPr>
      </w:pPr>
    </w:p>
    <w:p>
      <w:pPr>
        <w:spacing w:line="240" w:lineRule="auto" w:before="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582"/>
        <w:gridCol w:w="1192"/>
        <w:gridCol w:w="355"/>
        <w:gridCol w:w="355"/>
        <w:gridCol w:w="1181"/>
        <w:gridCol w:w="1241"/>
        <w:gridCol w:w="1152"/>
        <w:gridCol w:w="1045"/>
        <w:gridCol w:w="415"/>
        <w:gridCol w:w="1091"/>
        <w:gridCol w:w="535"/>
        <w:gridCol w:w="1241"/>
        <w:gridCol w:w="1241"/>
        <w:gridCol w:w="1376"/>
      </w:tblGrid>
      <w:tr>
        <w:trPr>
          <w:trHeight w:val="402" w:hRule="exact"/>
        </w:trPr>
        <w:tc>
          <w:tcPr>
            <w:tcW w:w="1582" w:type="dxa"/>
            <w:vMerge w:val="restart"/>
            <w:tcBorders>
              <w:top w:val="single" w:sz="4" w:space="0" w:color="000000"/>
              <w:left w:val="single" w:sz="4" w:space="0" w:color="000000"/>
              <w:right w:val="single" w:sz="4" w:space="0" w:color="000000"/>
            </w:tcBorders>
            <w:shd w:val="clear" w:color="auto" w:fill="D2D2D2"/>
          </w:tcPr>
          <w:p>
            <w:pPr/>
          </w:p>
        </w:tc>
        <w:tc>
          <w:tcPr>
            <w:tcW w:w="1242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97" w:hRule="exact"/>
        </w:trPr>
        <w:tc>
          <w:tcPr>
            <w:tcW w:w="1582" w:type="dxa"/>
            <w:vMerge/>
            <w:tcBorders>
              <w:left w:val="single" w:sz="4" w:space="0" w:color="000000"/>
              <w:right w:val="single" w:sz="4" w:space="0" w:color="000000"/>
            </w:tcBorders>
            <w:shd w:val="clear" w:color="auto" w:fill="D2D2D2"/>
          </w:tcPr>
          <w:p>
            <w:pPr/>
          </w:p>
        </w:tc>
        <w:tc>
          <w:tcPr>
            <w:tcW w:w="980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41" w:type="dxa"/>
            <w:vMerge w:val="restart"/>
            <w:tcBorders>
              <w:top w:val="single" w:sz="4" w:space="0" w:color="000000"/>
              <w:left w:val="single" w:sz="4" w:space="0" w:color="000000"/>
              <w:right w:val="single" w:sz="4" w:space="0" w:color="000000"/>
            </w:tcBorders>
            <w:shd w:val="clear" w:color="auto" w:fill="D2D2D2"/>
          </w:tcPr>
          <w:p>
            <w:pPr/>
          </w:p>
        </w:tc>
        <w:tc>
          <w:tcPr>
            <w:tcW w:w="1376"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1582" w:type="dxa"/>
            <w:vMerge/>
            <w:tcBorders>
              <w:left w:val="single" w:sz="4" w:space="0" w:color="000000"/>
              <w:bottom w:val="nil" w:sz="6" w:space="0" w:color="auto"/>
              <w:right w:val="single" w:sz="4" w:space="0" w:color="000000"/>
            </w:tcBorders>
            <w:shd w:val="clear" w:color="auto" w:fill="D2D2D2"/>
          </w:tcPr>
          <w:p>
            <w:pPr/>
          </w:p>
        </w:tc>
        <w:tc>
          <w:tcPr>
            <w:tcW w:w="1192" w:type="dxa"/>
            <w:vMerge w:val="restart"/>
            <w:tcBorders>
              <w:top w:val="single" w:sz="4" w:space="0" w:color="000000"/>
              <w:left w:val="single" w:sz="4" w:space="0" w:color="000000"/>
              <w:right w:val="single" w:sz="4" w:space="0" w:color="000000"/>
            </w:tcBorders>
            <w:shd w:val="clear" w:color="auto" w:fill="D2D2D2"/>
          </w:tcPr>
          <w:p>
            <w:pPr/>
          </w:p>
        </w:tc>
        <w:tc>
          <w:tcPr>
            <w:tcW w:w="189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40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41" w:type="dxa"/>
            <w:vMerge w:val="restart"/>
            <w:tcBorders>
              <w:top w:val="single" w:sz="4" w:space="0" w:color="000000"/>
              <w:left w:val="single" w:sz="4" w:space="0" w:color="000000"/>
              <w:right w:val="single" w:sz="4" w:space="0" w:color="000000"/>
            </w:tcBorders>
            <w:shd w:val="clear" w:color="auto" w:fill="D2D2D2"/>
          </w:tcPr>
          <w:p>
            <w:pPr/>
          </w:p>
        </w:tc>
        <w:tc>
          <w:tcPr>
            <w:tcW w:w="1152" w:type="dxa"/>
            <w:vMerge w:val="restart"/>
            <w:tcBorders>
              <w:top w:val="single" w:sz="4" w:space="0" w:color="000000"/>
              <w:left w:val="single" w:sz="4" w:space="0" w:color="000000"/>
              <w:right w:val="single" w:sz="4" w:space="0" w:color="000000"/>
            </w:tcBorders>
            <w:shd w:val="clear" w:color="auto" w:fill="D2D2D2"/>
          </w:tcPr>
          <w:p>
            <w:pPr/>
          </w:p>
        </w:tc>
        <w:tc>
          <w:tcPr>
            <w:tcW w:w="1045" w:type="dxa"/>
            <w:vMerge w:val="restart"/>
            <w:tcBorders>
              <w:top w:val="single" w:sz="4" w:space="0" w:color="000000"/>
              <w:left w:val="single" w:sz="4" w:space="0" w:color="000000"/>
              <w:right w:val="single" w:sz="4" w:space="0" w:color="000000"/>
            </w:tcBorders>
            <w:shd w:val="clear" w:color="auto" w:fill="D2D2D2"/>
          </w:tcPr>
          <w:p>
            <w:pPr/>
          </w:p>
        </w:tc>
        <w:tc>
          <w:tcPr>
            <w:tcW w:w="4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11"/>
              <w:ind w:left="112" w:right="110"/>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091" w:type="dxa"/>
            <w:vMerge w:val="restart"/>
            <w:tcBorders>
              <w:top w:val="single" w:sz="4" w:space="0" w:color="000000"/>
              <w:left w:val="single" w:sz="4" w:space="0" w:color="000000"/>
              <w:right w:val="single" w:sz="4" w:space="0" w:color="000000"/>
            </w:tcBorders>
            <w:shd w:val="clear" w:color="auto" w:fill="D2D2D2"/>
          </w:tcPr>
          <w:p>
            <w:pPr/>
          </w:p>
        </w:tc>
        <w:tc>
          <w:tcPr>
            <w:tcW w:w="535" w:type="dxa"/>
            <w:vMerge w:val="restart"/>
            <w:tcBorders>
              <w:top w:val="single" w:sz="4" w:space="0" w:color="000000"/>
              <w:left w:val="single" w:sz="4" w:space="0" w:color="000000"/>
              <w:right w:val="single" w:sz="4" w:space="0" w:color="000000"/>
            </w:tcBorders>
            <w:shd w:val="clear" w:color="auto" w:fill="D2D2D2"/>
          </w:tcPr>
          <w:p>
            <w:pPr/>
          </w:p>
        </w:tc>
        <w:tc>
          <w:tcPr>
            <w:tcW w:w="1241" w:type="dxa"/>
            <w:vMerge w:val="restart"/>
            <w:tcBorders>
              <w:top w:val="single" w:sz="4" w:space="0" w:color="000000"/>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376" w:type="dxa"/>
            <w:vMerge/>
            <w:tcBorders>
              <w:left w:val="single" w:sz="4" w:space="0" w:color="000000"/>
              <w:right w:val="single" w:sz="4" w:space="0" w:color="000000"/>
            </w:tcBorders>
            <w:shd w:val="clear" w:color="auto" w:fill="D2D2D2"/>
          </w:tcPr>
          <w:p>
            <w:pPr/>
          </w:p>
        </w:tc>
      </w:tr>
      <w:tr>
        <w:trPr>
          <w:trHeight w:val="90" w:hRule="exact"/>
        </w:trPr>
        <w:tc>
          <w:tcPr>
            <w:tcW w:w="15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2" w:type="dxa"/>
            <w:vMerge/>
            <w:tcBorders>
              <w:left w:val="single" w:sz="4" w:space="0" w:color="000000"/>
              <w:right w:val="single" w:sz="4" w:space="0" w:color="000000"/>
            </w:tcBorders>
            <w:shd w:val="clear" w:color="auto" w:fill="D2D2D2"/>
          </w:tcPr>
          <w:p>
            <w:pPr/>
          </w:p>
        </w:tc>
        <w:tc>
          <w:tcPr>
            <w:tcW w:w="1891" w:type="dxa"/>
            <w:gridSpan w:val="3"/>
            <w:vMerge/>
            <w:tcBorders>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1045" w:type="dxa"/>
            <w:vMerge/>
            <w:tcBorders>
              <w:left w:val="single" w:sz="4" w:space="0" w:color="000000"/>
              <w:right w:val="single" w:sz="4" w:space="0" w:color="000000"/>
            </w:tcBorders>
            <w:shd w:val="clear" w:color="auto" w:fill="D2D2D2"/>
          </w:tcPr>
          <w:p>
            <w:pPr/>
          </w:p>
        </w:tc>
        <w:tc>
          <w:tcPr>
            <w:tcW w:w="415"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535" w:type="dxa"/>
            <w:vMerge/>
            <w:tcBorders>
              <w:left w:val="single" w:sz="4" w:space="0" w:color="000000"/>
              <w:bottom w:val="nil" w:sz="6" w:space="0" w:color="auto"/>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376" w:type="dxa"/>
            <w:vMerge/>
            <w:tcBorders>
              <w:left w:val="single" w:sz="4" w:space="0" w:color="000000"/>
              <w:right w:val="single" w:sz="4" w:space="0" w:color="000000"/>
            </w:tcBorders>
            <w:shd w:val="clear" w:color="auto" w:fill="D2D2D2"/>
          </w:tcPr>
          <w:p>
            <w:pPr/>
          </w:p>
        </w:tc>
      </w:tr>
      <w:tr>
        <w:trPr>
          <w:trHeight w:val="133" w:hRule="exact"/>
        </w:trPr>
        <w:tc>
          <w:tcPr>
            <w:tcW w:w="1582" w:type="dxa"/>
            <w:vMerge/>
            <w:tcBorders>
              <w:left w:val="single" w:sz="4" w:space="0" w:color="000000"/>
              <w:right w:val="single" w:sz="4" w:space="0" w:color="000000"/>
            </w:tcBorders>
            <w:shd w:val="clear" w:color="auto" w:fill="D2D2D2"/>
          </w:tcPr>
          <w:p>
            <w:pPr/>
          </w:p>
        </w:tc>
        <w:tc>
          <w:tcPr>
            <w:tcW w:w="1192" w:type="dxa"/>
            <w:vMerge/>
            <w:tcBorders>
              <w:left w:val="single" w:sz="4" w:space="0" w:color="000000"/>
              <w:right w:val="single" w:sz="4" w:space="0" w:color="000000"/>
            </w:tcBorders>
            <w:shd w:val="clear" w:color="auto" w:fill="D2D2D2"/>
          </w:tcPr>
          <w:p>
            <w:pPr/>
          </w:p>
        </w:tc>
        <w:tc>
          <w:tcPr>
            <w:tcW w:w="1891" w:type="dxa"/>
            <w:gridSpan w:val="3"/>
            <w:vMerge/>
            <w:tcBorders>
              <w:left w:val="single" w:sz="4" w:space="0" w:color="000000"/>
              <w:bottom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1045" w:type="dxa"/>
            <w:vMerge/>
            <w:tcBorders>
              <w:left w:val="single" w:sz="4" w:space="0" w:color="000000"/>
              <w:bottom w:val="nil" w:sz="6" w:space="0" w:color="auto"/>
              <w:right w:val="single" w:sz="4" w:space="0" w:color="000000"/>
            </w:tcBorders>
            <w:shd w:val="clear" w:color="auto" w:fill="D2D2D2"/>
          </w:tcPr>
          <w:p>
            <w:pPr/>
          </w:p>
        </w:tc>
        <w:tc>
          <w:tcPr>
            <w:tcW w:w="415"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5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1"/>
              <w:ind w:left="81" w:right="8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241"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1376" w:type="dxa"/>
            <w:vMerge/>
            <w:tcBorders>
              <w:left w:val="single" w:sz="4" w:space="0" w:color="000000"/>
              <w:bottom w:val="nil" w:sz="6" w:space="0" w:color="auto"/>
              <w:right w:val="single" w:sz="4" w:space="0" w:color="000000"/>
            </w:tcBorders>
            <w:shd w:val="clear" w:color="auto" w:fill="D2D2D2"/>
          </w:tcPr>
          <w:p>
            <w:pPr/>
          </w:p>
        </w:tc>
      </w:tr>
      <w:tr>
        <w:trPr>
          <w:trHeight w:val="145" w:hRule="exact"/>
        </w:trPr>
        <w:tc>
          <w:tcPr>
            <w:tcW w:w="1582" w:type="dxa"/>
            <w:vMerge/>
            <w:tcBorders>
              <w:left w:val="single" w:sz="4" w:space="0" w:color="000000"/>
              <w:bottom w:val="single" w:sz="4" w:space="0" w:color="FFFFFF"/>
              <w:right w:val="single" w:sz="4" w:space="0" w:color="000000"/>
            </w:tcBorders>
            <w:shd w:val="clear" w:color="auto" w:fill="D2D2D2"/>
          </w:tcPr>
          <w:p>
            <w:pPr/>
          </w:p>
        </w:tc>
        <w:tc>
          <w:tcPr>
            <w:tcW w:w="1192" w:type="dxa"/>
            <w:vMerge/>
            <w:tcBorders>
              <w:left w:val="single" w:sz="4" w:space="0" w:color="000000"/>
              <w:bottom w:val="single" w:sz="4" w:space="0" w:color="FFFFFF"/>
              <w:right w:val="single" w:sz="4" w:space="0" w:color="000000"/>
            </w:tcBorders>
            <w:shd w:val="clear" w:color="auto" w:fill="D2D2D2"/>
          </w:tcPr>
          <w:p>
            <w:pPr/>
          </w:p>
        </w:tc>
        <w:tc>
          <w:tcPr>
            <w:tcW w:w="35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2"/>
              <w:ind w:left="82" w:right="80"/>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5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2"/>
              <w:ind w:left="81" w:right="83"/>
              <w:jc w:val="both"/>
              <w:rPr>
                <w:rFonts w:ascii="宋体" w:hAnsi="宋体" w:cs="宋体" w:eastAsia="宋体" w:hint="default"/>
                <w:sz w:val="18"/>
                <w:szCs w:val="18"/>
              </w:rPr>
            </w:pPr>
            <w:r>
              <w:rPr>
                <w:rFonts w:ascii="宋体" w:hAnsi="宋体" w:cs="宋体" w:eastAsia="宋体" w:hint="default"/>
                <w:sz w:val="18"/>
                <w:szCs w:val="18"/>
              </w:rPr>
              <w:t>永 续 债</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1152" w:type="dxa"/>
            <w:vMerge/>
            <w:tcBorders>
              <w:left w:val="single" w:sz="4" w:space="0" w:color="000000"/>
              <w:bottom w:val="nil" w:sz="6" w:space="0" w:color="auto"/>
              <w:right w:val="single" w:sz="4" w:space="0" w:color="000000"/>
            </w:tcBorders>
            <w:shd w:val="clear" w:color="auto" w:fill="D2D2D2"/>
          </w:tcPr>
          <w:p>
            <w:pPr/>
          </w:p>
        </w:tc>
        <w:tc>
          <w:tcPr>
            <w:tcW w:w="104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2"/>
              <w:ind w:left="427" w:right="66"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415"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535"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8"/>
              <w:ind w:left="7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8"/>
              <w:ind w:left="5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6" w:hRule="exact"/>
        </w:trPr>
        <w:tc>
          <w:tcPr>
            <w:tcW w:w="1582" w:type="dxa"/>
            <w:vMerge w:val="restart"/>
            <w:tcBorders>
              <w:top w:val="single" w:sz="4" w:space="0" w:color="FFFFFF"/>
              <w:left w:val="single" w:sz="4" w:space="0" w:color="000000"/>
              <w:right w:val="single" w:sz="4" w:space="0" w:color="000000"/>
            </w:tcBorders>
            <w:shd w:val="clear" w:color="auto" w:fill="D2D2D2"/>
          </w:tcPr>
          <w:p>
            <w:pPr/>
          </w:p>
        </w:tc>
        <w:tc>
          <w:tcPr>
            <w:tcW w:w="119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8"/>
              <w:ind w:left="13"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355" w:type="dxa"/>
            <w:vMerge/>
            <w:tcBorders>
              <w:left w:val="single" w:sz="4" w:space="0" w:color="000000"/>
              <w:right w:val="single" w:sz="4" w:space="0" w:color="000000"/>
            </w:tcBorders>
            <w:shd w:val="clear" w:color="auto" w:fill="D2D2D2"/>
          </w:tcPr>
          <w:p>
            <w:pPr/>
          </w:p>
        </w:tc>
        <w:tc>
          <w:tcPr>
            <w:tcW w:w="355"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left="25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left="12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45" w:type="dxa"/>
            <w:vMerge/>
            <w:tcBorders>
              <w:left w:val="single" w:sz="4" w:space="0" w:color="000000"/>
              <w:right w:val="single" w:sz="4" w:space="0" w:color="000000"/>
            </w:tcBorders>
            <w:shd w:val="clear" w:color="auto" w:fill="D2D2D2"/>
          </w:tcPr>
          <w:p>
            <w:pPr/>
          </w:p>
        </w:tc>
        <w:tc>
          <w:tcPr>
            <w:tcW w:w="415"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35" w:type="dxa"/>
            <w:vMerge/>
            <w:tcBorders>
              <w:left w:val="single" w:sz="4" w:space="0" w:color="000000"/>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6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41" w:type="dxa"/>
            <w:vMerge/>
            <w:tcBorders>
              <w:left w:val="single" w:sz="4" w:space="0" w:color="000000"/>
              <w:bottom w:val="nil" w:sz="6" w:space="0" w:color="auto"/>
              <w:right w:val="single" w:sz="4" w:space="0" w:color="000000"/>
            </w:tcBorders>
            <w:shd w:val="clear" w:color="auto" w:fill="D2D2D2"/>
          </w:tcPr>
          <w:p>
            <w:pPr/>
          </w:p>
        </w:tc>
        <w:tc>
          <w:tcPr>
            <w:tcW w:w="1376" w:type="dxa"/>
            <w:vMerge/>
            <w:tcBorders>
              <w:left w:val="single" w:sz="4" w:space="0" w:color="000000"/>
              <w:bottom w:val="nil" w:sz="6" w:space="0" w:color="auto"/>
              <w:right w:val="single" w:sz="4" w:space="0" w:color="000000"/>
            </w:tcBorders>
            <w:shd w:val="clear" w:color="auto" w:fill="D2D2D2"/>
          </w:tcPr>
          <w:p>
            <w:pPr/>
          </w:p>
        </w:tc>
      </w:tr>
      <w:tr>
        <w:trPr>
          <w:trHeight w:val="196" w:hRule="exact"/>
        </w:trPr>
        <w:tc>
          <w:tcPr>
            <w:tcW w:w="1582" w:type="dxa"/>
            <w:vMerge/>
            <w:tcBorders>
              <w:left w:val="single" w:sz="4" w:space="0" w:color="000000"/>
              <w:right w:val="single" w:sz="4" w:space="0" w:color="000000"/>
            </w:tcBorders>
            <w:shd w:val="clear" w:color="auto" w:fill="D2D2D2"/>
          </w:tcPr>
          <w:p>
            <w:pPr/>
          </w:p>
        </w:tc>
        <w:tc>
          <w:tcPr>
            <w:tcW w:w="1192" w:type="dxa"/>
            <w:vMerge/>
            <w:tcBorders>
              <w:left w:val="single" w:sz="4" w:space="0" w:color="000000"/>
              <w:bottom w:val="nil" w:sz="6" w:space="0" w:color="auto"/>
              <w:right w:val="single" w:sz="4" w:space="0" w:color="000000"/>
            </w:tcBorders>
            <w:shd w:val="clear" w:color="auto" w:fill="D2D2D2"/>
          </w:tcPr>
          <w:p>
            <w:pPr/>
          </w:p>
        </w:tc>
        <w:tc>
          <w:tcPr>
            <w:tcW w:w="355" w:type="dxa"/>
            <w:vMerge/>
            <w:tcBorders>
              <w:left w:val="single" w:sz="4" w:space="0" w:color="000000"/>
              <w:right w:val="single" w:sz="4" w:space="0" w:color="000000"/>
            </w:tcBorders>
            <w:shd w:val="clear" w:color="auto" w:fill="D2D2D2"/>
          </w:tcPr>
          <w:p>
            <w:pPr/>
          </w:p>
        </w:tc>
        <w:tc>
          <w:tcPr>
            <w:tcW w:w="355"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41" w:type="dxa"/>
            <w:vMerge/>
            <w:tcBorders>
              <w:left w:val="single" w:sz="4" w:space="0" w:color="000000"/>
              <w:bottom w:val="nil" w:sz="6" w:space="0" w:color="auto"/>
              <w:right w:val="single" w:sz="4" w:space="0" w:color="000000"/>
            </w:tcBorders>
            <w:shd w:val="clear" w:color="auto" w:fill="D2D2D2"/>
          </w:tcPr>
          <w:p>
            <w:pPr/>
          </w:p>
        </w:tc>
        <w:tc>
          <w:tcPr>
            <w:tcW w:w="1152" w:type="dxa"/>
            <w:vMerge/>
            <w:tcBorders>
              <w:left w:val="single" w:sz="4" w:space="0" w:color="000000"/>
              <w:bottom w:val="nil" w:sz="6" w:space="0" w:color="auto"/>
              <w:right w:val="single" w:sz="4" w:space="0" w:color="000000"/>
            </w:tcBorders>
            <w:shd w:val="clear" w:color="auto" w:fill="D2D2D2"/>
          </w:tcPr>
          <w:p>
            <w:pPr/>
          </w:p>
        </w:tc>
        <w:tc>
          <w:tcPr>
            <w:tcW w:w="1045" w:type="dxa"/>
            <w:vMerge/>
            <w:tcBorders>
              <w:left w:val="single" w:sz="4" w:space="0" w:color="000000"/>
              <w:right w:val="single" w:sz="4" w:space="0" w:color="000000"/>
            </w:tcBorders>
            <w:shd w:val="clear" w:color="auto" w:fill="D2D2D2"/>
          </w:tcPr>
          <w:p>
            <w:pPr/>
          </w:p>
        </w:tc>
        <w:tc>
          <w:tcPr>
            <w:tcW w:w="415"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535"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
        </w:tc>
        <w:tc>
          <w:tcPr>
            <w:tcW w:w="1376" w:type="dxa"/>
            <w:vMerge w:val="restart"/>
            <w:tcBorders>
              <w:top w:val="nil" w:sz="6" w:space="0" w:color="auto"/>
              <w:left w:val="single" w:sz="4" w:space="0" w:color="000000"/>
              <w:right w:val="single" w:sz="4" w:space="0" w:color="000000"/>
            </w:tcBorders>
            <w:shd w:val="clear" w:color="auto" w:fill="D2D2D2"/>
          </w:tcPr>
          <w:p>
            <w:pPr/>
          </w:p>
        </w:tc>
      </w:tr>
      <w:tr>
        <w:trPr>
          <w:trHeight w:val="179" w:hRule="exact"/>
        </w:trPr>
        <w:tc>
          <w:tcPr>
            <w:tcW w:w="1582" w:type="dxa"/>
            <w:vMerge/>
            <w:tcBorders>
              <w:left w:val="single" w:sz="4" w:space="0" w:color="000000"/>
              <w:right w:val="single" w:sz="4" w:space="0" w:color="000000"/>
            </w:tcBorders>
            <w:shd w:val="clear" w:color="auto" w:fill="D2D2D2"/>
          </w:tcPr>
          <w:p>
            <w:pPr/>
          </w:p>
        </w:tc>
        <w:tc>
          <w:tcPr>
            <w:tcW w:w="1192" w:type="dxa"/>
            <w:vMerge w:val="restart"/>
            <w:tcBorders>
              <w:top w:val="nil" w:sz="6" w:space="0" w:color="auto"/>
              <w:left w:val="single" w:sz="4" w:space="0" w:color="000000"/>
              <w:right w:val="single" w:sz="4" w:space="0" w:color="000000"/>
            </w:tcBorders>
            <w:shd w:val="clear" w:color="auto" w:fill="D2D2D2"/>
          </w:tcPr>
          <w:p>
            <w:pPr/>
          </w:p>
        </w:tc>
        <w:tc>
          <w:tcPr>
            <w:tcW w:w="355" w:type="dxa"/>
            <w:vMerge/>
            <w:tcBorders>
              <w:left w:val="single" w:sz="4" w:space="0" w:color="000000"/>
              <w:right w:val="single" w:sz="4" w:space="0" w:color="000000"/>
            </w:tcBorders>
            <w:shd w:val="clear" w:color="auto" w:fill="D2D2D2"/>
          </w:tcPr>
          <w:p>
            <w:pPr/>
          </w:p>
        </w:tc>
        <w:tc>
          <w:tcPr>
            <w:tcW w:w="355"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
        </w:tc>
        <w:tc>
          <w:tcPr>
            <w:tcW w:w="1152" w:type="dxa"/>
            <w:vMerge w:val="restart"/>
            <w:tcBorders>
              <w:top w:val="nil" w:sz="6" w:space="0" w:color="auto"/>
              <w:left w:val="single" w:sz="4" w:space="0" w:color="000000"/>
              <w:right w:val="single" w:sz="4" w:space="0" w:color="000000"/>
            </w:tcBorders>
            <w:shd w:val="clear" w:color="auto" w:fill="D2D2D2"/>
          </w:tcPr>
          <w:p>
            <w:pPr/>
          </w:p>
        </w:tc>
        <w:tc>
          <w:tcPr>
            <w:tcW w:w="1045" w:type="dxa"/>
            <w:vMerge/>
            <w:tcBorders>
              <w:left w:val="single" w:sz="4" w:space="0" w:color="000000"/>
              <w:bottom w:val="nil" w:sz="6" w:space="0" w:color="auto"/>
              <w:right w:val="single" w:sz="4" w:space="0" w:color="000000"/>
            </w:tcBorders>
            <w:shd w:val="clear" w:color="auto" w:fill="D2D2D2"/>
          </w:tcPr>
          <w:p>
            <w:pPr/>
          </w:p>
        </w:tc>
        <w:tc>
          <w:tcPr>
            <w:tcW w:w="415"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c>
          <w:tcPr>
            <w:tcW w:w="535" w:type="dxa"/>
            <w:vMerge/>
            <w:tcBorders>
              <w:left w:val="single" w:sz="4" w:space="0" w:color="000000"/>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376" w:type="dxa"/>
            <w:vMerge/>
            <w:tcBorders>
              <w:left w:val="single" w:sz="4" w:space="0" w:color="000000"/>
              <w:right w:val="single" w:sz="4" w:space="0" w:color="000000"/>
            </w:tcBorders>
            <w:shd w:val="clear" w:color="auto" w:fill="D2D2D2"/>
          </w:tcPr>
          <w:p>
            <w:pPr/>
          </w:p>
        </w:tc>
      </w:tr>
      <w:tr>
        <w:trPr>
          <w:trHeight w:val="133" w:hRule="exact"/>
        </w:trPr>
        <w:tc>
          <w:tcPr>
            <w:tcW w:w="1582" w:type="dxa"/>
            <w:vMerge/>
            <w:tcBorders>
              <w:left w:val="single" w:sz="4" w:space="0" w:color="000000"/>
              <w:right w:val="single" w:sz="4" w:space="0" w:color="000000"/>
            </w:tcBorders>
            <w:shd w:val="clear" w:color="auto" w:fill="D2D2D2"/>
          </w:tcPr>
          <w:p>
            <w:pPr/>
          </w:p>
        </w:tc>
        <w:tc>
          <w:tcPr>
            <w:tcW w:w="1192" w:type="dxa"/>
            <w:vMerge/>
            <w:tcBorders>
              <w:left w:val="single" w:sz="4" w:space="0" w:color="000000"/>
              <w:right w:val="single" w:sz="4" w:space="0" w:color="000000"/>
            </w:tcBorders>
            <w:shd w:val="clear" w:color="auto" w:fill="D2D2D2"/>
          </w:tcPr>
          <w:p>
            <w:pPr/>
          </w:p>
        </w:tc>
        <w:tc>
          <w:tcPr>
            <w:tcW w:w="355" w:type="dxa"/>
            <w:vMerge/>
            <w:tcBorders>
              <w:left w:val="single" w:sz="4" w:space="0" w:color="000000"/>
              <w:right w:val="single" w:sz="4" w:space="0" w:color="000000"/>
            </w:tcBorders>
            <w:shd w:val="clear" w:color="auto" w:fill="D2D2D2"/>
          </w:tcPr>
          <w:p>
            <w:pPr/>
          </w:p>
        </w:tc>
        <w:tc>
          <w:tcPr>
            <w:tcW w:w="355"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1045" w:type="dxa"/>
            <w:vMerge w:val="restart"/>
            <w:tcBorders>
              <w:top w:val="nil" w:sz="6" w:space="0" w:color="auto"/>
              <w:left w:val="single" w:sz="4" w:space="0" w:color="000000"/>
              <w:right w:val="single" w:sz="4" w:space="0" w:color="000000"/>
            </w:tcBorders>
            <w:shd w:val="clear" w:color="auto" w:fill="D2D2D2"/>
          </w:tcPr>
          <w:p>
            <w:pPr/>
          </w:p>
        </w:tc>
        <w:tc>
          <w:tcPr>
            <w:tcW w:w="415"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535" w:type="dxa"/>
            <w:vMerge/>
            <w:tcBorders>
              <w:left w:val="single" w:sz="4" w:space="0" w:color="000000"/>
              <w:bottom w:val="nil" w:sz="6" w:space="0" w:color="auto"/>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376" w:type="dxa"/>
            <w:vMerge/>
            <w:tcBorders>
              <w:left w:val="single" w:sz="4" w:space="0" w:color="000000"/>
              <w:right w:val="single" w:sz="4" w:space="0" w:color="000000"/>
            </w:tcBorders>
            <w:shd w:val="clear" w:color="auto" w:fill="D2D2D2"/>
          </w:tcPr>
          <w:p>
            <w:pPr/>
          </w:p>
        </w:tc>
      </w:tr>
      <w:tr>
        <w:trPr>
          <w:trHeight w:val="206" w:hRule="exact"/>
        </w:trPr>
        <w:tc>
          <w:tcPr>
            <w:tcW w:w="1582" w:type="dxa"/>
            <w:vMerge/>
            <w:tcBorders>
              <w:left w:val="single" w:sz="4" w:space="0" w:color="000000"/>
              <w:bottom w:val="single" w:sz="4" w:space="0" w:color="000000"/>
              <w:right w:val="single" w:sz="4" w:space="0" w:color="000000"/>
            </w:tcBorders>
            <w:shd w:val="clear" w:color="auto" w:fill="D2D2D2"/>
          </w:tcPr>
          <w:p>
            <w:pPr/>
          </w:p>
        </w:tc>
        <w:tc>
          <w:tcPr>
            <w:tcW w:w="1192" w:type="dxa"/>
            <w:vMerge/>
            <w:tcBorders>
              <w:left w:val="single" w:sz="4" w:space="0" w:color="000000"/>
              <w:bottom w:val="single" w:sz="4" w:space="0" w:color="000000"/>
              <w:right w:val="single" w:sz="4" w:space="0" w:color="000000"/>
            </w:tcBorders>
            <w:shd w:val="clear" w:color="auto" w:fill="D2D2D2"/>
          </w:tcPr>
          <w:p>
            <w:pPr/>
          </w:p>
        </w:tc>
        <w:tc>
          <w:tcPr>
            <w:tcW w:w="355" w:type="dxa"/>
            <w:vMerge/>
            <w:tcBorders>
              <w:left w:val="single" w:sz="4" w:space="0" w:color="000000"/>
              <w:bottom w:val="single" w:sz="4" w:space="0" w:color="000000"/>
              <w:right w:val="single" w:sz="4" w:space="0" w:color="000000"/>
            </w:tcBorders>
            <w:shd w:val="clear" w:color="auto" w:fill="D2D2D2"/>
          </w:tcPr>
          <w:p>
            <w:pPr/>
          </w:p>
        </w:tc>
        <w:tc>
          <w:tcPr>
            <w:tcW w:w="355"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241"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1045" w:type="dxa"/>
            <w:vMerge/>
            <w:tcBorders>
              <w:left w:val="single" w:sz="4" w:space="0" w:color="000000"/>
              <w:bottom w:val="single" w:sz="4" w:space="0" w:color="000000"/>
              <w:right w:val="single" w:sz="4" w:space="0" w:color="000000"/>
            </w:tcBorders>
            <w:shd w:val="clear" w:color="auto" w:fill="D2D2D2"/>
          </w:tcPr>
          <w:p>
            <w:pPr/>
          </w:p>
        </w:tc>
        <w:tc>
          <w:tcPr>
            <w:tcW w:w="415"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5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41" w:type="dxa"/>
            <w:vMerge/>
            <w:tcBorders>
              <w:left w:val="single" w:sz="4" w:space="0" w:color="000000"/>
              <w:bottom w:val="single" w:sz="4" w:space="0" w:color="000000"/>
              <w:right w:val="single" w:sz="4" w:space="0" w:color="000000"/>
            </w:tcBorders>
            <w:shd w:val="clear" w:color="auto" w:fill="D2D2D2"/>
          </w:tcPr>
          <w:p>
            <w:pPr/>
          </w:p>
        </w:tc>
        <w:tc>
          <w:tcPr>
            <w:tcW w:w="1241" w:type="dxa"/>
            <w:vMerge/>
            <w:tcBorders>
              <w:left w:val="single" w:sz="4" w:space="0" w:color="000000"/>
              <w:bottom w:val="single" w:sz="4" w:space="0" w:color="000000"/>
              <w:right w:val="single" w:sz="4" w:space="0" w:color="000000"/>
            </w:tcBorders>
            <w:shd w:val="clear" w:color="auto" w:fill="D2D2D2"/>
          </w:tcPr>
          <w:p>
            <w:pPr/>
          </w:p>
        </w:tc>
        <w:tc>
          <w:tcPr>
            <w:tcW w:w="137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710,727,417.00</w:t>
            </w:r>
          </w:p>
        </w:tc>
        <w:tc>
          <w:tcPr>
            <w:tcW w:w="35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154,607,862.97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891,956,409.25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2" w:right="0"/>
              <w:jc w:val="center"/>
              <w:rPr>
                <w:rFonts w:ascii="Times New Roman" w:hAnsi="Times New Roman" w:cs="Times New Roman" w:eastAsia="Times New Roman" w:hint="default"/>
                <w:sz w:val="18"/>
                <w:szCs w:val="18"/>
              </w:rPr>
            </w:pPr>
            <w:r>
              <w:rPr>
                <w:rFonts w:ascii="Times New Roman"/>
                <w:sz w:val="18"/>
              </w:rPr>
              <w:t>43,131,880.00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w w:val="95"/>
                <w:sz w:val="18"/>
              </w:rPr>
              <w:t>-989,779.34</w:t>
            </w:r>
            <w:r>
              <w:rPr>
                <w:rFonts w:ascii="Times New Roman"/>
                <w:sz w:val="18"/>
              </w:rPr>
            </w:r>
          </w:p>
        </w:tc>
        <w:tc>
          <w:tcPr>
            <w:tcW w:w="415" w:type="dxa"/>
            <w:tcBorders>
              <w:top w:val="single" w:sz="18" w:space="0" w:color="D2D2D2"/>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72,495,704.44</w:t>
            </w:r>
          </w:p>
        </w:tc>
        <w:tc>
          <w:tcPr>
            <w:tcW w:w="535"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1" w:right="0"/>
              <w:jc w:val="center"/>
              <w:rPr>
                <w:rFonts w:ascii="Times New Roman" w:hAnsi="Times New Roman" w:cs="Times New Roman" w:eastAsia="Times New Roman" w:hint="default"/>
                <w:sz w:val="18"/>
                <w:szCs w:val="18"/>
              </w:rPr>
            </w:pPr>
            <w:r>
              <w:rPr>
                <w:rFonts w:ascii="Times New Roman"/>
                <w:sz w:val="18"/>
              </w:rPr>
              <w:t>828,390,827.75</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149,805,020.31</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2,763,861,582.38</w:t>
            </w:r>
          </w:p>
        </w:tc>
      </w:tr>
      <w:tr>
        <w:trPr>
          <w:trHeight w:val="71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pacing w:val="-11"/>
                <w:sz w:val="18"/>
                <w:szCs w:val="18"/>
              </w:rPr>
              <w:t>加：会计政策变</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192" w:type="dxa"/>
            <w:tcBorders>
              <w:top w:val="single" w:sz="4" w:space="0" w:color="000000"/>
              <w:left w:val="single" w:sz="13" w:space="0" w:color="D2D2D2"/>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31"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192" w:type="dxa"/>
            <w:tcBorders>
              <w:top w:val="single" w:sz="4" w:space="0" w:color="000000"/>
              <w:left w:val="single" w:sz="13" w:space="0" w:color="D2D2D2"/>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1"/>
              <w:ind w:left="11" w:right="120" w:firstLine="720"/>
              <w:jc w:val="left"/>
              <w:rPr>
                <w:rFonts w:ascii="宋体" w:hAnsi="宋体" w:cs="宋体" w:eastAsia="宋体" w:hint="default"/>
                <w:sz w:val="18"/>
                <w:szCs w:val="18"/>
              </w:rPr>
            </w:pPr>
            <w:r>
              <w:rPr>
                <w:rFonts w:ascii="宋体" w:hAnsi="宋体" w:cs="宋体" w:eastAsia="宋体" w:hint="default"/>
                <w:sz w:val="18"/>
                <w:szCs w:val="18"/>
              </w:rPr>
              <w:t>同一控制 下企业合并</w:t>
            </w:r>
          </w:p>
        </w:tc>
        <w:tc>
          <w:tcPr>
            <w:tcW w:w="1192" w:type="dxa"/>
            <w:tcBorders>
              <w:top w:val="single" w:sz="4" w:space="0" w:color="000000"/>
              <w:left w:val="single" w:sz="13" w:space="0" w:color="D2D2D2"/>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2" w:type="dxa"/>
            <w:tcBorders>
              <w:top w:val="single" w:sz="4" w:space="0" w:color="000000"/>
              <w:left w:val="single" w:sz="13" w:space="0" w:color="D2D2D2"/>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710,727,417.00</w:t>
            </w:r>
          </w:p>
        </w:tc>
        <w:tc>
          <w:tcPr>
            <w:tcW w:w="35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154,607,862.97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891,956,409.25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2" w:right="0"/>
              <w:jc w:val="center"/>
              <w:rPr>
                <w:rFonts w:ascii="Times New Roman" w:hAnsi="Times New Roman" w:cs="Times New Roman" w:eastAsia="Times New Roman" w:hint="default"/>
                <w:sz w:val="18"/>
                <w:szCs w:val="18"/>
              </w:rPr>
            </w:pPr>
            <w:r>
              <w:rPr>
                <w:rFonts w:ascii="Times New Roman"/>
                <w:sz w:val="18"/>
              </w:rPr>
              <w:t>43,131,880.00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w w:val="95"/>
                <w:sz w:val="18"/>
              </w:rPr>
              <w:t>-989,779.34</w:t>
            </w:r>
            <w:r>
              <w:rPr>
                <w:rFonts w:ascii="Times New Roman"/>
                <w:sz w:val="18"/>
              </w:rPr>
            </w:r>
          </w:p>
        </w:tc>
        <w:tc>
          <w:tcPr>
            <w:tcW w:w="4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72,495,704.44</w:t>
            </w:r>
          </w:p>
        </w:tc>
        <w:tc>
          <w:tcPr>
            <w:tcW w:w="535"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1" w:right="0"/>
              <w:jc w:val="center"/>
              <w:rPr>
                <w:rFonts w:ascii="Times New Roman" w:hAnsi="Times New Roman" w:cs="Times New Roman" w:eastAsia="Times New Roman" w:hint="default"/>
                <w:sz w:val="18"/>
                <w:szCs w:val="18"/>
              </w:rPr>
            </w:pPr>
            <w:r>
              <w:rPr>
                <w:rFonts w:ascii="Times New Roman"/>
                <w:sz w:val="18"/>
              </w:rPr>
              <w:t>828,390,827.75</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149,805,020.31</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2,763,861,582.38</w:t>
            </w:r>
          </w:p>
        </w:tc>
      </w:tr>
      <w:tr>
        <w:trPr>
          <w:trHeight w:val="1026"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6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三、本期增减变动金</w:t>
            </w:r>
            <w:r>
              <w:rPr>
                <w:rFonts w:ascii="宋体" w:hAnsi="宋体" w:cs="宋体" w:eastAsia="宋体" w:hint="default"/>
                <w:sz w:val="18"/>
                <w:szCs w:val="18"/>
              </w:rPr>
              <w:t> </w:t>
            </w:r>
            <w:r>
              <w:rPr>
                <w:rFonts w:ascii="宋体" w:hAnsi="宋体" w:cs="宋体" w:eastAsia="宋体" w:hint="default"/>
                <w:spacing w:val="-6"/>
                <w:sz w:val="18"/>
                <w:szCs w:val="18"/>
              </w:rPr>
              <w:t>额（减少以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w:t>
            </w:r>
            <w:r>
              <w:rPr>
                <w:rFonts w:ascii="宋体" w:hAnsi="宋体" w:cs="宋体" w:eastAsia="宋体" w:hint="default"/>
                <w:spacing w:val="-82"/>
                <w:sz w:val="18"/>
                <w:szCs w:val="18"/>
              </w:rPr>
              <w:t> </w:t>
            </w:r>
            <w:r>
              <w:rPr>
                <w:rFonts w:ascii="宋体" w:hAnsi="宋体" w:cs="宋体" w:eastAsia="宋体" w:hint="default"/>
                <w:sz w:val="18"/>
                <w:szCs w:val="18"/>
              </w:rPr>
              <w:t>列）</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499,161.00</w:t>
            </w:r>
          </w:p>
        </w:tc>
        <w:tc>
          <w:tcPr>
            <w:tcW w:w="35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-20,038.72</w:t>
            </w:r>
            <w:r>
              <w:rPr>
                <w:rFonts w:ascii="Times New Roman"/>
                <w:sz w:val="18"/>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-632,969,226.51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-13,257,856.00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1,781,644.37</w:t>
            </w:r>
          </w:p>
        </w:tc>
        <w:tc>
          <w:tcPr>
            <w:tcW w:w="4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5"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-862,777,414.92</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-117,064,375.46</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-1,597,292,394.24</w:t>
            </w:r>
          </w:p>
        </w:tc>
      </w:tr>
      <w:tr>
        <w:trPr>
          <w:trHeight w:val="402"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pacing w:val="-8"/>
                <w:sz w:val="18"/>
                <w:szCs w:val="18"/>
              </w:rPr>
              <w:t>（一）综合收益总额</w:t>
            </w:r>
          </w:p>
        </w:tc>
        <w:tc>
          <w:tcPr>
            <w:tcW w:w="1192" w:type="dxa"/>
            <w:tcBorders>
              <w:top w:val="single" w:sz="4" w:space="0" w:color="000000"/>
              <w:left w:val="single" w:sz="13" w:space="0" w:color="D2D2D2"/>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1,781,644.37</w:t>
            </w:r>
          </w:p>
        </w:tc>
        <w:tc>
          <w:tcPr>
            <w:tcW w:w="4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-841,464,317.58</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14,314,785.53</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-825,367,887.68</w:t>
            </w:r>
          </w:p>
        </w:tc>
      </w:tr>
      <w:tr>
        <w:trPr>
          <w:trHeight w:val="71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（二）所有者投入和</w:t>
            </w:r>
            <w:r>
              <w:rPr>
                <w:rFonts w:ascii="宋体" w:hAnsi="宋体" w:cs="宋体" w:eastAsia="宋体" w:hint="default"/>
                <w:sz w:val="18"/>
                <w:szCs w:val="18"/>
              </w:rPr>
              <w:t> 减少资本</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499,161.00</w:t>
            </w:r>
          </w:p>
        </w:tc>
        <w:tc>
          <w:tcPr>
            <w:tcW w:w="35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-20,038.72</w:t>
            </w:r>
            <w:r>
              <w:rPr>
                <w:rFonts w:ascii="Times New Roman"/>
                <w:sz w:val="18"/>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-632,969,226.51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-13,257,856.00</w:t>
            </w:r>
          </w:p>
        </w:tc>
        <w:tc>
          <w:tcPr>
            <w:tcW w:w="104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-130,714,160.99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-749,946,409.22</w:t>
            </w:r>
          </w:p>
        </w:tc>
      </w:tr>
      <w:tr>
        <w:trPr>
          <w:trHeight w:val="71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61"/>
              <w:ind w:left="11"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 通股</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790,000.00</w:t>
            </w:r>
          </w:p>
        </w:tc>
        <w:tc>
          <w:tcPr>
            <w:tcW w:w="35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3,160,000.00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8,280,000.00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12,230,000.00</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060" w:bottom="700" w:left="1300" w:right="1300"/>
        </w:sectPr>
      </w:pPr>
    </w:p>
    <w:p>
      <w:pPr>
        <w:spacing w:line="240" w:lineRule="auto" w:before="5"/>
        <w:rPr>
          <w:rFonts w:ascii="Times New Roman" w:hAnsi="Times New Roman" w:cs="Times New Roman" w:eastAsia="Times New Roman"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582"/>
        <w:gridCol w:w="1192"/>
        <w:gridCol w:w="355"/>
        <w:gridCol w:w="355"/>
        <w:gridCol w:w="1181"/>
        <w:gridCol w:w="1241"/>
        <w:gridCol w:w="1152"/>
        <w:gridCol w:w="1045"/>
        <w:gridCol w:w="415"/>
        <w:gridCol w:w="1091"/>
        <w:gridCol w:w="535"/>
        <w:gridCol w:w="1241"/>
        <w:gridCol w:w="1241"/>
        <w:gridCol w:w="1376"/>
      </w:tblGrid>
      <w:tr>
        <w:trPr>
          <w:trHeight w:val="416" w:hRule="exact"/>
        </w:trPr>
        <w:tc>
          <w:tcPr>
            <w:tcW w:w="1582" w:type="dxa"/>
            <w:vMerge w:val="restart"/>
            <w:tcBorders>
              <w:top w:val="single" w:sz="15" w:space="0" w:color="000000"/>
              <w:left w:val="single" w:sz="4" w:space="0" w:color="000000"/>
              <w:right w:val="single" w:sz="4" w:space="0" w:color="000000"/>
            </w:tcBorders>
            <w:shd w:val="clear" w:color="auto" w:fill="D2D2D2"/>
          </w:tcPr>
          <w:p>
            <w:pPr/>
          </w:p>
        </w:tc>
        <w:tc>
          <w:tcPr>
            <w:tcW w:w="12421" w:type="dxa"/>
            <w:gridSpan w:val="13"/>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98" w:hRule="exact"/>
        </w:trPr>
        <w:tc>
          <w:tcPr>
            <w:tcW w:w="1582" w:type="dxa"/>
            <w:vMerge/>
            <w:tcBorders>
              <w:left w:val="single" w:sz="4" w:space="0" w:color="000000"/>
              <w:right w:val="single" w:sz="4" w:space="0" w:color="000000"/>
            </w:tcBorders>
            <w:shd w:val="clear" w:color="auto" w:fill="D2D2D2"/>
          </w:tcPr>
          <w:p>
            <w:pPr/>
          </w:p>
        </w:tc>
        <w:tc>
          <w:tcPr>
            <w:tcW w:w="980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41" w:type="dxa"/>
            <w:vMerge w:val="restart"/>
            <w:tcBorders>
              <w:top w:val="single" w:sz="4" w:space="0" w:color="000000"/>
              <w:left w:val="single" w:sz="4" w:space="0" w:color="000000"/>
              <w:right w:val="single" w:sz="4" w:space="0" w:color="000000"/>
            </w:tcBorders>
            <w:shd w:val="clear" w:color="auto" w:fill="D2D2D2"/>
          </w:tcPr>
          <w:p>
            <w:pPr/>
          </w:p>
        </w:tc>
        <w:tc>
          <w:tcPr>
            <w:tcW w:w="1376"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1582" w:type="dxa"/>
            <w:vMerge/>
            <w:tcBorders>
              <w:left w:val="single" w:sz="4" w:space="0" w:color="000000"/>
              <w:bottom w:val="nil" w:sz="6" w:space="0" w:color="auto"/>
              <w:right w:val="single" w:sz="4" w:space="0" w:color="000000"/>
            </w:tcBorders>
            <w:shd w:val="clear" w:color="auto" w:fill="D2D2D2"/>
          </w:tcPr>
          <w:p>
            <w:pPr/>
          </w:p>
        </w:tc>
        <w:tc>
          <w:tcPr>
            <w:tcW w:w="1192" w:type="dxa"/>
            <w:vMerge w:val="restart"/>
            <w:tcBorders>
              <w:top w:val="single" w:sz="4" w:space="0" w:color="000000"/>
              <w:left w:val="single" w:sz="4" w:space="0" w:color="000000"/>
              <w:right w:val="single" w:sz="4" w:space="0" w:color="000000"/>
            </w:tcBorders>
            <w:shd w:val="clear" w:color="auto" w:fill="D2D2D2"/>
          </w:tcPr>
          <w:p>
            <w:pPr/>
          </w:p>
        </w:tc>
        <w:tc>
          <w:tcPr>
            <w:tcW w:w="189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40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41" w:type="dxa"/>
            <w:vMerge w:val="restart"/>
            <w:tcBorders>
              <w:top w:val="single" w:sz="4" w:space="0" w:color="000000"/>
              <w:left w:val="single" w:sz="4" w:space="0" w:color="000000"/>
              <w:right w:val="single" w:sz="4" w:space="0" w:color="000000"/>
            </w:tcBorders>
            <w:shd w:val="clear" w:color="auto" w:fill="D2D2D2"/>
          </w:tcPr>
          <w:p>
            <w:pPr/>
          </w:p>
        </w:tc>
        <w:tc>
          <w:tcPr>
            <w:tcW w:w="1152" w:type="dxa"/>
            <w:vMerge w:val="restart"/>
            <w:tcBorders>
              <w:top w:val="single" w:sz="4" w:space="0" w:color="000000"/>
              <w:left w:val="single" w:sz="4" w:space="0" w:color="000000"/>
              <w:right w:val="single" w:sz="4" w:space="0" w:color="000000"/>
            </w:tcBorders>
            <w:shd w:val="clear" w:color="auto" w:fill="D2D2D2"/>
          </w:tcPr>
          <w:p>
            <w:pPr/>
          </w:p>
        </w:tc>
        <w:tc>
          <w:tcPr>
            <w:tcW w:w="1045" w:type="dxa"/>
            <w:vMerge w:val="restart"/>
            <w:tcBorders>
              <w:top w:val="single" w:sz="4" w:space="0" w:color="000000"/>
              <w:left w:val="single" w:sz="4" w:space="0" w:color="000000"/>
              <w:right w:val="single" w:sz="4" w:space="0" w:color="000000"/>
            </w:tcBorders>
            <w:shd w:val="clear" w:color="auto" w:fill="D2D2D2"/>
          </w:tcPr>
          <w:p>
            <w:pPr/>
          </w:p>
        </w:tc>
        <w:tc>
          <w:tcPr>
            <w:tcW w:w="4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11"/>
              <w:ind w:left="112" w:right="110"/>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091" w:type="dxa"/>
            <w:vMerge w:val="restart"/>
            <w:tcBorders>
              <w:top w:val="single" w:sz="4" w:space="0" w:color="000000"/>
              <w:left w:val="single" w:sz="4" w:space="0" w:color="000000"/>
              <w:right w:val="single" w:sz="4" w:space="0" w:color="FFFFFF"/>
            </w:tcBorders>
            <w:shd w:val="clear" w:color="auto" w:fill="D2D2D2"/>
          </w:tcPr>
          <w:p>
            <w:pPr/>
          </w:p>
        </w:tc>
        <w:tc>
          <w:tcPr>
            <w:tcW w:w="535" w:type="dxa"/>
            <w:vMerge w:val="restart"/>
            <w:tcBorders>
              <w:top w:val="single" w:sz="4" w:space="0" w:color="000000"/>
              <w:left w:val="single" w:sz="4" w:space="0" w:color="FFFFFF"/>
              <w:right w:val="single" w:sz="4" w:space="0" w:color="000000"/>
            </w:tcBorders>
            <w:shd w:val="clear" w:color="auto" w:fill="D2D2D2"/>
          </w:tcPr>
          <w:p>
            <w:pPr/>
          </w:p>
        </w:tc>
        <w:tc>
          <w:tcPr>
            <w:tcW w:w="1241" w:type="dxa"/>
            <w:vMerge w:val="restart"/>
            <w:tcBorders>
              <w:top w:val="single" w:sz="4" w:space="0" w:color="000000"/>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376" w:type="dxa"/>
            <w:vMerge/>
            <w:tcBorders>
              <w:left w:val="single" w:sz="4" w:space="0" w:color="000000"/>
              <w:right w:val="single" w:sz="4" w:space="0" w:color="000000"/>
            </w:tcBorders>
            <w:shd w:val="clear" w:color="auto" w:fill="D2D2D2"/>
          </w:tcPr>
          <w:p>
            <w:pPr/>
          </w:p>
        </w:tc>
      </w:tr>
      <w:tr>
        <w:trPr>
          <w:trHeight w:val="90" w:hRule="exact"/>
        </w:trPr>
        <w:tc>
          <w:tcPr>
            <w:tcW w:w="15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2" w:type="dxa"/>
            <w:vMerge/>
            <w:tcBorders>
              <w:left w:val="single" w:sz="4" w:space="0" w:color="000000"/>
              <w:right w:val="single" w:sz="4" w:space="0" w:color="000000"/>
            </w:tcBorders>
            <w:shd w:val="clear" w:color="auto" w:fill="D2D2D2"/>
          </w:tcPr>
          <w:p>
            <w:pPr/>
          </w:p>
        </w:tc>
        <w:tc>
          <w:tcPr>
            <w:tcW w:w="1891" w:type="dxa"/>
            <w:gridSpan w:val="3"/>
            <w:vMerge/>
            <w:tcBorders>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1045" w:type="dxa"/>
            <w:vMerge/>
            <w:tcBorders>
              <w:left w:val="single" w:sz="4" w:space="0" w:color="000000"/>
              <w:right w:val="single" w:sz="4" w:space="0" w:color="000000"/>
            </w:tcBorders>
            <w:shd w:val="clear" w:color="auto" w:fill="D2D2D2"/>
          </w:tcPr>
          <w:p>
            <w:pPr/>
          </w:p>
        </w:tc>
        <w:tc>
          <w:tcPr>
            <w:tcW w:w="415"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FFFFFF"/>
            </w:tcBorders>
            <w:shd w:val="clear" w:color="auto" w:fill="D2D2D2"/>
          </w:tcPr>
          <w:p>
            <w:pPr/>
          </w:p>
        </w:tc>
        <w:tc>
          <w:tcPr>
            <w:tcW w:w="535" w:type="dxa"/>
            <w:vMerge/>
            <w:tcBorders>
              <w:left w:val="single" w:sz="4" w:space="0" w:color="FFFFFF"/>
              <w:bottom w:val="nil" w:sz="6" w:space="0" w:color="auto"/>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376" w:type="dxa"/>
            <w:vMerge/>
            <w:tcBorders>
              <w:left w:val="single" w:sz="4" w:space="0" w:color="000000"/>
              <w:right w:val="single" w:sz="4" w:space="0" w:color="000000"/>
            </w:tcBorders>
            <w:shd w:val="clear" w:color="auto" w:fill="D2D2D2"/>
          </w:tcPr>
          <w:p>
            <w:pPr/>
          </w:p>
        </w:tc>
      </w:tr>
      <w:tr>
        <w:trPr>
          <w:trHeight w:val="133" w:hRule="exact"/>
        </w:trPr>
        <w:tc>
          <w:tcPr>
            <w:tcW w:w="1582" w:type="dxa"/>
            <w:vMerge/>
            <w:tcBorders>
              <w:left w:val="single" w:sz="4" w:space="0" w:color="000000"/>
              <w:right w:val="single" w:sz="4" w:space="0" w:color="000000"/>
            </w:tcBorders>
            <w:shd w:val="clear" w:color="auto" w:fill="D2D2D2"/>
          </w:tcPr>
          <w:p>
            <w:pPr/>
          </w:p>
        </w:tc>
        <w:tc>
          <w:tcPr>
            <w:tcW w:w="1192" w:type="dxa"/>
            <w:vMerge/>
            <w:tcBorders>
              <w:left w:val="single" w:sz="4" w:space="0" w:color="000000"/>
              <w:right w:val="single" w:sz="4" w:space="0" w:color="000000"/>
            </w:tcBorders>
            <w:shd w:val="clear" w:color="auto" w:fill="D2D2D2"/>
          </w:tcPr>
          <w:p>
            <w:pPr/>
          </w:p>
        </w:tc>
        <w:tc>
          <w:tcPr>
            <w:tcW w:w="1891" w:type="dxa"/>
            <w:gridSpan w:val="3"/>
            <w:vMerge/>
            <w:tcBorders>
              <w:left w:val="single" w:sz="4" w:space="0" w:color="000000"/>
              <w:bottom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1045" w:type="dxa"/>
            <w:vMerge/>
            <w:tcBorders>
              <w:left w:val="single" w:sz="4" w:space="0" w:color="000000"/>
              <w:bottom w:val="nil" w:sz="6" w:space="0" w:color="auto"/>
              <w:right w:val="single" w:sz="4" w:space="0" w:color="000000"/>
            </w:tcBorders>
            <w:shd w:val="clear" w:color="auto" w:fill="D2D2D2"/>
          </w:tcPr>
          <w:p>
            <w:pPr/>
          </w:p>
        </w:tc>
        <w:tc>
          <w:tcPr>
            <w:tcW w:w="415"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FFFFFF"/>
            </w:tcBorders>
            <w:shd w:val="clear" w:color="auto" w:fill="D2D2D2"/>
          </w:tcPr>
          <w:p>
            <w:pPr/>
          </w:p>
        </w:tc>
        <w:tc>
          <w:tcPr>
            <w:tcW w:w="535"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61"/>
              <w:ind w:left="81" w:right="8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241"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1376" w:type="dxa"/>
            <w:vMerge/>
            <w:tcBorders>
              <w:left w:val="single" w:sz="4" w:space="0" w:color="000000"/>
              <w:bottom w:val="nil" w:sz="6" w:space="0" w:color="auto"/>
              <w:right w:val="single" w:sz="4" w:space="0" w:color="000000"/>
            </w:tcBorders>
            <w:shd w:val="clear" w:color="auto" w:fill="D2D2D2"/>
          </w:tcPr>
          <w:p>
            <w:pPr/>
          </w:p>
        </w:tc>
      </w:tr>
      <w:tr>
        <w:trPr>
          <w:trHeight w:val="145" w:hRule="exact"/>
        </w:trPr>
        <w:tc>
          <w:tcPr>
            <w:tcW w:w="1582" w:type="dxa"/>
            <w:vMerge/>
            <w:tcBorders>
              <w:left w:val="single" w:sz="4" w:space="0" w:color="000000"/>
              <w:bottom w:val="single" w:sz="4" w:space="0" w:color="FFFFFF"/>
              <w:right w:val="single" w:sz="4" w:space="0" w:color="000000"/>
            </w:tcBorders>
            <w:shd w:val="clear" w:color="auto" w:fill="D2D2D2"/>
          </w:tcPr>
          <w:p>
            <w:pPr/>
          </w:p>
        </w:tc>
        <w:tc>
          <w:tcPr>
            <w:tcW w:w="1192" w:type="dxa"/>
            <w:vMerge/>
            <w:tcBorders>
              <w:left w:val="single" w:sz="4" w:space="0" w:color="000000"/>
              <w:bottom w:val="single" w:sz="4" w:space="0" w:color="FFFFFF"/>
              <w:right w:val="single" w:sz="4" w:space="0" w:color="000000"/>
            </w:tcBorders>
            <w:shd w:val="clear" w:color="auto" w:fill="D2D2D2"/>
          </w:tcPr>
          <w:p>
            <w:pPr/>
          </w:p>
        </w:tc>
        <w:tc>
          <w:tcPr>
            <w:tcW w:w="35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2"/>
              <w:ind w:left="82" w:right="80"/>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5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2"/>
              <w:ind w:left="81" w:right="83"/>
              <w:jc w:val="both"/>
              <w:rPr>
                <w:rFonts w:ascii="宋体" w:hAnsi="宋体" w:cs="宋体" w:eastAsia="宋体" w:hint="default"/>
                <w:sz w:val="18"/>
                <w:szCs w:val="18"/>
              </w:rPr>
            </w:pPr>
            <w:r>
              <w:rPr>
                <w:rFonts w:ascii="宋体" w:hAnsi="宋体" w:cs="宋体" w:eastAsia="宋体" w:hint="default"/>
                <w:sz w:val="18"/>
                <w:szCs w:val="18"/>
              </w:rPr>
              <w:t>永 续 债</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1152" w:type="dxa"/>
            <w:vMerge/>
            <w:tcBorders>
              <w:left w:val="single" w:sz="4" w:space="0" w:color="000000"/>
              <w:bottom w:val="nil" w:sz="6" w:space="0" w:color="auto"/>
              <w:right w:val="single" w:sz="4" w:space="0" w:color="000000"/>
            </w:tcBorders>
            <w:shd w:val="clear" w:color="auto" w:fill="D2D2D2"/>
          </w:tcPr>
          <w:p>
            <w:pPr/>
          </w:p>
        </w:tc>
        <w:tc>
          <w:tcPr>
            <w:tcW w:w="104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2"/>
              <w:ind w:left="427" w:right="66"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415"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FFFFFF"/>
            </w:tcBorders>
            <w:shd w:val="clear" w:color="auto" w:fill="D2D2D2"/>
          </w:tcPr>
          <w:p>
            <w:pPr/>
          </w:p>
        </w:tc>
        <w:tc>
          <w:tcPr>
            <w:tcW w:w="535" w:type="dxa"/>
            <w:vMerge/>
            <w:tcBorders>
              <w:left w:val="single" w:sz="4" w:space="0" w:color="FFFFFF"/>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8"/>
              <w:ind w:left="7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8"/>
              <w:ind w:left="5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6" w:hRule="exact"/>
        </w:trPr>
        <w:tc>
          <w:tcPr>
            <w:tcW w:w="1582" w:type="dxa"/>
            <w:vMerge w:val="restart"/>
            <w:tcBorders>
              <w:top w:val="single" w:sz="4" w:space="0" w:color="FFFFFF"/>
              <w:left w:val="single" w:sz="4" w:space="0" w:color="000000"/>
              <w:right w:val="single" w:sz="4" w:space="0" w:color="000000"/>
            </w:tcBorders>
            <w:shd w:val="clear" w:color="auto" w:fill="D2D2D2"/>
          </w:tcPr>
          <w:p>
            <w:pPr/>
          </w:p>
        </w:tc>
        <w:tc>
          <w:tcPr>
            <w:tcW w:w="119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8"/>
              <w:ind w:left="13"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355" w:type="dxa"/>
            <w:vMerge/>
            <w:tcBorders>
              <w:left w:val="single" w:sz="4" w:space="0" w:color="000000"/>
              <w:right w:val="single" w:sz="4" w:space="0" w:color="000000"/>
            </w:tcBorders>
            <w:shd w:val="clear" w:color="auto" w:fill="D2D2D2"/>
          </w:tcPr>
          <w:p>
            <w:pPr/>
          </w:p>
        </w:tc>
        <w:tc>
          <w:tcPr>
            <w:tcW w:w="355"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left="25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left="12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45" w:type="dxa"/>
            <w:vMerge/>
            <w:tcBorders>
              <w:left w:val="single" w:sz="4" w:space="0" w:color="000000"/>
              <w:right w:val="single" w:sz="4" w:space="0" w:color="000000"/>
            </w:tcBorders>
            <w:shd w:val="clear" w:color="auto" w:fill="D2D2D2"/>
          </w:tcPr>
          <w:p>
            <w:pPr/>
          </w:p>
        </w:tc>
        <w:tc>
          <w:tcPr>
            <w:tcW w:w="415"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61"/>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35" w:type="dxa"/>
            <w:vMerge/>
            <w:tcBorders>
              <w:left w:val="single" w:sz="4" w:space="0" w:color="FFFFFF"/>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6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41" w:type="dxa"/>
            <w:vMerge/>
            <w:tcBorders>
              <w:left w:val="single" w:sz="4" w:space="0" w:color="000000"/>
              <w:bottom w:val="nil" w:sz="6" w:space="0" w:color="auto"/>
              <w:right w:val="single" w:sz="4" w:space="0" w:color="000000"/>
            </w:tcBorders>
            <w:shd w:val="clear" w:color="auto" w:fill="D2D2D2"/>
          </w:tcPr>
          <w:p>
            <w:pPr/>
          </w:p>
        </w:tc>
        <w:tc>
          <w:tcPr>
            <w:tcW w:w="1376" w:type="dxa"/>
            <w:vMerge/>
            <w:tcBorders>
              <w:left w:val="single" w:sz="4" w:space="0" w:color="000000"/>
              <w:bottom w:val="nil" w:sz="6" w:space="0" w:color="auto"/>
              <w:right w:val="single" w:sz="4" w:space="0" w:color="000000"/>
            </w:tcBorders>
            <w:shd w:val="clear" w:color="auto" w:fill="D2D2D2"/>
          </w:tcPr>
          <w:p>
            <w:pPr/>
          </w:p>
        </w:tc>
      </w:tr>
      <w:tr>
        <w:trPr>
          <w:trHeight w:val="196" w:hRule="exact"/>
        </w:trPr>
        <w:tc>
          <w:tcPr>
            <w:tcW w:w="1582" w:type="dxa"/>
            <w:vMerge/>
            <w:tcBorders>
              <w:left w:val="single" w:sz="4" w:space="0" w:color="000000"/>
              <w:right w:val="single" w:sz="4" w:space="0" w:color="000000"/>
            </w:tcBorders>
            <w:shd w:val="clear" w:color="auto" w:fill="D2D2D2"/>
          </w:tcPr>
          <w:p>
            <w:pPr/>
          </w:p>
        </w:tc>
        <w:tc>
          <w:tcPr>
            <w:tcW w:w="1192" w:type="dxa"/>
            <w:vMerge/>
            <w:tcBorders>
              <w:left w:val="single" w:sz="4" w:space="0" w:color="000000"/>
              <w:bottom w:val="nil" w:sz="6" w:space="0" w:color="auto"/>
              <w:right w:val="single" w:sz="4" w:space="0" w:color="000000"/>
            </w:tcBorders>
            <w:shd w:val="clear" w:color="auto" w:fill="D2D2D2"/>
          </w:tcPr>
          <w:p>
            <w:pPr/>
          </w:p>
        </w:tc>
        <w:tc>
          <w:tcPr>
            <w:tcW w:w="355" w:type="dxa"/>
            <w:vMerge/>
            <w:tcBorders>
              <w:left w:val="single" w:sz="4" w:space="0" w:color="000000"/>
              <w:right w:val="single" w:sz="4" w:space="0" w:color="000000"/>
            </w:tcBorders>
            <w:shd w:val="clear" w:color="auto" w:fill="D2D2D2"/>
          </w:tcPr>
          <w:p>
            <w:pPr/>
          </w:p>
        </w:tc>
        <w:tc>
          <w:tcPr>
            <w:tcW w:w="355"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41" w:type="dxa"/>
            <w:vMerge/>
            <w:tcBorders>
              <w:left w:val="single" w:sz="4" w:space="0" w:color="000000"/>
              <w:bottom w:val="nil" w:sz="6" w:space="0" w:color="auto"/>
              <w:right w:val="single" w:sz="4" w:space="0" w:color="000000"/>
            </w:tcBorders>
            <w:shd w:val="clear" w:color="auto" w:fill="D2D2D2"/>
          </w:tcPr>
          <w:p>
            <w:pPr/>
          </w:p>
        </w:tc>
        <w:tc>
          <w:tcPr>
            <w:tcW w:w="1152" w:type="dxa"/>
            <w:vMerge/>
            <w:tcBorders>
              <w:left w:val="single" w:sz="4" w:space="0" w:color="000000"/>
              <w:bottom w:val="nil" w:sz="6" w:space="0" w:color="auto"/>
              <w:right w:val="single" w:sz="4" w:space="0" w:color="000000"/>
            </w:tcBorders>
            <w:shd w:val="clear" w:color="auto" w:fill="D2D2D2"/>
          </w:tcPr>
          <w:p>
            <w:pPr/>
          </w:p>
        </w:tc>
        <w:tc>
          <w:tcPr>
            <w:tcW w:w="1045" w:type="dxa"/>
            <w:vMerge/>
            <w:tcBorders>
              <w:left w:val="single" w:sz="4" w:space="0" w:color="000000"/>
              <w:right w:val="single" w:sz="4" w:space="0" w:color="000000"/>
            </w:tcBorders>
            <w:shd w:val="clear" w:color="auto" w:fill="D2D2D2"/>
          </w:tcPr>
          <w:p>
            <w:pPr/>
          </w:p>
        </w:tc>
        <w:tc>
          <w:tcPr>
            <w:tcW w:w="415"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FFFFFF"/>
            </w:tcBorders>
            <w:shd w:val="clear" w:color="auto" w:fill="D2D2D2"/>
          </w:tcPr>
          <w:p>
            <w:pPr/>
          </w:p>
        </w:tc>
        <w:tc>
          <w:tcPr>
            <w:tcW w:w="535" w:type="dxa"/>
            <w:vMerge/>
            <w:tcBorders>
              <w:left w:val="single" w:sz="4" w:space="0" w:color="FFFFFF"/>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
        </w:tc>
        <w:tc>
          <w:tcPr>
            <w:tcW w:w="1376" w:type="dxa"/>
            <w:vMerge w:val="restart"/>
            <w:tcBorders>
              <w:top w:val="nil" w:sz="6" w:space="0" w:color="auto"/>
              <w:left w:val="single" w:sz="4" w:space="0" w:color="000000"/>
              <w:right w:val="single" w:sz="4" w:space="0" w:color="000000"/>
            </w:tcBorders>
            <w:shd w:val="clear" w:color="auto" w:fill="D2D2D2"/>
          </w:tcPr>
          <w:p>
            <w:pPr/>
          </w:p>
        </w:tc>
      </w:tr>
      <w:tr>
        <w:trPr>
          <w:trHeight w:val="179" w:hRule="exact"/>
        </w:trPr>
        <w:tc>
          <w:tcPr>
            <w:tcW w:w="1582" w:type="dxa"/>
            <w:vMerge/>
            <w:tcBorders>
              <w:left w:val="single" w:sz="4" w:space="0" w:color="000000"/>
              <w:right w:val="single" w:sz="4" w:space="0" w:color="000000"/>
            </w:tcBorders>
            <w:shd w:val="clear" w:color="auto" w:fill="D2D2D2"/>
          </w:tcPr>
          <w:p>
            <w:pPr/>
          </w:p>
        </w:tc>
        <w:tc>
          <w:tcPr>
            <w:tcW w:w="1192" w:type="dxa"/>
            <w:vMerge w:val="restart"/>
            <w:tcBorders>
              <w:top w:val="nil" w:sz="6" w:space="0" w:color="auto"/>
              <w:left w:val="single" w:sz="4" w:space="0" w:color="000000"/>
              <w:right w:val="single" w:sz="4" w:space="0" w:color="000000"/>
            </w:tcBorders>
            <w:shd w:val="clear" w:color="auto" w:fill="D2D2D2"/>
          </w:tcPr>
          <w:p>
            <w:pPr/>
          </w:p>
        </w:tc>
        <w:tc>
          <w:tcPr>
            <w:tcW w:w="355" w:type="dxa"/>
            <w:vMerge/>
            <w:tcBorders>
              <w:left w:val="single" w:sz="4" w:space="0" w:color="000000"/>
              <w:right w:val="single" w:sz="4" w:space="0" w:color="000000"/>
            </w:tcBorders>
            <w:shd w:val="clear" w:color="auto" w:fill="D2D2D2"/>
          </w:tcPr>
          <w:p>
            <w:pPr/>
          </w:p>
        </w:tc>
        <w:tc>
          <w:tcPr>
            <w:tcW w:w="355"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
        </w:tc>
        <w:tc>
          <w:tcPr>
            <w:tcW w:w="1152" w:type="dxa"/>
            <w:vMerge w:val="restart"/>
            <w:tcBorders>
              <w:top w:val="nil" w:sz="6" w:space="0" w:color="auto"/>
              <w:left w:val="single" w:sz="4" w:space="0" w:color="000000"/>
              <w:right w:val="single" w:sz="4" w:space="0" w:color="000000"/>
            </w:tcBorders>
            <w:shd w:val="clear" w:color="auto" w:fill="D2D2D2"/>
          </w:tcPr>
          <w:p>
            <w:pPr/>
          </w:p>
        </w:tc>
        <w:tc>
          <w:tcPr>
            <w:tcW w:w="1045" w:type="dxa"/>
            <w:vMerge/>
            <w:tcBorders>
              <w:left w:val="single" w:sz="4" w:space="0" w:color="000000"/>
              <w:bottom w:val="nil" w:sz="6" w:space="0" w:color="auto"/>
              <w:right w:val="single" w:sz="4" w:space="0" w:color="000000"/>
            </w:tcBorders>
            <w:shd w:val="clear" w:color="auto" w:fill="D2D2D2"/>
          </w:tcPr>
          <w:p>
            <w:pPr/>
          </w:p>
        </w:tc>
        <w:tc>
          <w:tcPr>
            <w:tcW w:w="415"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FFFFFF"/>
            </w:tcBorders>
            <w:shd w:val="clear" w:color="auto" w:fill="D2D2D2"/>
          </w:tcPr>
          <w:p>
            <w:pPr/>
          </w:p>
        </w:tc>
        <w:tc>
          <w:tcPr>
            <w:tcW w:w="535" w:type="dxa"/>
            <w:vMerge/>
            <w:tcBorders>
              <w:left w:val="single" w:sz="4" w:space="0" w:color="FFFFFF"/>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376" w:type="dxa"/>
            <w:vMerge/>
            <w:tcBorders>
              <w:left w:val="single" w:sz="4" w:space="0" w:color="000000"/>
              <w:right w:val="single" w:sz="4" w:space="0" w:color="000000"/>
            </w:tcBorders>
            <w:shd w:val="clear" w:color="auto" w:fill="D2D2D2"/>
          </w:tcPr>
          <w:p>
            <w:pPr/>
          </w:p>
        </w:tc>
      </w:tr>
      <w:tr>
        <w:trPr>
          <w:trHeight w:val="133" w:hRule="exact"/>
        </w:trPr>
        <w:tc>
          <w:tcPr>
            <w:tcW w:w="1582" w:type="dxa"/>
            <w:vMerge/>
            <w:tcBorders>
              <w:left w:val="single" w:sz="4" w:space="0" w:color="000000"/>
              <w:right w:val="single" w:sz="4" w:space="0" w:color="000000"/>
            </w:tcBorders>
            <w:shd w:val="clear" w:color="auto" w:fill="D2D2D2"/>
          </w:tcPr>
          <w:p>
            <w:pPr/>
          </w:p>
        </w:tc>
        <w:tc>
          <w:tcPr>
            <w:tcW w:w="1192" w:type="dxa"/>
            <w:vMerge/>
            <w:tcBorders>
              <w:left w:val="single" w:sz="4" w:space="0" w:color="000000"/>
              <w:right w:val="single" w:sz="4" w:space="0" w:color="000000"/>
            </w:tcBorders>
            <w:shd w:val="clear" w:color="auto" w:fill="D2D2D2"/>
          </w:tcPr>
          <w:p>
            <w:pPr/>
          </w:p>
        </w:tc>
        <w:tc>
          <w:tcPr>
            <w:tcW w:w="355" w:type="dxa"/>
            <w:vMerge/>
            <w:tcBorders>
              <w:left w:val="single" w:sz="4" w:space="0" w:color="000000"/>
              <w:right w:val="single" w:sz="4" w:space="0" w:color="000000"/>
            </w:tcBorders>
            <w:shd w:val="clear" w:color="auto" w:fill="D2D2D2"/>
          </w:tcPr>
          <w:p>
            <w:pPr/>
          </w:p>
        </w:tc>
        <w:tc>
          <w:tcPr>
            <w:tcW w:w="355"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1045" w:type="dxa"/>
            <w:vMerge w:val="restart"/>
            <w:tcBorders>
              <w:top w:val="nil" w:sz="6" w:space="0" w:color="auto"/>
              <w:left w:val="single" w:sz="4" w:space="0" w:color="000000"/>
              <w:right w:val="single" w:sz="4" w:space="0" w:color="000000"/>
            </w:tcBorders>
            <w:shd w:val="clear" w:color="auto" w:fill="D2D2D2"/>
          </w:tcPr>
          <w:p>
            <w:pPr/>
          </w:p>
        </w:tc>
        <w:tc>
          <w:tcPr>
            <w:tcW w:w="415"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FFFFFF"/>
            </w:tcBorders>
            <w:shd w:val="clear" w:color="auto" w:fill="D2D2D2"/>
          </w:tcPr>
          <w:p>
            <w:pPr/>
          </w:p>
        </w:tc>
        <w:tc>
          <w:tcPr>
            <w:tcW w:w="535" w:type="dxa"/>
            <w:vMerge/>
            <w:tcBorders>
              <w:left w:val="single" w:sz="4" w:space="0" w:color="FFFFFF"/>
              <w:bottom w:val="nil" w:sz="6" w:space="0" w:color="auto"/>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376" w:type="dxa"/>
            <w:vMerge/>
            <w:tcBorders>
              <w:left w:val="single" w:sz="4" w:space="0" w:color="000000"/>
              <w:right w:val="single" w:sz="4" w:space="0" w:color="000000"/>
            </w:tcBorders>
            <w:shd w:val="clear" w:color="auto" w:fill="D2D2D2"/>
          </w:tcPr>
          <w:p>
            <w:pPr/>
          </w:p>
        </w:tc>
      </w:tr>
      <w:tr>
        <w:trPr>
          <w:trHeight w:val="206" w:hRule="exact"/>
        </w:trPr>
        <w:tc>
          <w:tcPr>
            <w:tcW w:w="1582" w:type="dxa"/>
            <w:vMerge/>
            <w:tcBorders>
              <w:left w:val="single" w:sz="4" w:space="0" w:color="000000"/>
              <w:bottom w:val="single" w:sz="4" w:space="0" w:color="000000"/>
              <w:right w:val="single" w:sz="4" w:space="0" w:color="000000"/>
            </w:tcBorders>
            <w:shd w:val="clear" w:color="auto" w:fill="D2D2D2"/>
          </w:tcPr>
          <w:p>
            <w:pPr/>
          </w:p>
        </w:tc>
        <w:tc>
          <w:tcPr>
            <w:tcW w:w="1192" w:type="dxa"/>
            <w:vMerge/>
            <w:tcBorders>
              <w:left w:val="single" w:sz="4" w:space="0" w:color="000000"/>
              <w:bottom w:val="single" w:sz="4" w:space="0" w:color="000000"/>
              <w:right w:val="single" w:sz="4" w:space="0" w:color="000000"/>
            </w:tcBorders>
            <w:shd w:val="clear" w:color="auto" w:fill="D2D2D2"/>
          </w:tcPr>
          <w:p>
            <w:pPr/>
          </w:p>
        </w:tc>
        <w:tc>
          <w:tcPr>
            <w:tcW w:w="355" w:type="dxa"/>
            <w:vMerge/>
            <w:tcBorders>
              <w:left w:val="single" w:sz="4" w:space="0" w:color="000000"/>
              <w:bottom w:val="single" w:sz="4" w:space="0" w:color="000000"/>
              <w:right w:val="single" w:sz="4" w:space="0" w:color="000000"/>
            </w:tcBorders>
            <w:shd w:val="clear" w:color="auto" w:fill="D2D2D2"/>
          </w:tcPr>
          <w:p>
            <w:pPr/>
          </w:p>
        </w:tc>
        <w:tc>
          <w:tcPr>
            <w:tcW w:w="355"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241"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1045" w:type="dxa"/>
            <w:vMerge/>
            <w:tcBorders>
              <w:left w:val="single" w:sz="4" w:space="0" w:color="000000"/>
              <w:bottom w:val="single" w:sz="4" w:space="0" w:color="000000"/>
              <w:right w:val="single" w:sz="4" w:space="0" w:color="000000"/>
            </w:tcBorders>
            <w:shd w:val="clear" w:color="auto" w:fill="D2D2D2"/>
          </w:tcPr>
          <w:p>
            <w:pPr/>
          </w:p>
        </w:tc>
        <w:tc>
          <w:tcPr>
            <w:tcW w:w="415"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FFFFFF"/>
            </w:tcBorders>
            <w:shd w:val="clear" w:color="auto" w:fill="D2D2D2"/>
          </w:tcPr>
          <w:p>
            <w:pPr/>
          </w:p>
        </w:tc>
        <w:tc>
          <w:tcPr>
            <w:tcW w:w="535" w:type="dxa"/>
            <w:tcBorders>
              <w:top w:val="nil" w:sz="6" w:space="0" w:color="auto"/>
              <w:left w:val="single" w:sz="4" w:space="0" w:color="FFFFFF"/>
              <w:bottom w:val="single" w:sz="4" w:space="0" w:color="000000"/>
              <w:right w:val="single" w:sz="4" w:space="0" w:color="000000"/>
            </w:tcBorders>
            <w:shd w:val="clear" w:color="auto" w:fill="D2D2D2"/>
          </w:tcPr>
          <w:p>
            <w:pPr/>
          </w:p>
        </w:tc>
        <w:tc>
          <w:tcPr>
            <w:tcW w:w="1241" w:type="dxa"/>
            <w:vMerge/>
            <w:tcBorders>
              <w:left w:val="single" w:sz="4" w:space="0" w:color="000000"/>
              <w:bottom w:val="single" w:sz="4" w:space="0" w:color="000000"/>
              <w:right w:val="single" w:sz="4" w:space="0" w:color="000000"/>
            </w:tcBorders>
            <w:shd w:val="clear" w:color="auto" w:fill="D2D2D2"/>
          </w:tcPr>
          <w:p>
            <w:pPr/>
          </w:p>
        </w:tc>
        <w:tc>
          <w:tcPr>
            <w:tcW w:w="1241" w:type="dxa"/>
            <w:vMerge/>
            <w:tcBorders>
              <w:left w:val="single" w:sz="4" w:space="0" w:color="000000"/>
              <w:bottom w:val="single" w:sz="4" w:space="0" w:color="000000"/>
              <w:right w:val="single" w:sz="4" w:space="0" w:color="000000"/>
            </w:tcBorders>
            <w:shd w:val="clear" w:color="auto" w:fill="D2D2D2"/>
          </w:tcPr>
          <w:p>
            <w:pPr/>
          </w:p>
        </w:tc>
        <w:tc>
          <w:tcPr>
            <w:tcW w:w="137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61"/>
              <w:ind w:left="11"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 有者投入资本</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7,834.00</w:t>
            </w:r>
          </w:p>
        </w:tc>
        <w:tc>
          <w:tcPr>
            <w:tcW w:w="35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-20,038.72</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94,956.00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18" w:space="0" w:color="D2D2D2"/>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35" w:type="dxa"/>
            <w:tcBorders>
              <w:top w:val="single" w:sz="4" w:space="0" w:color="000000"/>
              <w:left w:val="single" w:sz="4" w:space="0" w:color="FFFFFF"/>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82,751.28</w:t>
            </w:r>
          </w:p>
        </w:tc>
      </w:tr>
      <w:tr>
        <w:trPr>
          <w:trHeight w:val="71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61"/>
              <w:ind w:left="11"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 有者权益的金额</w:t>
            </w:r>
          </w:p>
        </w:tc>
        <w:tc>
          <w:tcPr>
            <w:tcW w:w="1192" w:type="dxa"/>
            <w:tcBorders>
              <w:top w:val="single" w:sz="4" w:space="0" w:color="000000"/>
              <w:left w:val="single" w:sz="13" w:space="0" w:color="D2D2D2"/>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25,190,584.50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35" w:type="dxa"/>
            <w:tcBorders>
              <w:top w:val="single" w:sz="4" w:space="0" w:color="000000"/>
              <w:left w:val="single" w:sz="4" w:space="0" w:color="FFFFFF"/>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25,190,584.50</w:t>
            </w:r>
          </w:p>
        </w:tc>
      </w:tr>
      <w:tr>
        <w:trPr>
          <w:trHeight w:val="402"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w w:val="95"/>
                <w:sz w:val="18"/>
              </w:rPr>
              <w:t>-298,673.00</w:t>
            </w:r>
            <w:r>
              <w:rPr>
                <w:rFonts w:ascii="Times New Roman"/>
                <w:sz w:val="18"/>
              </w:rPr>
            </w:r>
          </w:p>
        </w:tc>
        <w:tc>
          <w:tcPr>
            <w:tcW w:w="35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pacing w:val="-1"/>
                <w:sz w:val="18"/>
              </w:rPr>
              <w:t>-661,414,767.01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Times New Roman" w:hAnsi="Times New Roman" w:cs="Times New Roman" w:eastAsia="Times New Roman" w:hint="default"/>
                <w:sz w:val="18"/>
                <w:szCs w:val="18"/>
              </w:rPr>
            </w:pPr>
            <w:r>
              <w:rPr>
                <w:rFonts w:ascii="Times New Roman"/>
                <w:sz w:val="18"/>
              </w:rPr>
              <w:t>-13,257,856.00</w:t>
            </w:r>
          </w:p>
        </w:tc>
        <w:tc>
          <w:tcPr>
            <w:tcW w:w="104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35" w:type="dxa"/>
            <w:tcBorders>
              <w:top w:val="single" w:sz="4" w:space="0" w:color="000000"/>
              <w:left w:val="single" w:sz="4" w:space="0" w:color="FFFFFF"/>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pacing w:val="-1"/>
                <w:sz w:val="18"/>
              </w:rPr>
              <w:t>-138,994,160.99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pacing w:val="-1"/>
                <w:sz w:val="18"/>
              </w:rPr>
              <w:t>-787,449,745.00</w:t>
            </w:r>
          </w:p>
        </w:tc>
      </w:tr>
      <w:tr>
        <w:trPr>
          <w:trHeight w:val="402"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2" w:type="dxa"/>
            <w:tcBorders>
              <w:top w:val="single" w:sz="4" w:space="0" w:color="000000"/>
              <w:left w:val="single" w:sz="13" w:space="0" w:color="D2D2D2"/>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c>
          <w:tcPr>
            <w:tcW w:w="535" w:type="dxa"/>
            <w:tcBorders>
              <w:top w:val="single" w:sz="4" w:space="0" w:color="000000"/>
              <w:left w:val="single" w:sz="4" w:space="0" w:color="FFFFFF"/>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-21,313,097.34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w w:val="95"/>
                <w:sz w:val="18"/>
              </w:rPr>
              <w:t>-665,000.00</w:t>
            </w:r>
            <w:r>
              <w:rPr>
                <w:rFonts w:ascii="Times New Roman"/>
                <w:sz w:val="18"/>
              </w:rPr>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-21,978,097.34</w:t>
            </w:r>
          </w:p>
        </w:tc>
      </w:tr>
      <w:tr>
        <w:trPr>
          <w:trHeight w:val="402"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2" w:type="dxa"/>
            <w:tcBorders>
              <w:top w:val="single" w:sz="4" w:space="0" w:color="000000"/>
              <w:left w:val="single" w:sz="13" w:space="0" w:color="D2D2D2"/>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c>
          <w:tcPr>
            <w:tcW w:w="535" w:type="dxa"/>
            <w:tcBorders>
              <w:top w:val="single" w:sz="4" w:space="0" w:color="000000"/>
              <w:left w:val="single" w:sz="4" w:space="0" w:color="FFFFFF"/>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c>
          <w:tcPr>
            <w:tcW w:w="124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61"/>
              <w:ind w:left="11"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 备</w:t>
            </w:r>
          </w:p>
        </w:tc>
        <w:tc>
          <w:tcPr>
            <w:tcW w:w="1192" w:type="dxa"/>
            <w:tcBorders>
              <w:top w:val="single" w:sz="4" w:space="0" w:color="000000"/>
              <w:left w:val="single" w:sz="13" w:space="0" w:color="D2D2D2"/>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35" w:type="dxa"/>
            <w:tcBorders>
              <w:top w:val="single" w:sz="4" w:space="0" w:color="000000"/>
              <w:left w:val="single" w:sz="4" w:space="0" w:color="FFFFFF"/>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61"/>
              <w:ind w:left="11"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 东）的分配</w:t>
            </w:r>
          </w:p>
        </w:tc>
        <w:tc>
          <w:tcPr>
            <w:tcW w:w="1192" w:type="dxa"/>
            <w:tcBorders>
              <w:top w:val="single" w:sz="4" w:space="0" w:color="000000"/>
              <w:left w:val="single" w:sz="13" w:space="0" w:color="D2D2D2"/>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35" w:type="dxa"/>
            <w:tcBorders>
              <w:top w:val="single" w:sz="4" w:space="0" w:color="000000"/>
              <w:left w:val="single" w:sz="4" w:space="0" w:color="FFFFFF"/>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-21,313,097.34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-665,000.00</w:t>
            </w:r>
            <w:r>
              <w:rPr>
                <w:rFonts w:ascii="Times New Roman"/>
                <w:sz w:val="18"/>
              </w:rPr>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-21,978,097.34</w:t>
            </w:r>
          </w:p>
        </w:tc>
      </w:tr>
      <w:tr>
        <w:trPr>
          <w:trHeight w:val="402"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2" w:type="dxa"/>
            <w:tcBorders>
              <w:top w:val="single" w:sz="4" w:space="0" w:color="000000"/>
              <w:left w:val="single" w:sz="13" w:space="0" w:color="D2D2D2"/>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35" w:type="dxa"/>
            <w:tcBorders>
              <w:top w:val="single" w:sz="4" w:space="0" w:color="000000"/>
              <w:left w:val="single" w:sz="4" w:space="0" w:color="FFFFFF"/>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1"/>
              <w:ind w:left="11" w:right="9"/>
              <w:jc w:val="left"/>
              <w:rPr>
                <w:rFonts w:ascii="宋体" w:hAnsi="宋体" w:cs="宋体" w:eastAsia="宋体" w:hint="default"/>
                <w:sz w:val="18"/>
                <w:szCs w:val="18"/>
              </w:rPr>
            </w:pPr>
            <w:r>
              <w:rPr>
                <w:rFonts w:ascii="宋体" w:hAnsi="宋体" w:cs="宋体" w:eastAsia="宋体" w:hint="default"/>
                <w:spacing w:val="-8"/>
                <w:sz w:val="18"/>
                <w:szCs w:val="18"/>
              </w:rPr>
              <w:t>（四）所有者权益内</w:t>
            </w:r>
            <w:r>
              <w:rPr>
                <w:rFonts w:ascii="宋体" w:hAnsi="宋体" w:cs="宋体" w:eastAsia="宋体" w:hint="default"/>
                <w:sz w:val="18"/>
                <w:szCs w:val="18"/>
              </w:rPr>
              <w:t> 部结转</w:t>
            </w:r>
          </w:p>
        </w:tc>
        <w:tc>
          <w:tcPr>
            <w:tcW w:w="1192" w:type="dxa"/>
            <w:tcBorders>
              <w:top w:val="single" w:sz="4" w:space="0" w:color="000000"/>
              <w:left w:val="single" w:sz="13" w:space="0" w:color="D2D2D2"/>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35" w:type="dxa"/>
            <w:tcBorders>
              <w:top w:val="single" w:sz="4" w:space="0" w:color="000000"/>
              <w:left w:val="single" w:sz="4" w:space="0" w:color="FFFFFF"/>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61"/>
              <w:ind w:left="11"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 本（或股本）</w:t>
            </w:r>
          </w:p>
        </w:tc>
        <w:tc>
          <w:tcPr>
            <w:tcW w:w="1192" w:type="dxa"/>
            <w:tcBorders>
              <w:top w:val="single" w:sz="4" w:space="0" w:color="000000"/>
              <w:left w:val="single" w:sz="13" w:space="0" w:color="D2D2D2"/>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35" w:type="dxa"/>
            <w:tcBorders>
              <w:top w:val="single" w:sz="4" w:space="0" w:color="000000"/>
              <w:left w:val="single" w:sz="4" w:space="0" w:color="FFFFFF"/>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61"/>
              <w:ind w:left="11"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 本（或股本）</w:t>
            </w:r>
          </w:p>
        </w:tc>
        <w:tc>
          <w:tcPr>
            <w:tcW w:w="1192" w:type="dxa"/>
            <w:tcBorders>
              <w:top w:val="single" w:sz="4" w:space="0" w:color="000000"/>
              <w:left w:val="single" w:sz="13" w:space="0" w:color="D2D2D2"/>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35" w:type="dxa"/>
            <w:tcBorders>
              <w:top w:val="single" w:sz="4" w:space="0" w:color="000000"/>
              <w:left w:val="single" w:sz="4" w:space="0" w:color="FFFFFF"/>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61"/>
              <w:ind w:left="11"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 损</w:t>
            </w:r>
          </w:p>
        </w:tc>
        <w:tc>
          <w:tcPr>
            <w:tcW w:w="1192" w:type="dxa"/>
            <w:tcBorders>
              <w:top w:val="single" w:sz="4" w:space="0" w:color="000000"/>
              <w:left w:val="single" w:sz="13" w:space="0" w:color="D2D2D2"/>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35" w:type="dxa"/>
            <w:tcBorders>
              <w:top w:val="single" w:sz="4" w:space="0" w:color="000000"/>
              <w:left w:val="single" w:sz="4" w:space="0" w:color="FFFFFF"/>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20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1593"/>
        <w:gridCol w:w="1181"/>
        <w:gridCol w:w="355"/>
        <w:gridCol w:w="355"/>
        <w:gridCol w:w="1181"/>
        <w:gridCol w:w="1241"/>
        <w:gridCol w:w="1152"/>
        <w:gridCol w:w="1045"/>
        <w:gridCol w:w="415"/>
        <w:gridCol w:w="1091"/>
        <w:gridCol w:w="535"/>
        <w:gridCol w:w="1241"/>
        <w:gridCol w:w="1241"/>
        <w:gridCol w:w="1376"/>
      </w:tblGrid>
      <w:tr>
        <w:trPr>
          <w:trHeight w:val="416" w:hRule="exact"/>
        </w:trPr>
        <w:tc>
          <w:tcPr>
            <w:tcW w:w="1593" w:type="dxa"/>
            <w:vMerge w:val="restart"/>
            <w:tcBorders>
              <w:top w:val="single" w:sz="15" w:space="0" w:color="000000"/>
              <w:left w:val="single" w:sz="4" w:space="0" w:color="000000"/>
              <w:right w:val="single" w:sz="4" w:space="0" w:color="000000"/>
            </w:tcBorders>
            <w:shd w:val="clear" w:color="auto" w:fill="D2D2D2"/>
          </w:tcPr>
          <w:p>
            <w:pPr/>
          </w:p>
        </w:tc>
        <w:tc>
          <w:tcPr>
            <w:tcW w:w="12410" w:type="dxa"/>
            <w:gridSpan w:val="13"/>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98" w:hRule="exact"/>
        </w:trPr>
        <w:tc>
          <w:tcPr>
            <w:tcW w:w="1593" w:type="dxa"/>
            <w:vMerge/>
            <w:tcBorders>
              <w:left w:val="single" w:sz="4" w:space="0" w:color="000000"/>
              <w:right w:val="single" w:sz="4" w:space="0" w:color="000000"/>
            </w:tcBorders>
            <w:shd w:val="clear" w:color="auto" w:fill="D2D2D2"/>
          </w:tcPr>
          <w:p>
            <w:pPr/>
          </w:p>
        </w:tc>
        <w:tc>
          <w:tcPr>
            <w:tcW w:w="979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41" w:type="dxa"/>
            <w:vMerge w:val="restart"/>
            <w:tcBorders>
              <w:top w:val="single" w:sz="4" w:space="0" w:color="000000"/>
              <w:left w:val="single" w:sz="4" w:space="0" w:color="000000"/>
              <w:right w:val="single" w:sz="4" w:space="0" w:color="000000"/>
            </w:tcBorders>
            <w:shd w:val="clear" w:color="auto" w:fill="D2D2D2"/>
          </w:tcPr>
          <w:p>
            <w:pPr/>
          </w:p>
        </w:tc>
        <w:tc>
          <w:tcPr>
            <w:tcW w:w="1376"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1593"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89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41" w:type="dxa"/>
            <w:vMerge w:val="restart"/>
            <w:tcBorders>
              <w:top w:val="single" w:sz="4" w:space="0" w:color="000000"/>
              <w:left w:val="single" w:sz="4" w:space="0" w:color="000000"/>
              <w:right w:val="single" w:sz="4" w:space="0" w:color="000000"/>
            </w:tcBorders>
            <w:shd w:val="clear" w:color="auto" w:fill="D2D2D2"/>
          </w:tcPr>
          <w:p>
            <w:pPr/>
          </w:p>
        </w:tc>
        <w:tc>
          <w:tcPr>
            <w:tcW w:w="1152" w:type="dxa"/>
            <w:vMerge w:val="restart"/>
            <w:tcBorders>
              <w:top w:val="single" w:sz="4" w:space="0" w:color="000000"/>
              <w:left w:val="single" w:sz="4" w:space="0" w:color="000000"/>
              <w:right w:val="single" w:sz="4" w:space="0" w:color="FFFFFF"/>
            </w:tcBorders>
            <w:shd w:val="clear" w:color="auto" w:fill="D2D2D2"/>
          </w:tcPr>
          <w:p>
            <w:pPr/>
          </w:p>
        </w:tc>
        <w:tc>
          <w:tcPr>
            <w:tcW w:w="1045" w:type="dxa"/>
            <w:vMerge w:val="restart"/>
            <w:tcBorders>
              <w:top w:val="single" w:sz="4" w:space="0" w:color="000000"/>
              <w:left w:val="single" w:sz="4" w:space="0" w:color="FFFFFF"/>
              <w:right w:val="single" w:sz="4" w:space="0" w:color="000000"/>
            </w:tcBorders>
            <w:shd w:val="clear" w:color="auto" w:fill="D2D2D2"/>
          </w:tcPr>
          <w:p>
            <w:pPr/>
          </w:p>
        </w:tc>
        <w:tc>
          <w:tcPr>
            <w:tcW w:w="4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2" w:right="110"/>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091" w:type="dxa"/>
            <w:vMerge w:val="restart"/>
            <w:tcBorders>
              <w:top w:val="single" w:sz="4" w:space="0" w:color="000000"/>
              <w:left w:val="single" w:sz="4" w:space="0" w:color="000000"/>
              <w:right w:val="single" w:sz="4" w:space="0" w:color="FFFFFF"/>
            </w:tcBorders>
            <w:shd w:val="clear" w:color="auto" w:fill="D2D2D2"/>
          </w:tcPr>
          <w:p>
            <w:pPr/>
          </w:p>
        </w:tc>
        <w:tc>
          <w:tcPr>
            <w:tcW w:w="535" w:type="dxa"/>
            <w:vMerge w:val="restart"/>
            <w:tcBorders>
              <w:top w:val="single" w:sz="4" w:space="0" w:color="000000"/>
              <w:left w:val="single" w:sz="4" w:space="0" w:color="FFFFFF"/>
              <w:right w:val="single" w:sz="4" w:space="0" w:color="000000"/>
            </w:tcBorders>
            <w:shd w:val="clear" w:color="auto" w:fill="D2D2D2"/>
          </w:tcPr>
          <w:p>
            <w:pPr/>
          </w:p>
        </w:tc>
        <w:tc>
          <w:tcPr>
            <w:tcW w:w="1241" w:type="dxa"/>
            <w:vMerge w:val="restart"/>
            <w:tcBorders>
              <w:top w:val="single" w:sz="4" w:space="0" w:color="000000"/>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376" w:type="dxa"/>
            <w:vMerge/>
            <w:tcBorders>
              <w:left w:val="single" w:sz="4" w:space="0" w:color="000000"/>
              <w:right w:val="single" w:sz="4" w:space="0" w:color="000000"/>
            </w:tcBorders>
            <w:shd w:val="clear" w:color="auto" w:fill="D2D2D2"/>
          </w:tcPr>
          <w:p>
            <w:pPr/>
          </w:p>
        </w:tc>
      </w:tr>
      <w:tr>
        <w:trPr>
          <w:trHeight w:val="90" w:hRule="exact"/>
        </w:trPr>
        <w:tc>
          <w:tcPr>
            <w:tcW w:w="15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181" w:type="dxa"/>
            <w:vMerge/>
            <w:tcBorders>
              <w:left w:val="single" w:sz="4" w:space="0" w:color="000000"/>
              <w:right w:val="single" w:sz="4" w:space="0" w:color="000000"/>
            </w:tcBorders>
            <w:shd w:val="clear" w:color="auto" w:fill="D2D2D2"/>
          </w:tcPr>
          <w:p>
            <w:pPr/>
          </w:p>
        </w:tc>
        <w:tc>
          <w:tcPr>
            <w:tcW w:w="1891" w:type="dxa"/>
            <w:gridSpan w:val="3"/>
            <w:vMerge/>
            <w:tcBorders>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FFFFFF"/>
            </w:tcBorders>
            <w:shd w:val="clear" w:color="auto" w:fill="D2D2D2"/>
          </w:tcPr>
          <w:p>
            <w:pPr/>
          </w:p>
        </w:tc>
        <w:tc>
          <w:tcPr>
            <w:tcW w:w="1045" w:type="dxa"/>
            <w:vMerge/>
            <w:tcBorders>
              <w:left w:val="single" w:sz="4" w:space="0" w:color="FFFFFF"/>
              <w:right w:val="single" w:sz="4" w:space="0" w:color="000000"/>
            </w:tcBorders>
            <w:shd w:val="clear" w:color="auto" w:fill="D2D2D2"/>
          </w:tcPr>
          <w:p>
            <w:pPr/>
          </w:p>
        </w:tc>
        <w:tc>
          <w:tcPr>
            <w:tcW w:w="415"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FFFFFF"/>
            </w:tcBorders>
            <w:shd w:val="clear" w:color="auto" w:fill="D2D2D2"/>
          </w:tcPr>
          <w:p>
            <w:pPr/>
          </w:p>
        </w:tc>
        <w:tc>
          <w:tcPr>
            <w:tcW w:w="535" w:type="dxa"/>
            <w:vMerge/>
            <w:tcBorders>
              <w:left w:val="single" w:sz="4" w:space="0" w:color="FFFFFF"/>
              <w:bottom w:val="nil" w:sz="6" w:space="0" w:color="auto"/>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376" w:type="dxa"/>
            <w:vMerge/>
            <w:tcBorders>
              <w:left w:val="single" w:sz="4" w:space="0" w:color="000000"/>
              <w:right w:val="single" w:sz="4" w:space="0" w:color="000000"/>
            </w:tcBorders>
            <w:shd w:val="clear" w:color="auto" w:fill="D2D2D2"/>
          </w:tcPr>
          <w:p>
            <w:pPr/>
          </w:p>
        </w:tc>
      </w:tr>
      <w:tr>
        <w:trPr>
          <w:trHeight w:val="133" w:hRule="exact"/>
        </w:trPr>
        <w:tc>
          <w:tcPr>
            <w:tcW w:w="1593"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891" w:type="dxa"/>
            <w:gridSpan w:val="3"/>
            <w:vMerge/>
            <w:tcBorders>
              <w:left w:val="single" w:sz="4" w:space="0" w:color="000000"/>
              <w:bottom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FFFFFF"/>
            </w:tcBorders>
            <w:shd w:val="clear" w:color="auto" w:fill="D2D2D2"/>
          </w:tcPr>
          <w:p>
            <w:pPr/>
          </w:p>
        </w:tc>
        <w:tc>
          <w:tcPr>
            <w:tcW w:w="1045" w:type="dxa"/>
            <w:vMerge/>
            <w:tcBorders>
              <w:left w:val="single" w:sz="4" w:space="0" w:color="FFFFFF"/>
              <w:bottom w:val="nil" w:sz="6" w:space="0" w:color="auto"/>
              <w:right w:val="single" w:sz="4" w:space="0" w:color="000000"/>
            </w:tcBorders>
            <w:shd w:val="clear" w:color="auto" w:fill="D2D2D2"/>
          </w:tcPr>
          <w:p>
            <w:pPr/>
          </w:p>
        </w:tc>
        <w:tc>
          <w:tcPr>
            <w:tcW w:w="415"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FFFFFF"/>
            </w:tcBorders>
            <w:shd w:val="clear" w:color="auto" w:fill="D2D2D2"/>
          </w:tcPr>
          <w:p>
            <w:pPr/>
          </w:p>
        </w:tc>
        <w:tc>
          <w:tcPr>
            <w:tcW w:w="535"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51"/>
              <w:ind w:left="81" w:right="8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241"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1376" w:type="dxa"/>
            <w:vMerge/>
            <w:tcBorders>
              <w:left w:val="single" w:sz="4" w:space="0" w:color="000000"/>
              <w:bottom w:val="nil" w:sz="6" w:space="0" w:color="auto"/>
              <w:right w:val="single" w:sz="4" w:space="0" w:color="000000"/>
            </w:tcBorders>
            <w:shd w:val="clear" w:color="auto" w:fill="D2D2D2"/>
          </w:tcPr>
          <w:p>
            <w:pPr/>
          </w:p>
        </w:tc>
      </w:tr>
      <w:tr>
        <w:trPr>
          <w:trHeight w:val="145" w:hRule="exact"/>
        </w:trPr>
        <w:tc>
          <w:tcPr>
            <w:tcW w:w="1593" w:type="dxa"/>
            <w:vMerge/>
            <w:tcBorders>
              <w:left w:val="single" w:sz="4" w:space="0" w:color="000000"/>
              <w:bottom w:val="single" w:sz="4" w:space="0" w:color="FFFFFF"/>
              <w:right w:val="single" w:sz="4" w:space="0" w:color="000000"/>
            </w:tcBorders>
            <w:shd w:val="clear" w:color="auto" w:fill="D2D2D2"/>
          </w:tcPr>
          <w:p>
            <w:pPr/>
          </w:p>
        </w:tc>
        <w:tc>
          <w:tcPr>
            <w:tcW w:w="1181" w:type="dxa"/>
            <w:vMerge/>
            <w:tcBorders>
              <w:left w:val="single" w:sz="4" w:space="0" w:color="000000"/>
              <w:bottom w:val="single" w:sz="4" w:space="0" w:color="FFFFFF"/>
              <w:right w:val="single" w:sz="4" w:space="0" w:color="000000"/>
            </w:tcBorders>
            <w:shd w:val="clear" w:color="auto" w:fill="D2D2D2"/>
          </w:tcPr>
          <w:p>
            <w:pPr/>
          </w:p>
        </w:tc>
        <w:tc>
          <w:tcPr>
            <w:tcW w:w="35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2"/>
              <w:ind w:left="82" w:right="80"/>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5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2"/>
              <w:ind w:left="81" w:right="83"/>
              <w:jc w:val="both"/>
              <w:rPr>
                <w:rFonts w:ascii="宋体" w:hAnsi="宋体" w:cs="宋体" w:eastAsia="宋体" w:hint="default"/>
                <w:sz w:val="18"/>
                <w:szCs w:val="18"/>
              </w:rPr>
            </w:pPr>
            <w:r>
              <w:rPr>
                <w:rFonts w:ascii="宋体" w:hAnsi="宋体" w:cs="宋体" w:eastAsia="宋体" w:hint="default"/>
                <w:sz w:val="18"/>
                <w:szCs w:val="18"/>
              </w:rPr>
              <w:t>永 续 债</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1152" w:type="dxa"/>
            <w:vMerge/>
            <w:tcBorders>
              <w:left w:val="single" w:sz="4" w:space="0" w:color="000000"/>
              <w:bottom w:val="nil" w:sz="6" w:space="0" w:color="auto"/>
              <w:right w:val="single" w:sz="4" w:space="0" w:color="FFFFFF"/>
            </w:tcBorders>
            <w:shd w:val="clear" w:color="auto" w:fill="D2D2D2"/>
          </w:tcPr>
          <w:p>
            <w:pPr/>
          </w:p>
        </w:tc>
        <w:tc>
          <w:tcPr>
            <w:tcW w:w="1045"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43"/>
              <w:ind w:left="427" w:right="66"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415"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FFFFFF"/>
            </w:tcBorders>
            <w:shd w:val="clear" w:color="auto" w:fill="D2D2D2"/>
          </w:tcPr>
          <w:p>
            <w:pPr/>
          </w:p>
        </w:tc>
        <w:tc>
          <w:tcPr>
            <w:tcW w:w="535" w:type="dxa"/>
            <w:vMerge/>
            <w:tcBorders>
              <w:left w:val="single" w:sz="4" w:space="0" w:color="FFFFFF"/>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7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5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6" w:hRule="exact"/>
        </w:trPr>
        <w:tc>
          <w:tcPr>
            <w:tcW w:w="1593" w:type="dxa"/>
            <w:vMerge w:val="restart"/>
            <w:tcBorders>
              <w:top w:val="single" w:sz="4" w:space="0" w:color="FFFFFF"/>
              <w:left w:val="single" w:sz="4" w:space="0" w:color="000000"/>
              <w:right w:val="single" w:sz="4" w:space="0" w:color="000000"/>
            </w:tcBorders>
            <w:shd w:val="clear" w:color="auto" w:fill="D2D2D2"/>
          </w:tcPr>
          <w:p>
            <w:pPr/>
          </w:p>
        </w:tc>
        <w:tc>
          <w:tcPr>
            <w:tcW w:w="118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355" w:type="dxa"/>
            <w:vMerge/>
            <w:tcBorders>
              <w:left w:val="single" w:sz="4" w:space="0" w:color="000000"/>
              <w:right w:val="single" w:sz="4" w:space="0" w:color="000000"/>
            </w:tcBorders>
            <w:shd w:val="clear" w:color="auto" w:fill="D2D2D2"/>
          </w:tcPr>
          <w:p>
            <w:pPr/>
          </w:p>
        </w:tc>
        <w:tc>
          <w:tcPr>
            <w:tcW w:w="355"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5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52"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2"/>
              <w:ind w:left="12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45" w:type="dxa"/>
            <w:vMerge/>
            <w:tcBorders>
              <w:left w:val="single" w:sz="4" w:space="0" w:color="FFFFFF"/>
              <w:right w:val="single" w:sz="4" w:space="0" w:color="000000"/>
            </w:tcBorders>
            <w:shd w:val="clear" w:color="auto" w:fill="D2D2D2"/>
          </w:tcPr>
          <w:p>
            <w:pPr/>
          </w:p>
        </w:tc>
        <w:tc>
          <w:tcPr>
            <w:tcW w:w="415"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2"/>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35" w:type="dxa"/>
            <w:vMerge/>
            <w:tcBorders>
              <w:left w:val="single" w:sz="4" w:space="0" w:color="FFFFFF"/>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41" w:type="dxa"/>
            <w:vMerge/>
            <w:tcBorders>
              <w:left w:val="single" w:sz="4" w:space="0" w:color="000000"/>
              <w:bottom w:val="nil" w:sz="6" w:space="0" w:color="auto"/>
              <w:right w:val="single" w:sz="4" w:space="0" w:color="000000"/>
            </w:tcBorders>
            <w:shd w:val="clear" w:color="auto" w:fill="D2D2D2"/>
          </w:tcPr>
          <w:p>
            <w:pPr/>
          </w:p>
        </w:tc>
        <w:tc>
          <w:tcPr>
            <w:tcW w:w="1376" w:type="dxa"/>
            <w:vMerge/>
            <w:tcBorders>
              <w:left w:val="single" w:sz="4" w:space="0" w:color="000000"/>
              <w:bottom w:val="nil" w:sz="6" w:space="0" w:color="auto"/>
              <w:right w:val="single" w:sz="4" w:space="0" w:color="000000"/>
            </w:tcBorders>
            <w:shd w:val="clear" w:color="auto" w:fill="D2D2D2"/>
          </w:tcPr>
          <w:p>
            <w:pPr/>
          </w:p>
        </w:tc>
      </w:tr>
      <w:tr>
        <w:trPr>
          <w:trHeight w:val="196" w:hRule="exact"/>
        </w:trPr>
        <w:tc>
          <w:tcPr>
            <w:tcW w:w="1593"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355" w:type="dxa"/>
            <w:vMerge/>
            <w:tcBorders>
              <w:left w:val="single" w:sz="4" w:space="0" w:color="000000"/>
              <w:right w:val="single" w:sz="4" w:space="0" w:color="000000"/>
            </w:tcBorders>
            <w:shd w:val="clear" w:color="auto" w:fill="D2D2D2"/>
          </w:tcPr>
          <w:p>
            <w:pPr/>
          </w:p>
        </w:tc>
        <w:tc>
          <w:tcPr>
            <w:tcW w:w="355"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41" w:type="dxa"/>
            <w:vMerge/>
            <w:tcBorders>
              <w:left w:val="single" w:sz="4" w:space="0" w:color="000000"/>
              <w:bottom w:val="nil" w:sz="6" w:space="0" w:color="auto"/>
              <w:right w:val="single" w:sz="4" w:space="0" w:color="000000"/>
            </w:tcBorders>
            <w:shd w:val="clear" w:color="auto" w:fill="D2D2D2"/>
          </w:tcPr>
          <w:p>
            <w:pPr/>
          </w:p>
        </w:tc>
        <w:tc>
          <w:tcPr>
            <w:tcW w:w="1152" w:type="dxa"/>
            <w:vMerge/>
            <w:tcBorders>
              <w:left w:val="single" w:sz="4" w:space="0" w:color="000000"/>
              <w:bottom w:val="nil" w:sz="6" w:space="0" w:color="auto"/>
              <w:right w:val="single" w:sz="4" w:space="0" w:color="FFFFFF"/>
            </w:tcBorders>
            <w:shd w:val="clear" w:color="auto" w:fill="D2D2D2"/>
          </w:tcPr>
          <w:p>
            <w:pPr/>
          </w:p>
        </w:tc>
        <w:tc>
          <w:tcPr>
            <w:tcW w:w="1045" w:type="dxa"/>
            <w:vMerge/>
            <w:tcBorders>
              <w:left w:val="single" w:sz="4" w:space="0" w:color="FFFFFF"/>
              <w:right w:val="single" w:sz="4" w:space="0" w:color="000000"/>
            </w:tcBorders>
            <w:shd w:val="clear" w:color="auto" w:fill="D2D2D2"/>
          </w:tcPr>
          <w:p>
            <w:pPr/>
          </w:p>
        </w:tc>
        <w:tc>
          <w:tcPr>
            <w:tcW w:w="415"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FFFFFF"/>
            </w:tcBorders>
            <w:shd w:val="clear" w:color="auto" w:fill="D2D2D2"/>
          </w:tcPr>
          <w:p>
            <w:pPr/>
          </w:p>
        </w:tc>
        <w:tc>
          <w:tcPr>
            <w:tcW w:w="535" w:type="dxa"/>
            <w:vMerge/>
            <w:tcBorders>
              <w:left w:val="single" w:sz="4" w:space="0" w:color="FFFFFF"/>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
        </w:tc>
        <w:tc>
          <w:tcPr>
            <w:tcW w:w="1376" w:type="dxa"/>
            <w:vMerge w:val="restart"/>
            <w:tcBorders>
              <w:top w:val="nil" w:sz="6" w:space="0" w:color="auto"/>
              <w:left w:val="single" w:sz="4" w:space="0" w:color="000000"/>
              <w:right w:val="single" w:sz="4" w:space="0" w:color="000000"/>
            </w:tcBorders>
            <w:shd w:val="clear" w:color="auto" w:fill="D2D2D2"/>
          </w:tcPr>
          <w:p>
            <w:pPr/>
          </w:p>
        </w:tc>
      </w:tr>
      <w:tr>
        <w:trPr>
          <w:trHeight w:val="179" w:hRule="exact"/>
        </w:trPr>
        <w:tc>
          <w:tcPr>
            <w:tcW w:w="1593"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355" w:type="dxa"/>
            <w:vMerge/>
            <w:tcBorders>
              <w:left w:val="single" w:sz="4" w:space="0" w:color="000000"/>
              <w:right w:val="single" w:sz="4" w:space="0" w:color="000000"/>
            </w:tcBorders>
            <w:shd w:val="clear" w:color="auto" w:fill="D2D2D2"/>
          </w:tcPr>
          <w:p>
            <w:pPr/>
          </w:p>
        </w:tc>
        <w:tc>
          <w:tcPr>
            <w:tcW w:w="355"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
        </w:tc>
        <w:tc>
          <w:tcPr>
            <w:tcW w:w="1152" w:type="dxa"/>
            <w:vMerge w:val="restart"/>
            <w:tcBorders>
              <w:top w:val="nil" w:sz="6" w:space="0" w:color="auto"/>
              <w:left w:val="single" w:sz="4" w:space="0" w:color="000000"/>
              <w:right w:val="single" w:sz="4" w:space="0" w:color="FFFFFF"/>
            </w:tcBorders>
            <w:shd w:val="clear" w:color="auto" w:fill="D2D2D2"/>
          </w:tcPr>
          <w:p>
            <w:pPr/>
          </w:p>
        </w:tc>
        <w:tc>
          <w:tcPr>
            <w:tcW w:w="1045" w:type="dxa"/>
            <w:vMerge/>
            <w:tcBorders>
              <w:left w:val="single" w:sz="4" w:space="0" w:color="FFFFFF"/>
              <w:bottom w:val="nil" w:sz="6" w:space="0" w:color="auto"/>
              <w:right w:val="single" w:sz="4" w:space="0" w:color="000000"/>
            </w:tcBorders>
            <w:shd w:val="clear" w:color="auto" w:fill="D2D2D2"/>
          </w:tcPr>
          <w:p>
            <w:pPr/>
          </w:p>
        </w:tc>
        <w:tc>
          <w:tcPr>
            <w:tcW w:w="415"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FFFFFF"/>
            </w:tcBorders>
            <w:shd w:val="clear" w:color="auto" w:fill="D2D2D2"/>
          </w:tcPr>
          <w:p>
            <w:pPr/>
          </w:p>
        </w:tc>
        <w:tc>
          <w:tcPr>
            <w:tcW w:w="535" w:type="dxa"/>
            <w:vMerge/>
            <w:tcBorders>
              <w:left w:val="single" w:sz="4" w:space="0" w:color="FFFFFF"/>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376" w:type="dxa"/>
            <w:vMerge/>
            <w:tcBorders>
              <w:left w:val="single" w:sz="4" w:space="0" w:color="000000"/>
              <w:right w:val="single" w:sz="4" w:space="0" w:color="000000"/>
            </w:tcBorders>
            <w:shd w:val="clear" w:color="auto" w:fill="D2D2D2"/>
          </w:tcPr>
          <w:p>
            <w:pPr/>
          </w:p>
        </w:tc>
      </w:tr>
      <w:tr>
        <w:trPr>
          <w:trHeight w:val="133" w:hRule="exact"/>
        </w:trPr>
        <w:tc>
          <w:tcPr>
            <w:tcW w:w="1593"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355" w:type="dxa"/>
            <w:vMerge/>
            <w:tcBorders>
              <w:left w:val="single" w:sz="4" w:space="0" w:color="000000"/>
              <w:right w:val="single" w:sz="4" w:space="0" w:color="000000"/>
            </w:tcBorders>
            <w:shd w:val="clear" w:color="auto" w:fill="D2D2D2"/>
          </w:tcPr>
          <w:p>
            <w:pPr/>
          </w:p>
        </w:tc>
        <w:tc>
          <w:tcPr>
            <w:tcW w:w="355"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FFFFFF"/>
            </w:tcBorders>
            <w:shd w:val="clear" w:color="auto" w:fill="D2D2D2"/>
          </w:tcPr>
          <w:p>
            <w:pPr/>
          </w:p>
        </w:tc>
        <w:tc>
          <w:tcPr>
            <w:tcW w:w="1045" w:type="dxa"/>
            <w:vMerge w:val="restart"/>
            <w:tcBorders>
              <w:top w:val="nil" w:sz="6" w:space="0" w:color="auto"/>
              <w:left w:val="single" w:sz="4" w:space="0" w:color="FFFFFF"/>
              <w:right w:val="single" w:sz="4" w:space="0" w:color="000000"/>
            </w:tcBorders>
            <w:shd w:val="clear" w:color="auto" w:fill="D2D2D2"/>
          </w:tcPr>
          <w:p>
            <w:pPr/>
          </w:p>
        </w:tc>
        <w:tc>
          <w:tcPr>
            <w:tcW w:w="415"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FFFFFF"/>
            </w:tcBorders>
            <w:shd w:val="clear" w:color="auto" w:fill="D2D2D2"/>
          </w:tcPr>
          <w:p>
            <w:pPr/>
          </w:p>
        </w:tc>
        <w:tc>
          <w:tcPr>
            <w:tcW w:w="535" w:type="dxa"/>
            <w:vMerge/>
            <w:tcBorders>
              <w:left w:val="single" w:sz="4" w:space="0" w:color="FFFFFF"/>
              <w:bottom w:val="nil" w:sz="6" w:space="0" w:color="auto"/>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376" w:type="dxa"/>
            <w:vMerge/>
            <w:tcBorders>
              <w:left w:val="single" w:sz="4" w:space="0" w:color="000000"/>
              <w:right w:val="single" w:sz="4" w:space="0" w:color="000000"/>
            </w:tcBorders>
            <w:shd w:val="clear" w:color="auto" w:fill="D2D2D2"/>
          </w:tcPr>
          <w:p>
            <w:pPr/>
          </w:p>
        </w:tc>
      </w:tr>
      <w:tr>
        <w:trPr>
          <w:trHeight w:val="206" w:hRule="exact"/>
        </w:trPr>
        <w:tc>
          <w:tcPr>
            <w:tcW w:w="1593"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355" w:type="dxa"/>
            <w:vMerge/>
            <w:tcBorders>
              <w:left w:val="single" w:sz="4" w:space="0" w:color="000000"/>
              <w:bottom w:val="single" w:sz="4" w:space="0" w:color="000000"/>
              <w:right w:val="single" w:sz="4" w:space="0" w:color="000000"/>
            </w:tcBorders>
            <w:shd w:val="clear" w:color="auto" w:fill="D2D2D2"/>
          </w:tcPr>
          <w:p>
            <w:pPr/>
          </w:p>
        </w:tc>
        <w:tc>
          <w:tcPr>
            <w:tcW w:w="355"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241"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FFFFFF"/>
            </w:tcBorders>
            <w:shd w:val="clear" w:color="auto" w:fill="D2D2D2"/>
          </w:tcPr>
          <w:p>
            <w:pPr/>
          </w:p>
        </w:tc>
        <w:tc>
          <w:tcPr>
            <w:tcW w:w="1045" w:type="dxa"/>
            <w:vMerge/>
            <w:tcBorders>
              <w:left w:val="single" w:sz="4" w:space="0" w:color="FFFFFF"/>
              <w:bottom w:val="single" w:sz="4" w:space="0" w:color="000000"/>
              <w:right w:val="single" w:sz="4" w:space="0" w:color="000000"/>
            </w:tcBorders>
            <w:shd w:val="clear" w:color="auto" w:fill="D2D2D2"/>
          </w:tcPr>
          <w:p>
            <w:pPr/>
          </w:p>
        </w:tc>
        <w:tc>
          <w:tcPr>
            <w:tcW w:w="415"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FFFFFF"/>
            </w:tcBorders>
            <w:shd w:val="clear" w:color="auto" w:fill="D2D2D2"/>
          </w:tcPr>
          <w:p>
            <w:pPr/>
          </w:p>
        </w:tc>
        <w:tc>
          <w:tcPr>
            <w:tcW w:w="535" w:type="dxa"/>
            <w:tcBorders>
              <w:top w:val="nil" w:sz="6" w:space="0" w:color="auto"/>
              <w:left w:val="single" w:sz="4" w:space="0" w:color="FFFFFF"/>
              <w:bottom w:val="single" w:sz="4" w:space="0" w:color="000000"/>
              <w:right w:val="single" w:sz="4" w:space="0" w:color="000000"/>
            </w:tcBorders>
            <w:shd w:val="clear" w:color="auto" w:fill="D2D2D2"/>
          </w:tcPr>
          <w:p>
            <w:pPr/>
          </w:p>
        </w:tc>
        <w:tc>
          <w:tcPr>
            <w:tcW w:w="1241" w:type="dxa"/>
            <w:vMerge/>
            <w:tcBorders>
              <w:left w:val="single" w:sz="4" w:space="0" w:color="000000"/>
              <w:bottom w:val="single" w:sz="4" w:space="0" w:color="000000"/>
              <w:right w:val="single" w:sz="4" w:space="0" w:color="000000"/>
            </w:tcBorders>
            <w:shd w:val="clear" w:color="auto" w:fill="D2D2D2"/>
          </w:tcPr>
          <w:p>
            <w:pPr/>
          </w:p>
        </w:tc>
        <w:tc>
          <w:tcPr>
            <w:tcW w:w="1241" w:type="dxa"/>
            <w:vMerge/>
            <w:tcBorders>
              <w:left w:val="single" w:sz="4" w:space="0" w:color="000000"/>
              <w:bottom w:val="single" w:sz="4" w:space="0" w:color="000000"/>
              <w:right w:val="single" w:sz="4" w:space="0" w:color="000000"/>
            </w:tcBorders>
            <w:shd w:val="clear" w:color="auto" w:fill="D2D2D2"/>
          </w:tcPr>
          <w:p>
            <w:pPr/>
          </w:p>
        </w:tc>
        <w:tc>
          <w:tcPr>
            <w:tcW w:w="137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 动额结转留存收益</w:t>
            </w:r>
          </w:p>
        </w:tc>
        <w:tc>
          <w:tcPr>
            <w:tcW w:w="1181" w:type="dxa"/>
            <w:tcBorders>
              <w:top w:val="single" w:sz="4" w:space="0" w:color="000000"/>
              <w:left w:val="single" w:sz="13" w:space="0" w:color="D2D2D2"/>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FFFFFF"/>
            </w:tcBorders>
          </w:tcPr>
          <w:p>
            <w:pPr/>
          </w:p>
        </w:tc>
        <w:tc>
          <w:tcPr>
            <w:tcW w:w="1045" w:type="dxa"/>
            <w:tcBorders>
              <w:top w:val="single" w:sz="4" w:space="0" w:color="000000"/>
              <w:left w:val="single" w:sz="4" w:space="0" w:color="FFFFFF"/>
              <w:bottom w:val="single" w:sz="4" w:space="0" w:color="000000"/>
              <w:right w:val="single" w:sz="4" w:space="0" w:color="000000"/>
            </w:tcBorders>
          </w:tcPr>
          <w:p>
            <w:pPr/>
          </w:p>
        </w:tc>
        <w:tc>
          <w:tcPr>
            <w:tcW w:w="415" w:type="dxa"/>
            <w:tcBorders>
              <w:top w:val="single" w:sz="18" w:space="0" w:color="D2D2D2"/>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35" w:type="dxa"/>
            <w:tcBorders>
              <w:top w:val="single" w:sz="4" w:space="0" w:color="000000"/>
              <w:left w:val="single" w:sz="4" w:space="0" w:color="FFFFFF"/>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81" w:type="dxa"/>
            <w:tcBorders>
              <w:top w:val="single" w:sz="4" w:space="0" w:color="000000"/>
              <w:left w:val="single" w:sz="13" w:space="0" w:color="D2D2D2"/>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FFFFFF"/>
            </w:tcBorders>
          </w:tcPr>
          <w:p>
            <w:pPr/>
          </w:p>
        </w:tc>
        <w:tc>
          <w:tcPr>
            <w:tcW w:w="1045" w:type="dxa"/>
            <w:tcBorders>
              <w:top w:val="single" w:sz="4" w:space="0" w:color="000000"/>
              <w:left w:val="single" w:sz="4" w:space="0" w:color="FFFFFF"/>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35" w:type="dxa"/>
            <w:tcBorders>
              <w:top w:val="single" w:sz="4" w:space="0" w:color="000000"/>
              <w:left w:val="single" w:sz="4" w:space="0" w:color="FFFFFF"/>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13" w:space="0" w:color="D2D2D2"/>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FFFFFF"/>
            </w:tcBorders>
          </w:tcPr>
          <w:p>
            <w:pPr/>
          </w:p>
        </w:tc>
        <w:tc>
          <w:tcPr>
            <w:tcW w:w="1045" w:type="dxa"/>
            <w:tcBorders>
              <w:top w:val="single" w:sz="4" w:space="0" w:color="000000"/>
              <w:left w:val="single" w:sz="4" w:space="0" w:color="FFFFFF"/>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35" w:type="dxa"/>
            <w:tcBorders>
              <w:top w:val="single" w:sz="4" w:space="0" w:color="000000"/>
              <w:left w:val="single" w:sz="4" w:space="0" w:color="FFFFFF"/>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13" w:space="0" w:color="D2D2D2"/>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FFFFFF"/>
            </w:tcBorders>
          </w:tcPr>
          <w:p>
            <w:pPr/>
          </w:p>
        </w:tc>
        <w:tc>
          <w:tcPr>
            <w:tcW w:w="1045" w:type="dxa"/>
            <w:tcBorders>
              <w:top w:val="single" w:sz="4" w:space="0" w:color="000000"/>
              <w:left w:val="single" w:sz="4" w:space="0" w:color="FFFFFF"/>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35" w:type="dxa"/>
            <w:tcBorders>
              <w:top w:val="single" w:sz="4" w:space="0" w:color="000000"/>
              <w:left w:val="single" w:sz="4" w:space="0" w:color="FFFFFF"/>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13" w:space="0" w:color="D2D2D2"/>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FFFFFF"/>
            </w:tcBorders>
          </w:tcPr>
          <w:p>
            <w:pPr/>
          </w:p>
        </w:tc>
        <w:tc>
          <w:tcPr>
            <w:tcW w:w="1045" w:type="dxa"/>
            <w:tcBorders>
              <w:top w:val="single" w:sz="4" w:space="0" w:color="000000"/>
              <w:left w:val="single" w:sz="4" w:space="0" w:color="FFFFFF"/>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35" w:type="dxa"/>
            <w:tcBorders>
              <w:top w:val="single" w:sz="4" w:space="0" w:color="000000"/>
              <w:left w:val="single" w:sz="4" w:space="0" w:color="FFFFFF"/>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13" w:space="0" w:color="D2D2D2"/>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FFFFFF"/>
            </w:tcBorders>
          </w:tcPr>
          <w:p>
            <w:pPr/>
          </w:p>
        </w:tc>
        <w:tc>
          <w:tcPr>
            <w:tcW w:w="1045" w:type="dxa"/>
            <w:tcBorders>
              <w:top w:val="single" w:sz="4" w:space="0" w:color="000000"/>
              <w:left w:val="single" w:sz="4" w:space="0" w:color="FFFFFF"/>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35" w:type="dxa"/>
            <w:tcBorders>
              <w:top w:val="single" w:sz="4" w:space="0" w:color="000000"/>
              <w:left w:val="single" w:sz="4" w:space="0" w:color="FFFFFF"/>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 w:right="0"/>
              <w:jc w:val="left"/>
              <w:rPr>
                <w:rFonts w:ascii="Times New Roman" w:hAnsi="Times New Roman" w:cs="Times New Roman" w:eastAsia="Times New Roman" w:hint="default"/>
                <w:sz w:val="18"/>
                <w:szCs w:val="18"/>
              </w:rPr>
            </w:pPr>
            <w:r>
              <w:rPr>
                <w:rFonts w:ascii="Times New Roman"/>
                <w:sz w:val="18"/>
              </w:rPr>
              <w:t>711,226,578.00</w:t>
            </w:r>
          </w:p>
        </w:tc>
        <w:tc>
          <w:tcPr>
            <w:tcW w:w="35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154,587,824.25</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258,987,182.74</w:t>
            </w:r>
          </w:p>
        </w:tc>
        <w:tc>
          <w:tcPr>
            <w:tcW w:w="115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29,874,024.00</w:t>
            </w:r>
          </w:p>
        </w:tc>
        <w:tc>
          <w:tcPr>
            <w:tcW w:w="104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left="202" w:right="0"/>
              <w:jc w:val="left"/>
              <w:rPr>
                <w:rFonts w:ascii="Times New Roman" w:hAnsi="Times New Roman" w:cs="Times New Roman" w:eastAsia="Times New Roman" w:hint="default"/>
                <w:sz w:val="18"/>
                <w:szCs w:val="18"/>
              </w:rPr>
            </w:pPr>
            <w:r>
              <w:rPr>
                <w:rFonts w:ascii="Times New Roman"/>
                <w:sz w:val="18"/>
              </w:rPr>
              <w:t>791,865.03</w:t>
            </w:r>
          </w:p>
        </w:tc>
        <w:tc>
          <w:tcPr>
            <w:tcW w:w="4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72,495,704.44</w:t>
            </w:r>
          </w:p>
        </w:tc>
        <w:tc>
          <w:tcPr>
            <w:tcW w:w="535" w:type="dxa"/>
            <w:tcBorders>
              <w:top w:val="single" w:sz="4" w:space="0" w:color="000000"/>
              <w:left w:val="single" w:sz="4" w:space="0" w:color="FFFFFF"/>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4" w:right="0"/>
              <w:jc w:val="left"/>
              <w:rPr>
                <w:rFonts w:ascii="Times New Roman" w:hAnsi="Times New Roman" w:cs="Times New Roman" w:eastAsia="Times New Roman" w:hint="default"/>
                <w:sz w:val="18"/>
                <w:szCs w:val="18"/>
              </w:rPr>
            </w:pPr>
            <w:r>
              <w:rPr>
                <w:rFonts w:ascii="Times New Roman"/>
                <w:sz w:val="18"/>
              </w:rPr>
              <w:t>-34,386,587.17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32,740,644.85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1,166,569,188.14</w:t>
            </w:r>
          </w:p>
        </w:tc>
      </w:tr>
    </w:tbl>
    <w:p>
      <w:pPr>
        <w:pStyle w:val="BodyText"/>
        <w:spacing w:line="240" w:lineRule="auto" w:before="51"/>
        <w:ind w:left="140" w:right="0"/>
        <w:jc w:val="left"/>
      </w:pPr>
      <w:r>
        <w:rPr/>
        <w:t>上期金额</w:t>
      </w:r>
    </w:p>
    <w:p>
      <w:pPr>
        <w:pStyle w:val="BodyText"/>
        <w:spacing w:line="240" w:lineRule="auto" w:before="117"/>
        <w:ind w:left="0" w:right="136"/>
        <w:jc w:val="right"/>
      </w:pPr>
      <w:r>
        <w:rPr/>
        <w:t>单位：元</w:t>
      </w:r>
    </w:p>
    <w:p>
      <w:pPr>
        <w:spacing w:line="240" w:lineRule="auto" w:before="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664"/>
        <w:gridCol w:w="1182"/>
        <w:gridCol w:w="364"/>
        <w:gridCol w:w="364"/>
        <w:gridCol w:w="1181"/>
        <w:gridCol w:w="1316"/>
        <w:gridCol w:w="1091"/>
        <w:gridCol w:w="1088"/>
        <w:gridCol w:w="428"/>
        <w:gridCol w:w="1091"/>
        <w:gridCol w:w="556"/>
        <w:gridCol w:w="1181"/>
        <w:gridCol w:w="1181"/>
        <w:gridCol w:w="1316"/>
      </w:tblGrid>
      <w:tr>
        <w:trPr>
          <w:trHeight w:val="402" w:hRule="exact"/>
        </w:trPr>
        <w:tc>
          <w:tcPr>
            <w:tcW w:w="1664" w:type="dxa"/>
            <w:vMerge w:val="restart"/>
            <w:tcBorders>
              <w:top w:val="single" w:sz="4" w:space="0" w:color="000000"/>
              <w:left w:val="single" w:sz="4" w:space="0" w:color="000000"/>
              <w:right w:val="single" w:sz="4" w:space="0" w:color="000000"/>
            </w:tcBorders>
            <w:shd w:val="clear" w:color="auto" w:fill="D2D2D2"/>
          </w:tcPr>
          <w:p>
            <w:pPr/>
          </w:p>
        </w:tc>
        <w:tc>
          <w:tcPr>
            <w:tcW w:w="12339"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664" w:type="dxa"/>
            <w:vMerge/>
            <w:tcBorders>
              <w:left w:val="single" w:sz="4" w:space="0" w:color="000000"/>
              <w:right w:val="single" w:sz="4" w:space="0" w:color="000000"/>
            </w:tcBorders>
            <w:shd w:val="clear" w:color="auto" w:fill="D2D2D2"/>
          </w:tcPr>
          <w:p>
            <w:pPr/>
          </w:p>
        </w:tc>
        <w:tc>
          <w:tcPr>
            <w:tcW w:w="984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316"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1664" w:type="dxa"/>
            <w:vMerge/>
            <w:tcBorders>
              <w:left w:val="single" w:sz="4" w:space="0" w:color="000000"/>
              <w:bottom w:val="nil" w:sz="6" w:space="0" w:color="auto"/>
              <w:right w:val="single" w:sz="4" w:space="0" w:color="000000"/>
            </w:tcBorders>
            <w:shd w:val="clear" w:color="auto" w:fill="D2D2D2"/>
          </w:tcPr>
          <w:p>
            <w:pPr/>
          </w:p>
        </w:tc>
        <w:tc>
          <w:tcPr>
            <w:tcW w:w="1182" w:type="dxa"/>
            <w:vMerge w:val="restart"/>
            <w:tcBorders>
              <w:top w:val="single" w:sz="4" w:space="0" w:color="000000"/>
              <w:left w:val="single" w:sz="4" w:space="0" w:color="000000"/>
              <w:right w:val="single" w:sz="4" w:space="0" w:color="000000"/>
            </w:tcBorders>
            <w:shd w:val="clear" w:color="auto" w:fill="D2D2D2"/>
          </w:tcPr>
          <w:p>
            <w:pPr/>
          </w:p>
        </w:tc>
        <w:tc>
          <w:tcPr>
            <w:tcW w:w="190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6" w:type="dxa"/>
            <w:vMerge w:val="restart"/>
            <w:tcBorders>
              <w:top w:val="single" w:sz="4" w:space="0" w:color="000000"/>
              <w:left w:val="single" w:sz="4" w:space="0" w:color="000000"/>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000000"/>
            </w:tcBorders>
            <w:shd w:val="clear" w:color="auto" w:fill="D2D2D2"/>
          </w:tcPr>
          <w:p>
            <w:pPr/>
          </w:p>
        </w:tc>
        <w:tc>
          <w:tcPr>
            <w:tcW w:w="1088" w:type="dxa"/>
            <w:vMerge w:val="restart"/>
            <w:tcBorders>
              <w:top w:val="single" w:sz="4" w:space="0" w:color="000000"/>
              <w:left w:val="single" w:sz="4" w:space="0" w:color="000000"/>
              <w:right w:val="single" w:sz="4" w:space="0" w:color="000000"/>
            </w:tcBorders>
            <w:shd w:val="clear" w:color="auto" w:fill="D2D2D2"/>
          </w:tcPr>
          <w:p>
            <w:pPr/>
          </w:p>
        </w:tc>
        <w:tc>
          <w:tcPr>
            <w:tcW w:w="428" w:type="dxa"/>
            <w:vMerge w:val="restart"/>
            <w:tcBorders>
              <w:top w:val="single" w:sz="4" w:space="0" w:color="000000"/>
              <w:left w:val="single" w:sz="4" w:space="0" w:color="000000"/>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000000"/>
            </w:tcBorders>
            <w:shd w:val="clear" w:color="auto" w:fill="D2D2D2"/>
          </w:tcPr>
          <w:p>
            <w:pPr/>
          </w:p>
        </w:tc>
        <w:tc>
          <w:tcPr>
            <w:tcW w:w="556"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90" w:hRule="exact"/>
        </w:trPr>
        <w:tc>
          <w:tcPr>
            <w:tcW w:w="16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182" w:type="dxa"/>
            <w:vMerge/>
            <w:tcBorders>
              <w:left w:val="single" w:sz="4" w:space="0" w:color="000000"/>
              <w:right w:val="single" w:sz="4" w:space="0" w:color="000000"/>
            </w:tcBorders>
            <w:shd w:val="clear" w:color="auto" w:fill="D2D2D2"/>
          </w:tcPr>
          <w:p>
            <w:pPr/>
          </w:p>
        </w:tc>
        <w:tc>
          <w:tcPr>
            <w:tcW w:w="1908" w:type="dxa"/>
            <w:gridSpan w:val="3"/>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1088" w:type="dxa"/>
            <w:vMerge/>
            <w:tcBorders>
              <w:left w:val="single" w:sz="4" w:space="0" w:color="000000"/>
              <w:right w:val="single" w:sz="4" w:space="0" w:color="000000"/>
            </w:tcBorders>
            <w:shd w:val="clear" w:color="auto" w:fill="D2D2D2"/>
          </w:tcPr>
          <w:p>
            <w:pPr/>
          </w:p>
        </w:tc>
        <w:tc>
          <w:tcPr>
            <w:tcW w:w="428"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556"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134" w:hRule="exact"/>
        </w:trPr>
        <w:tc>
          <w:tcPr>
            <w:tcW w:w="1664" w:type="dxa"/>
            <w:vMerge/>
            <w:tcBorders>
              <w:left w:val="single" w:sz="4" w:space="0" w:color="000000"/>
              <w:right w:val="single" w:sz="4" w:space="0" w:color="000000"/>
            </w:tcBorders>
            <w:shd w:val="clear" w:color="auto" w:fill="D2D2D2"/>
          </w:tcPr>
          <w:p>
            <w:pPr/>
          </w:p>
        </w:tc>
        <w:tc>
          <w:tcPr>
            <w:tcW w:w="1182" w:type="dxa"/>
            <w:vMerge/>
            <w:tcBorders>
              <w:left w:val="single" w:sz="4" w:space="0" w:color="000000"/>
              <w:right w:val="single" w:sz="4" w:space="0" w:color="000000"/>
            </w:tcBorders>
            <w:shd w:val="clear" w:color="auto" w:fill="D2D2D2"/>
          </w:tcPr>
          <w:p>
            <w:pPr/>
          </w:p>
        </w:tc>
        <w:tc>
          <w:tcPr>
            <w:tcW w:w="1908" w:type="dxa"/>
            <w:gridSpan w:val="3"/>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1088" w:type="dxa"/>
            <w:vMerge/>
            <w:tcBorders>
              <w:left w:val="single" w:sz="4" w:space="0" w:color="000000"/>
              <w:bottom w:val="nil" w:sz="6" w:space="0" w:color="auto"/>
              <w:right w:val="single" w:sz="4" w:space="0" w:color="000000"/>
            </w:tcBorders>
            <w:shd w:val="clear" w:color="auto" w:fill="D2D2D2"/>
          </w:tcPr>
          <w:p>
            <w:pPr/>
          </w:p>
        </w:tc>
        <w:tc>
          <w:tcPr>
            <w:tcW w:w="428"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55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18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45" w:hRule="exact"/>
        </w:trPr>
        <w:tc>
          <w:tcPr>
            <w:tcW w:w="1664" w:type="dxa"/>
            <w:vMerge/>
            <w:tcBorders>
              <w:left w:val="single" w:sz="4" w:space="0" w:color="000000"/>
              <w:bottom w:val="single" w:sz="4" w:space="0" w:color="FFFFFF"/>
              <w:right w:val="single" w:sz="4" w:space="0" w:color="000000"/>
            </w:tcBorders>
            <w:shd w:val="clear" w:color="auto" w:fill="D2D2D2"/>
          </w:tcPr>
          <w:p>
            <w:pPr/>
          </w:p>
        </w:tc>
        <w:tc>
          <w:tcPr>
            <w:tcW w:w="1182" w:type="dxa"/>
            <w:vMerge/>
            <w:tcBorders>
              <w:left w:val="single" w:sz="4" w:space="0" w:color="000000"/>
              <w:bottom w:val="single" w:sz="4" w:space="0" w:color="FFFFFF"/>
              <w:right w:val="single" w:sz="4" w:space="0" w:color="000000"/>
            </w:tcBorders>
            <w:shd w:val="clear" w:color="auto" w:fill="D2D2D2"/>
          </w:tcPr>
          <w:p>
            <w:pPr/>
          </w:p>
        </w:tc>
        <w:tc>
          <w:tcPr>
            <w:tcW w:w="3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3"/>
              <w:ind w:left="86" w:right="85"/>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3"/>
              <w:ind w:left="86" w:right="85"/>
              <w:jc w:val="both"/>
              <w:rPr>
                <w:rFonts w:ascii="宋体" w:hAnsi="宋体" w:cs="宋体" w:eastAsia="宋体" w:hint="default"/>
                <w:sz w:val="18"/>
                <w:szCs w:val="18"/>
              </w:rPr>
            </w:pPr>
            <w:r>
              <w:rPr>
                <w:rFonts w:ascii="宋体" w:hAnsi="宋体" w:cs="宋体" w:eastAsia="宋体" w:hint="default"/>
                <w:sz w:val="18"/>
                <w:szCs w:val="18"/>
              </w:rPr>
              <w:t>永 续 债</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08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2"/>
              <w:ind w:left="448" w:right="89"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42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2"/>
              <w:ind w:left="28" w:right="29"/>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91" w:type="dxa"/>
            <w:vMerge/>
            <w:tcBorders>
              <w:left w:val="single" w:sz="4" w:space="0" w:color="000000"/>
              <w:bottom w:val="nil" w:sz="6" w:space="0" w:color="auto"/>
              <w:right w:val="single" w:sz="4" w:space="0" w:color="000000"/>
            </w:tcBorders>
            <w:shd w:val="clear" w:color="auto" w:fill="D2D2D2"/>
          </w:tcPr>
          <w:p>
            <w:pPr/>
          </w:p>
        </w:tc>
        <w:tc>
          <w:tcPr>
            <w:tcW w:w="556"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4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7" w:hRule="exact"/>
        </w:trPr>
        <w:tc>
          <w:tcPr>
            <w:tcW w:w="1664" w:type="dxa"/>
            <w:vMerge w:val="restart"/>
            <w:tcBorders>
              <w:top w:val="single" w:sz="4" w:space="0" w:color="FFFFFF"/>
              <w:left w:val="single" w:sz="4" w:space="0" w:color="000000"/>
              <w:right w:val="single" w:sz="4" w:space="0" w:color="000000"/>
            </w:tcBorders>
            <w:shd w:val="clear" w:color="auto" w:fill="D2D2D2"/>
          </w:tcPr>
          <w:p>
            <w:pPr/>
          </w:p>
        </w:tc>
        <w:tc>
          <w:tcPr>
            <w:tcW w:w="118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364" w:type="dxa"/>
            <w:vMerge/>
            <w:tcBorders>
              <w:left w:val="single" w:sz="4" w:space="0" w:color="000000"/>
              <w:right w:val="single" w:sz="4" w:space="0" w:color="000000"/>
            </w:tcBorders>
            <w:shd w:val="clear" w:color="auto" w:fill="D2D2D2"/>
          </w:tcPr>
          <w:p>
            <w:pPr/>
          </w:p>
        </w:tc>
        <w:tc>
          <w:tcPr>
            <w:tcW w:w="364"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9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89"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88" w:type="dxa"/>
            <w:vMerge/>
            <w:tcBorders>
              <w:left w:val="single" w:sz="4" w:space="0" w:color="000000"/>
              <w:right w:val="single" w:sz="4" w:space="0" w:color="000000"/>
            </w:tcBorders>
            <w:shd w:val="clear" w:color="auto" w:fill="D2D2D2"/>
          </w:tcPr>
          <w:p>
            <w:pPr/>
          </w:p>
        </w:tc>
        <w:tc>
          <w:tcPr>
            <w:tcW w:w="428"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56"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1"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96" w:hRule="exact"/>
        </w:trPr>
        <w:tc>
          <w:tcPr>
            <w:tcW w:w="1664" w:type="dxa"/>
            <w:vMerge/>
            <w:tcBorders>
              <w:left w:val="single" w:sz="4" w:space="0" w:color="000000"/>
              <w:right w:val="single" w:sz="4" w:space="0" w:color="000000"/>
            </w:tcBorders>
            <w:shd w:val="clear" w:color="auto" w:fill="D2D2D2"/>
          </w:tcPr>
          <w:p>
            <w:pPr/>
          </w:p>
        </w:tc>
        <w:tc>
          <w:tcPr>
            <w:tcW w:w="1182" w:type="dxa"/>
            <w:vMerge/>
            <w:tcBorders>
              <w:left w:val="single" w:sz="4" w:space="0" w:color="000000"/>
              <w:bottom w:val="nil" w:sz="6" w:space="0" w:color="auto"/>
              <w:right w:val="single" w:sz="4" w:space="0" w:color="000000"/>
            </w:tcBorders>
            <w:shd w:val="clear" w:color="auto" w:fill="D2D2D2"/>
          </w:tcPr>
          <w:p>
            <w:pPr/>
          </w:p>
        </w:tc>
        <w:tc>
          <w:tcPr>
            <w:tcW w:w="364" w:type="dxa"/>
            <w:vMerge/>
            <w:tcBorders>
              <w:left w:val="single" w:sz="4" w:space="0" w:color="000000"/>
              <w:right w:val="single" w:sz="4" w:space="0" w:color="000000"/>
            </w:tcBorders>
            <w:shd w:val="clear" w:color="auto" w:fill="D2D2D2"/>
          </w:tcPr>
          <w:p>
            <w:pPr/>
          </w:p>
        </w:tc>
        <w:tc>
          <w:tcPr>
            <w:tcW w:w="364"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16"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088" w:type="dxa"/>
            <w:vMerge/>
            <w:tcBorders>
              <w:left w:val="single" w:sz="4" w:space="0" w:color="000000"/>
              <w:right w:val="single" w:sz="4" w:space="0" w:color="000000"/>
            </w:tcBorders>
            <w:shd w:val="clear" w:color="auto" w:fill="D2D2D2"/>
          </w:tcPr>
          <w:p>
            <w:pPr/>
          </w:p>
        </w:tc>
        <w:tc>
          <w:tcPr>
            <w:tcW w:w="428"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556"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r>
      <w:tr>
        <w:trPr>
          <w:trHeight w:val="178" w:hRule="exact"/>
        </w:trPr>
        <w:tc>
          <w:tcPr>
            <w:tcW w:w="1664" w:type="dxa"/>
            <w:vMerge/>
            <w:tcBorders>
              <w:left w:val="single" w:sz="4" w:space="0" w:color="000000"/>
              <w:right w:val="single" w:sz="4" w:space="0" w:color="000000"/>
            </w:tcBorders>
            <w:shd w:val="clear" w:color="auto" w:fill="D2D2D2"/>
          </w:tcPr>
          <w:p>
            <w:pPr/>
          </w:p>
        </w:tc>
        <w:tc>
          <w:tcPr>
            <w:tcW w:w="1182" w:type="dxa"/>
            <w:vMerge w:val="restart"/>
            <w:tcBorders>
              <w:top w:val="nil" w:sz="6" w:space="0" w:color="auto"/>
              <w:left w:val="single" w:sz="4" w:space="0" w:color="000000"/>
              <w:right w:val="single" w:sz="4" w:space="0" w:color="000000"/>
            </w:tcBorders>
            <w:shd w:val="clear" w:color="auto" w:fill="D2D2D2"/>
          </w:tcPr>
          <w:p>
            <w:pPr/>
          </w:p>
        </w:tc>
        <w:tc>
          <w:tcPr>
            <w:tcW w:w="364" w:type="dxa"/>
            <w:vMerge/>
            <w:tcBorders>
              <w:left w:val="single" w:sz="4" w:space="0" w:color="000000"/>
              <w:right w:val="single" w:sz="4" w:space="0" w:color="000000"/>
            </w:tcBorders>
            <w:shd w:val="clear" w:color="auto" w:fill="D2D2D2"/>
          </w:tcPr>
          <w:p>
            <w:pPr/>
          </w:p>
        </w:tc>
        <w:tc>
          <w:tcPr>
            <w:tcW w:w="364"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c>
          <w:tcPr>
            <w:tcW w:w="1088" w:type="dxa"/>
            <w:vMerge/>
            <w:tcBorders>
              <w:left w:val="single" w:sz="4" w:space="0" w:color="000000"/>
              <w:bottom w:val="nil" w:sz="6" w:space="0" w:color="auto"/>
              <w:right w:val="single" w:sz="4" w:space="0" w:color="000000"/>
            </w:tcBorders>
            <w:shd w:val="clear" w:color="auto" w:fill="D2D2D2"/>
          </w:tcPr>
          <w:p>
            <w:pPr/>
          </w:p>
        </w:tc>
        <w:tc>
          <w:tcPr>
            <w:tcW w:w="428" w:type="dxa"/>
            <w:vMerge/>
            <w:tcBorders>
              <w:left w:val="single" w:sz="4" w:space="0" w:color="000000"/>
              <w:bottom w:val="nil" w:sz="6" w:space="0" w:color="auto"/>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c>
          <w:tcPr>
            <w:tcW w:w="556"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134" w:hRule="exact"/>
        </w:trPr>
        <w:tc>
          <w:tcPr>
            <w:tcW w:w="1664" w:type="dxa"/>
            <w:vMerge/>
            <w:tcBorders>
              <w:left w:val="single" w:sz="4" w:space="0" w:color="000000"/>
              <w:right w:val="single" w:sz="4" w:space="0" w:color="000000"/>
            </w:tcBorders>
            <w:shd w:val="clear" w:color="auto" w:fill="D2D2D2"/>
          </w:tcPr>
          <w:p>
            <w:pPr/>
          </w:p>
        </w:tc>
        <w:tc>
          <w:tcPr>
            <w:tcW w:w="1182" w:type="dxa"/>
            <w:vMerge/>
            <w:tcBorders>
              <w:left w:val="single" w:sz="4" w:space="0" w:color="000000"/>
              <w:right w:val="single" w:sz="4" w:space="0" w:color="000000"/>
            </w:tcBorders>
            <w:shd w:val="clear" w:color="auto" w:fill="D2D2D2"/>
          </w:tcPr>
          <w:p>
            <w:pPr/>
          </w:p>
        </w:tc>
        <w:tc>
          <w:tcPr>
            <w:tcW w:w="364" w:type="dxa"/>
            <w:vMerge/>
            <w:tcBorders>
              <w:left w:val="single" w:sz="4" w:space="0" w:color="000000"/>
              <w:right w:val="single" w:sz="4" w:space="0" w:color="000000"/>
            </w:tcBorders>
            <w:shd w:val="clear" w:color="auto" w:fill="D2D2D2"/>
          </w:tcPr>
          <w:p>
            <w:pPr/>
          </w:p>
        </w:tc>
        <w:tc>
          <w:tcPr>
            <w:tcW w:w="364"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1088" w:type="dxa"/>
            <w:vMerge w:val="restart"/>
            <w:tcBorders>
              <w:top w:val="nil" w:sz="6" w:space="0" w:color="auto"/>
              <w:left w:val="single" w:sz="4" w:space="0" w:color="000000"/>
              <w:right w:val="single" w:sz="4" w:space="0" w:color="000000"/>
            </w:tcBorders>
            <w:shd w:val="clear" w:color="auto" w:fill="D2D2D2"/>
          </w:tcPr>
          <w:p>
            <w:pPr/>
          </w:p>
        </w:tc>
        <w:tc>
          <w:tcPr>
            <w:tcW w:w="428" w:type="dxa"/>
            <w:vMerge w:val="restart"/>
            <w:tcBorders>
              <w:top w:val="nil" w:sz="6" w:space="0" w:color="auto"/>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556"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205" w:hRule="exact"/>
        </w:trPr>
        <w:tc>
          <w:tcPr>
            <w:tcW w:w="1664" w:type="dxa"/>
            <w:vMerge/>
            <w:tcBorders>
              <w:left w:val="single" w:sz="4" w:space="0" w:color="000000"/>
              <w:bottom w:val="single" w:sz="4" w:space="0" w:color="000000"/>
              <w:right w:val="single" w:sz="4" w:space="0" w:color="000000"/>
            </w:tcBorders>
            <w:shd w:val="clear" w:color="auto" w:fill="D2D2D2"/>
          </w:tcPr>
          <w:p>
            <w:pPr/>
          </w:p>
        </w:tc>
        <w:tc>
          <w:tcPr>
            <w:tcW w:w="1182" w:type="dxa"/>
            <w:vMerge/>
            <w:tcBorders>
              <w:left w:val="single" w:sz="4" w:space="0" w:color="000000"/>
              <w:bottom w:val="single" w:sz="4" w:space="0" w:color="000000"/>
              <w:right w:val="single" w:sz="4" w:space="0" w:color="000000"/>
            </w:tcBorders>
            <w:shd w:val="clear" w:color="auto" w:fill="D2D2D2"/>
          </w:tcPr>
          <w:p>
            <w:pPr/>
          </w:p>
        </w:tc>
        <w:tc>
          <w:tcPr>
            <w:tcW w:w="364" w:type="dxa"/>
            <w:vMerge/>
            <w:tcBorders>
              <w:left w:val="single" w:sz="4" w:space="0" w:color="000000"/>
              <w:bottom w:val="single" w:sz="4" w:space="0" w:color="000000"/>
              <w:right w:val="single" w:sz="4" w:space="0" w:color="000000"/>
            </w:tcBorders>
            <w:shd w:val="clear" w:color="auto" w:fill="D2D2D2"/>
          </w:tcPr>
          <w:p>
            <w:pPr/>
          </w:p>
        </w:tc>
        <w:tc>
          <w:tcPr>
            <w:tcW w:w="364"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428"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5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18" w:right="0"/>
              <w:jc w:val="left"/>
              <w:rPr>
                <w:rFonts w:ascii="Times New Roman" w:hAnsi="Times New Roman" w:cs="Times New Roman" w:eastAsia="Times New Roman" w:hint="default"/>
                <w:sz w:val="18"/>
                <w:szCs w:val="18"/>
              </w:rPr>
            </w:pPr>
            <w:r>
              <w:rPr>
                <w:rFonts w:ascii="Times New Roman"/>
                <w:sz w:val="18"/>
              </w:rPr>
              <w:t>541,491,950.00</w:t>
            </w:r>
          </w:p>
        </w:tc>
        <w:tc>
          <w:tcPr>
            <w:tcW w:w="36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1,010,822,944.77</w:t>
            </w:r>
          </w:p>
        </w:tc>
        <w:tc>
          <w:tcPr>
            <w:tcW w:w="1091"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0" w:right="0"/>
              <w:jc w:val="left"/>
              <w:rPr>
                <w:rFonts w:ascii="Times New Roman" w:hAnsi="Times New Roman" w:cs="Times New Roman" w:eastAsia="Times New Roman" w:hint="default"/>
                <w:sz w:val="18"/>
                <w:szCs w:val="18"/>
              </w:rPr>
            </w:pPr>
            <w:r>
              <w:rPr>
                <w:rFonts w:ascii="Times New Roman"/>
                <w:sz w:val="18"/>
              </w:rPr>
              <w:t>1,302,230.62</w:t>
            </w:r>
          </w:p>
        </w:tc>
        <w:tc>
          <w:tcPr>
            <w:tcW w:w="42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61,567,741.04</w:t>
            </w:r>
          </w:p>
        </w:tc>
        <w:tc>
          <w:tcPr>
            <w:tcW w:w="5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548,613,579.60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4" w:right="0"/>
              <w:jc w:val="left"/>
              <w:rPr>
                <w:rFonts w:ascii="Times New Roman" w:hAnsi="Times New Roman" w:cs="Times New Roman" w:eastAsia="Times New Roman" w:hint="default"/>
                <w:sz w:val="18"/>
                <w:szCs w:val="18"/>
              </w:rPr>
            </w:pPr>
            <w:r>
              <w:rPr>
                <w:rFonts w:ascii="Times New Roman"/>
                <w:sz w:val="18"/>
              </w:rPr>
              <w:t>19,799,456.83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2,183,597,902.86</w:t>
            </w:r>
          </w:p>
        </w:tc>
      </w:tr>
      <w:tr>
        <w:trPr>
          <w:trHeight w:val="715" w:hRule="exact"/>
        </w:trPr>
        <w:tc>
          <w:tcPr>
            <w:tcW w:w="1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加：会计政策变</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182" w:type="dxa"/>
            <w:tcBorders>
              <w:top w:val="single" w:sz="4" w:space="0" w:color="000000"/>
              <w:left w:val="single" w:sz="9" w:space="0" w:color="D2D2D2"/>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00" w:right="1300"/>
        </w:sectPr>
      </w:pPr>
    </w:p>
    <w:p>
      <w:pPr>
        <w:spacing w:line="240" w:lineRule="auto" w:before="5"/>
        <w:rPr>
          <w:rFonts w:ascii="Times New Roman" w:hAnsi="Times New Roman" w:cs="Times New Roman" w:eastAsia="Times New Roman"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653"/>
        <w:gridCol w:w="1193"/>
        <w:gridCol w:w="364"/>
        <w:gridCol w:w="364"/>
        <w:gridCol w:w="1181"/>
        <w:gridCol w:w="1316"/>
        <w:gridCol w:w="1091"/>
        <w:gridCol w:w="1088"/>
        <w:gridCol w:w="428"/>
        <w:gridCol w:w="1091"/>
        <w:gridCol w:w="556"/>
        <w:gridCol w:w="1181"/>
        <w:gridCol w:w="1181"/>
        <w:gridCol w:w="1316"/>
      </w:tblGrid>
      <w:tr>
        <w:trPr>
          <w:trHeight w:val="416" w:hRule="exact"/>
        </w:trPr>
        <w:tc>
          <w:tcPr>
            <w:tcW w:w="1653" w:type="dxa"/>
            <w:vMerge w:val="restart"/>
            <w:tcBorders>
              <w:top w:val="single" w:sz="15" w:space="0" w:color="000000"/>
              <w:left w:val="single" w:sz="4" w:space="0" w:color="000000"/>
              <w:right w:val="single" w:sz="4" w:space="0" w:color="000000"/>
            </w:tcBorders>
            <w:shd w:val="clear" w:color="auto" w:fill="D2D2D2"/>
          </w:tcPr>
          <w:p>
            <w:pPr/>
          </w:p>
        </w:tc>
        <w:tc>
          <w:tcPr>
            <w:tcW w:w="12351" w:type="dxa"/>
            <w:gridSpan w:val="13"/>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98" w:hRule="exact"/>
        </w:trPr>
        <w:tc>
          <w:tcPr>
            <w:tcW w:w="1653" w:type="dxa"/>
            <w:vMerge/>
            <w:tcBorders>
              <w:left w:val="single" w:sz="4" w:space="0" w:color="000000"/>
              <w:right w:val="single" w:sz="4" w:space="0" w:color="000000"/>
            </w:tcBorders>
            <w:shd w:val="clear" w:color="auto" w:fill="D2D2D2"/>
          </w:tcPr>
          <w:p>
            <w:pPr/>
          </w:p>
        </w:tc>
        <w:tc>
          <w:tcPr>
            <w:tcW w:w="985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316"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1653" w:type="dxa"/>
            <w:vMerge/>
            <w:tcBorders>
              <w:left w:val="single" w:sz="4" w:space="0" w:color="000000"/>
              <w:bottom w:val="nil" w:sz="6" w:space="0" w:color="auto"/>
              <w:right w:val="single" w:sz="4" w:space="0" w:color="000000"/>
            </w:tcBorders>
            <w:shd w:val="clear" w:color="auto" w:fill="D2D2D2"/>
          </w:tcPr>
          <w:p>
            <w:pPr/>
          </w:p>
        </w:tc>
        <w:tc>
          <w:tcPr>
            <w:tcW w:w="1193" w:type="dxa"/>
            <w:vMerge w:val="restart"/>
            <w:tcBorders>
              <w:top w:val="single" w:sz="4" w:space="0" w:color="000000"/>
              <w:left w:val="single" w:sz="4" w:space="0" w:color="000000"/>
              <w:right w:val="single" w:sz="4" w:space="0" w:color="000000"/>
            </w:tcBorders>
            <w:shd w:val="clear" w:color="auto" w:fill="D2D2D2"/>
          </w:tcPr>
          <w:p>
            <w:pPr/>
          </w:p>
        </w:tc>
        <w:tc>
          <w:tcPr>
            <w:tcW w:w="190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40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6" w:type="dxa"/>
            <w:vMerge w:val="restart"/>
            <w:tcBorders>
              <w:top w:val="single" w:sz="4" w:space="0" w:color="000000"/>
              <w:left w:val="single" w:sz="4" w:space="0" w:color="000000"/>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000000"/>
            </w:tcBorders>
            <w:shd w:val="clear" w:color="auto" w:fill="D2D2D2"/>
          </w:tcPr>
          <w:p>
            <w:pPr/>
          </w:p>
        </w:tc>
        <w:tc>
          <w:tcPr>
            <w:tcW w:w="1088" w:type="dxa"/>
            <w:vMerge w:val="restart"/>
            <w:tcBorders>
              <w:top w:val="single" w:sz="4" w:space="0" w:color="000000"/>
              <w:left w:val="single" w:sz="4" w:space="0" w:color="000000"/>
              <w:right w:val="single" w:sz="4" w:space="0" w:color="000000"/>
            </w:tcBorders>
            <w:shd w:val="clear" w:color="auto" w:fill="D2D2D2"/>
          </w:tcPr>
          <w:p>
            <w:pPr/>
          </w:p>
        </w:tc>
        <w:tc>
          <w:tcPr>
            <w:tcW w:w="428" w:type="dxa"/>
            <w:vMerge w:val="restart"/>
            <w:tcBorders>
              <w:top w:val="single" w:sz="4" w:space="0" w:color="000000"/>
              <w:left w:val="single" w:sz="4" w:space="0" w:color="000000"/>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FFFFFF"/>
            </w:tcBorders>
            <w:shd w:val="clear" w:color="auto" w:fill="D2D2D2"/>
          </w:tcPr>
          <w:p>
            <w:pPr/>
          </w:p>
        </w:tc>
        <w:tc>
          <w:tcPr>
            <w:tcW w:w="556" w:type="dxa"/>
            <w:vMerge w:val="restart"/>
            <w:tcBorders>
              <w:top w:val="single" w:sz="4" w:space="0" w:color="000000"/>
              <w:left w:val="single" w:sz="4" w:space="0" w:color="FFFFFF"/>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90" w:hRule="exact"/>
        </w:trPr>
        <w:tc>
          <w:tcPr>
            <w:tcW w:w="16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vMerge/>
            <w:tcBorders>
              <w:left w:val="single" w:sz="4" w:space="0" w:color="000000"/>
              <w:right w:val="single" w:sz="4" w:space="0" w:color="000000"/>
            </w:tcBorders>
            <w:shd w:val="clear" w:color="auto" w:fill="D2D2D2"/>
          </w:tcPr>
          <w:p>
            <w:pPr/>
          </w:p>
        </w:tc>
        <w:tc>
          <w:tcPr>
            <w:tcW w:w="1908" w:type="dxa"/>
            <w:gridSpan w:val="3"/>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1088" w:type="dxa"/>
            <w:vMerge/>
            <w:tcBorders>
              <w:left w:val="single" w:sz="4" w:space="0" w:color="000000"/>
              <w:right w:val="single" w:sz="4" w:space="0" w:color="000000"/>
            </w:tcBorders>
            <w:shd w:val="clear" w:color="auto" w:fill="D2D2D2"/>
          </w:tcPr>
          <w:p>
            <w:pPr/>
          </w:p>
        </w:tc>
        <w:tc>
          <w:tcPr>
            <w:tcW w:w="428"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FFFFFF"/>
            </w:tcBorders>
            <w:shd w:val="clear" w:color="auto" w:fill="D2D2D2"/>
          </w:tcPr>
          <w:p>
            <w:pPr/>
          </w:p>
        </w:tc>
        <w:tc>
          <w:tcPr>
            <w:tcW w:w="556" w:type="dxa"/>
            <w:vMerge/>
            <w:tcBorders>
              <w:left w:val="single" w:sz="4" w:space="0" w:color="FFFFFF"/>
              <w:bottom w:val="nil" w:sz="6" w:space="0" w:color="auto"/>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133" w:hRule="exact"/>
        </w:trPr>
        <w:tc>
          <w:tcPr>
            <w:tcW w:w="1653"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1908" w:type="dxa"/>
            <w:gridSpan w:val="3"/>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1088" w:type="dxa"/>
            <w:vMerge/>
            <w:tcBorders>
              <w:left w:val="single" w:sz="4" w:space="0" w:color="000000"/>
              <w:bottom w:val="nil" w:sz="6" w:space="0" w:color="auto"/>
              <w:right w:val="single" w:sz="4" w:space="0" w:color="000000"/>
            </w:tcBorders>
            <w:shd w:val="clear" w:color="auto" w:fill="D2D2D2"/>
          </w:tcPr>
          <w:p>
            <w:pPr/>
          </w:p>
        </w:tc>
        <w:tc>
          <w:tcPr>
            <w:tcW w:w="428"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right w:val="single" w:sz="4" w:space="0" w:color="FFFFFF"/>
            </w:tcBorders>
            <w:shd w:val="clear" w:color="auto" w:fill="D2D2D2"/>
          </w:tcPr>
          <w:p>
            <w:pPr/>
          </w:p>
        </w:tc>
        <w:tc>
          <w:tcPr>
            <w:tcW w:w="556"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61"/>
              <w:ind w:left="92" w:right="91"/>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18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45" w:hRule="exact"/>
        </w:trPr>
        <w:tc>
          <w:tcPr>
            <w:tcW w:w="1653" w:type="dxa"/>
            <w:vMerge/>
            <w:tcBorders>
              <w:left w:val="single" w:sz="4" w:space="0" w:color="000000"/>
              <w:bottom w:val="single" w:sz="4" w:space="0" w:color="FFFFFF"/>
              <w:right w:val="single" w:sz="4" w:space="0" w:color="000000"/>
            </w:tcBorders>
            <w:shd w:val="clear" w:color="auto" w:fill="D2D2D2"/>
          </w:tcPr>
          <w:p>
            <w:pPr/>
          </w:p>
        </w:tc>
        <w:tc>
          <w:tcPr>
            <w:tcW w:w="1193" w:type="dxa"/>
            <w:vMerge/>
            <w:tcBorders>
              <w:left w:val="single" w:sz="4" w:space="0" w:color="000000"/>
              <w:bottom w:val="single" w:sz="4" w:space="0" w:color="FFFFFF"/>
              <w:right w:val="single" w:sz="4" w:space="0" w:color="000000"/>
            </w:tcBorders>
            <w:shd w:val="clear" w:color="auto" w:fill="D2D2D2"/>
          </w:tcPr>
          <w:p>
            <w:pPr/>
          </w:p>
        </w:tc>
        <w:tc>
          <w:tcPr>
            <w:tcW w:w="36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2"/>
              <w:ind w:left="86" w:right="85"/>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6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2"/>
              <w:ind w:left="86" w:right="85"/>
              <w:jc w:val="both"/>
              <w:rPr>
                <w:rFonts w:ascii="宋体" w:hAnsi="宋体" w:cs="宋体" w:eastAsia="宋体" w:hint="default"/>
                <w:sz w:val="18"/>
                <w:szCs w:val="18"/>
              </w:rPr>
            </w:pPr>
            <w:r>
              <w:rPr>
                <w:rFonts w:ascii="宋体" w:hAnsi="宋体" w:cs="宋体" w:eastAsia="宋体" w:hint="default"/>
                <w:sz w:val="18"/>
                <w:szCs w:val="18"/>
              </w:rPr>
              <w:t>永 续 债</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08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2"/>
              <w:ind w:left="448" w:right="89"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42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2"/>
              <w:ind w:left="28" w:right="29"/>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91" w:type="dxa"/>
            <w:vMerge/>
            <w:tcBorders>
              <w:left w:val="single" w:sz="4" w:space="0" w:color="000000"/>
              <w:bottom w:val="nil" w:sz="6" w:space="0" w:color="auto"/>
              <w:right w:val="single" w:sz="4" w:space="0" w:color="FFFFFF"/>
            </w:tcBorders>
            <w:shd w:val="clear" w:color="auto" w:fill="D2D2D2"/>
          </w:tcPr>
          <w:p>
            <w:pPr/>
          </w:p>
        </w:tc>
        <w:tc>
          <w:tcPr>
            <w:tcW w:w="556" w:type="dxa"/>
            <w:vMerge/>
            <w:tcBorders>
              <w:left w:val="single" w:sz="4" w:space="0" w:color="FFFFFF"/>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8"/>
              <w:ind w:left="4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8"/>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6" w:hRule="exact"/>
        </w:trPr>
        <w:tc>
          <w:tcPr>
            <w:tcW w:w="1653" w:type="dxa"/>
            <w:vMerge w:val="restart"/>
            <w:tcBorders>
              <w:top w:val="single" w:sz="4" w:space="0" w:color="FFFFFF"/>
              <w:left w:val="single" w:sz="4" w:space="0" w:color="000000"/>
              <w:right w:val="single" w:sz="4" w:space="0" w:color="000000"/>
            </w:tcBorders>
            <w:shd w:val="clear" w:color="auto" w:fill="D2D2D2"/>
          </w:tcPr>
          <w:p>
            <w:pPr/>
          </w:p>
        </w:tc>
        <w:tc>
          <w:tcPr>
            <w:tcW w:w="119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8"/>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364" w:type="dxa"/>
            <w:vMerge/>
            <w:tcBorders>
              <w:left w:val="single" w:sz="4" w:space="0" w:color="000000"/>
              <w:right w:val="single" w:sz="4" w:space="0" w:color="000000"/>
            </w:tcBorders>
            <w:shd w:val="clear" w:color="auto" w:fill="D2D2D2"/>
          </w:tcPr>
          <w:p>
            <w:pPr/>
          </w:p>
        </w:tc>
        <w:tc>
          <w:tcPr>
            <w:tcW w:w="364"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left="29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left="89"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88" w:type="dxa"/>
            <w:vMerge/>
            <w:tcBorders>
              <w:left w:val="single" w:sz="4" w:space="0" w:color="000000"/>
              <w:right w:val="single" w:sz="4" w:space="0" w:color="000000"/>
            </w:tcBorders>
            <w:shd w:val="clear" w:color="auto" w:fill="D2D2D2"/>
          </w:tcPr>
          <w:p>
            <w:pPr/>
          </w:p>
        </w:tc>
        <w:tc>
          <w:tcPr>
            <w:tcW w:w="428"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61"/>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56" w:type="dxa"/>
            <w:vMerge/>
            <w:tcBorders>
              <w:left w:val="single" w:sz="4" w:space="0" w:color="FFFFFF"/>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1"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96" w:hRule="exact"/>
        </w:trPr>
        <w:tc>
          <w:tcPr>
            <w:tcW w:w="1653"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364" w:type="dxa"/>
            <w:vMerge/>
            <w:tcBorders>
              <w:left w:val="single" w:sz="4" w:space="0" w:color="000000"/>
              <w:right w:val="single" w:sz="4" w:space="0" w:color="000000"/>
            </w:tcBorders>
            <w:shd w:val="clear" w:color="auto" w:fill="D2D2D2"/>
          </w:tcPr>
          <w:p>
            <w:pPr/>
          </w:p>
        </w:tc>
        <w:tc>
          <w:tcPr>
            <w:tcW w:w="364"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5"/>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16"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088" w:type="dxa"/>
            <w:vMerge/>
            <w:tcBorders>
              <w:left w:val="single" w:sz="4" w:space="0" w:color="000000"/>
              <w:right w:val="single" w:sz="4" w:space="0" w:color="000000"/>
            </w:tcBorders>
            <w:shd w:val="clear" w:color="auto" w:fill="D2D2D2"/>
          </w:tcPr>
          <w:p>
            <w:pPr/>
          </w:p>
        </w:tc>
        <w:tc>
          <w:tcPr>
            <w:tcW w:w="428"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FFFFFF"/>
            </w:tcBorders>
            <w:shd w:val="clear" w:color="auto" w:fill="D2D2D2"/>
          </w:tcPr>
          <w:p>
            <w:pPr/>
          </w:p>
        </w:tc>
        <w:tc>
          <w:tcPr>
            <w:tcW w:w="556" w:type="dxa"/>
            <w:vMerge/>
            <w:tcBorders>
              <w:left w:val="single" w:sz="4" w:space="0" w:color="FFFFFF"/>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r>
      <w:tr>
        <w:trPr>
          <w:trHeight w:val="179" w:hRule="exact"/>
        </w:trPr>
        <w:tc>
          <w:tcPr>
            <w:tcW w:w="1653"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
        </w:tc>
        <w:tc>
          <w:tcPr>
            <w:tcW w:w="364" w:type="dxa"/>
            <w:vMerge/>
            <w:tcBorders>
              <w:left w:val="single" w:sz="4" w:space="0" w:color="000000"/>
              <w:right w:val="single" w:sz="4" w:space="0" w:color="000000"/>
            </w:tcBorders>
            <w:shd w:val="clear" w:color="auto" w:fill="D2D2D2"/>
          </w:tcPr>
          <w:p>
            <w:pPr/>
          </w:p>
        </w:tc>
        <w:tc>
          <w:tcPr>
            <w:tcW w:w="364"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c>
          <w:tcPr>
            <w:tcW w:w="1088" w:type="dxa"/>
            <w:vMerge/>
            <w:tcBorders>
              <w:left w:val="single" w:sz="4" w:space="0" w:color="000000"/>
              <w:bottom w:val="nil" w:sz="6" w:space="0" w:color="auto"/>
              <w:right w:val="single" w:sz="4" w:space="0" w:color="000000"/>
            </w:tcBorders>
            <w:shd w:val="clear" w:color="auto" w:fill="D2D2D2"/>
          </w:tcPr>
          <w:p>
            <w:pPr/>
          </w:p>
        </w:tc>
        <w:tc>
          <w:tcPr>
            <w:tcW w:w="428" w:type="dxa"/>
            <w:vMerge/>
            <w:tcBorders>
              <w:left w:val="single" w:sz="4" w:space="0" w:color="000000"/>
              <w:bottom w:val="nil" w:sz="6" w:space="0" w:color="auto"/>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FFFFFF"/>
            </w:tcBorders>
            <w:shd w:val="clear" w:color="auto" w:fill="D2D2D2"/>
          </w:tcPr>
          <w:p>
            <w:pPr/>
          </w:p>
        </w:tc>
        <w:tc>
          <w:tcPr>
            <w:tcW w:w="556" w:type="dxa"/>
            <w:vMerge/>
            <w:tcBorders>
              <w:left w:val="single" w:sz="4" w:space="0" w:color="FFFFFF"/>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133" w:hRule="exact"/>
        </w:trPr>
        <w:tc>
          <w:tcPr>
            <w:tcW w:w="1653"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364" w:type="dxa"/>
            <w:vMerge/>
            <w:tcBorders>
              <w:left w:val="single" w:sz="4" w:space="0" w:color="000000"/>
              <w:right w:val="single" w:sz="4" w:space="0" w:color="000000"/>
            </w:tcBorders>
            <w:shd w:val="clear" w:color="auto" w:fill="D2D2D2"/>
          </w:tcPr>
          <w:p>
            <w:pPr/>
          </w:p>
        </w:tc>
        <w:tc>
          <w:tcPr>
            <w:tcW w:w="364"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1088" w:type="dxa"/>
            <w:vMerge w:val="restart"/>
            <w:tcBorders>
              <w:top w:val="nil" w:sz="6" w:space="0" w:color="auto"/>
              <w:left w:val="single" w:sz="4" w:space="0" w:color="000000"/>
              <w:right w:val="single" w:sz="4" w:space="0" w:color="000000"/>
            </w:tcBorders>
            <w:shd w:val="clear" w:color="auto" w:fill="D2D2D2"/>
          </w:tcPr>
          <w:p>
            <w:pPr/>
          </w:p>
        </w:tc>
        <w:tc>
          <w:tcPr>
            <w:tcW w:w="428" w:type="dxa"/>
            <w:vMerge w:val="restart"/>
            <w:tcBorders>
              <w:top w:val="nil" w:sz="6" w:space="0" w:color="auto"/>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FFFFFF"/>
            </w:tcBorders>
            <w:shd w:val="clear" w:color="auto" w:fill="D2D2D2"/>
          </w:tcPr>
          <w:p>
            <w:pPr/>
          </w:p>
        </w:tc>
        <w:tc>
          <w:tcPr>
            <w:tcW w:w="556" w:type="dxa"/>
            <w:vMerge/>
            <w:tcBorders>
              <w:left w:val="single" w:sz="4" w:space="0" w:color="FFFFFF"/>
              <w:bottom w:val="nil" w:sz="6" w:space="0" w:color="auto"/>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206" w:hRule="exact"/>
        </w:trPr>
        <w:tc>
          <w:tcPr>
            <w:tcW w:w="1653"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364" w:type="dxa"/>
            <w:vMerge/>
            <w:tcBorders>
              <w:left w:val="single" w:sz="4" w:space="0" w:color="000000"/>
              <w:bottom w:val="single" w:sz="4" w:space="0" w:color="000000"/>
              <w:right w:val="single" w:sz="4" w:space="0" w:color="000000"/>
            </w:tcBorders>
            <w:shd w:val="clear" w:color="auto" w:fill="D2D2D2"/>
          </w:tcPr>
          <w:p>
            <w:pPr/>
          </w:p>
        </w:tc>
        <w:tc>
          <w:tcPr>
            <w:tcW w:w="364"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428"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FFFFFF"/>
            </w:tcBorders>
            <w:shd w:val="clear" w:color="auto" w:fill="D2D2D2"/>
          </w:tcPr>
          <w:p>
            <w:pPr/>
          </w:p>
        </w:tc>
        <w:tc>
          <w:tcPr>
            <w:tcW w:w="556" w:type="dxa"/>
            <w:tcBorders>
              <w:top w:val="nil" w:sz="6" w:space="0" w:color="auto"/>
              <w:left w:val="single" w:sz="4" w:space="0" w:color="FFFFFF"/>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31"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193" w:type="dxa"/>
            <w:tcBorders>
              <w:top w:val="single" w:sz="4" w:space="0" w:color="000000"/>
              <w:left w:val="single" w:sz="9" w:space="0" w:color="D2D2D2"/>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5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1"/>
              <w:ind w:left="11" w:right="9" w:firstLine="720"/>
              <w:jc w:val="left"/>
              <w:rPr>
                <w:rFonts w:ascii="宋体" w:hAnsi="宋体" w:cs="宋体" w:eastAsia="宋体" w:hint="default"/>
                <w:sz w:val="18"/>
                <w:szCs w:val="18"/>
              </w:rPr>
            </w:pPr>
            <w:r>
              <w:rPr>
                <w:rFonts w:ascii="宋体" w:hAnsi="宋体" w:cs="宋体" w:eastAsia="宋体" w:hint="default"/>
                <w:sz w:val="18"/>
                <w:szCs w:val="18"/>
              </w:rPr>
              <w:t>同一控制下 企业合并</w:t>
            </w:r>
          </w:p>
        </w:tc>
        <w:tc>
          <w:tcPr>
            <w:tcW w:w="1193" w:type="dxa"/>
            <w:tcBorders>
              <w:top w:val="single" w:sz="4" w:space="0" w:color="000000"/>
              <w:left w:val="single" w:sz="9" w:space="0" w:color="D2D2D2"/>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5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79"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9" w:space="0" w:color="D2D2D2"/>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5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541,491,950.00</w:t>
            </w:r>
          </w:p>
        </w:tc>
        <w:tc>
          <w:tcPr>
            <w:tcW w:w="36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1,010,822,944.77</w:t>
            </w:r>
          </w:p>
        </w:tc>
        <w:tc>
          <w:tcPr>
            <w:tcW w:w="1091"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1,302,230.62</w:t>
            </w:r>
          </w:p>
        </w:tc>
        <w:tc>
          <w:tcPr>
            <w:tcW w:w="42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61,567,741.04</w:t>
            </w:r>
          </w:p>
        </w:tc>
        <w:tc>
          <w:tcPr>
            <w:tcW w:w="55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548,613,579.60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19,799,456.83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2,183,597,902.86</w:t>
            </w:r>
          </w:p>
        </w:tc>
      </w:tr>
      <w:tr>
        <w:trPr>
          <w:trHeight w:val="1026" w:hRule="exact"/>
        </w:trPr>
        <w:tc>
          <w:tcPr>
            <w:tcW w:w="1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61"/>
              <w:ind w:left="11" w:right="9"/>
              <w:jc w:val="both"/>
              <w:rPr>
                <w:rFonts w:ascii="宋体" w:hAnsi="宋体" w:cs="宋体" w:eastAsia="宋体" w:hint="default"/>
                <w:sz w:val="18"/>
                <w:szCs w:val="18"/>
              </w:rPr>
            </w:pPr>
            <w:r>
              <w:rPr>
                <w:rFonts w:ascii="宋体" w:hAnsi="宋体" w:cs="宋体" w:eastAsia="宋体" w:hint="default"/>
                <w:sz w:val="18"/>
                <w:szCs w:val="18"/>
              </w:rPr>
              <w:t>三、本期增减变动金 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119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169,235,467.00</w:t>
            </w:r>
          </w:p>
        </w:tc>
        <w:tc>
          <w:tcPr>
            <w:tcW w:w="36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154,607,862.97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-118,866,535.52</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43,131,880.00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-2,292,009.96</w:t>
            </w:r>
          </w:p>
        </w:tc>
        <w:tc>
          <w:tcPr>
            <w:tcW w:w="42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10,927,963.40</w:t>
            </w:r>
          </w:p>
        </w:tc>
        <w:tc>
          <w:tcPr>
            <w:tcW w:w="55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279,777,248.15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130,005,563.48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580,263,679.52</w:t>
            </w:r>
          </w:p>
        </w:tc>
      </w:tr>
      <w:tr>
        <w:trPr>
          <w:trHeight w:val="402" w:hRule="exact"/>
        </w:trPr>
        <w:tc>
          <w:tcPr>
            <w:tcW w:w="1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3" w:type="dxa"/>
            <w:tcBorders>
              <w:top w:val="single" w:sz="4" w:space="0" w:color="000000"/>
              <w:left w:val="single" w:sz="9" w:space="0" w:color="D2D2D2"/>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-2,292,009.96</w:t>
            </w:r>
          </w:p>
        </w:tc>
        <w:tc>
          <w:tcPr>
            <w:tcW w:w="42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5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306,943,384.51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36,767,513.36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341,418,887.91</w:t>
            </w:r>
          </w:p>
        </w:tc>
      </w:tr>
      <w:tr>
        <w:trPr>
          <w:trHeight w:val="714" w:hRule="exact"/>
        </w:trPr>
        <w:tc>
          <w:tcPr>
            <w:tcW w:w="1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1"/>
              <w:ind w:left="11" w:right="9"/>
              <w:jc w:val="left"/>
              <w:rPr>
                <w:rFonts w:ascii="宋体" w:hAnsi="宋体" w:cs="宋体" w:eastAsia="宋体" w:hint="default"/>
                <w:sz w:val="18"/>
                <w:szCs w:val="18"/>
              </w:rPr>
            </w:pPr>
            <w:r>
              <w:rPr>
                <w:rFonts w:ascii="宋体" w:hAnsi="宋体" w:cs="宋体" w:eastAsia="宋体" w:hint="default"/>
                <w:sz w:val="18"/>
                <w:szCs w:val="18"/>
              </w:rPr>
              <w:t>（二）所有者投入和 减少资本</w:t>
            </w:r>
          </w:p>
        </w:tc>
        <w:tc>
          <w:tcPr>
            <w:tcW w:w="119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6,853,738.00</w:t>
            </w:r>
          </w:p>
        </w:tc>
        <w:tc>
          <w:tcPr>
            <w:tcW w:w="36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154,607,862.97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43,515,193.48</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43,131,880.00</w:t>
            </w:r>
          </w:p>
        </w:tc>
        <w:tc>
          <w:tcPr>
            <w:tcW w:w="108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5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93,238,050.12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255,082,964.57</w:t>
            </w:r>
          </w:p>
        </w:tc>
      </w:tr>
      <w:tr>
        <w:trPr>
          <w:trHeight w:val="714" w:hRule="exact"/>
        </w:trPr>
        <w:tc>
          <w:tcPr>
            <w:tcW w:w="1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61"/>
              <w:ind w:left="11" w:right="9"/>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．所有者投入的普通</w:t>
            </w:r>
            <w:r>
              <w:rPr>
                <w:rFonts w:ascii="宋体" w:hAnsi="宋体" w:cs="宋体" w:eastAsia="宋体" w:hint="default"/>
                <w:sz w:val="18"/>
                <w:szCs w:val="18"/>
              </w:rPr>
              <w:t> 股</w:t>
            </w:r>
          </w:p>
        </w:tc>
        <w:tc>
          <w:tcPr>
            <w:tcW w:w="119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6,853,738.00</w:t>
            </w:r>
          </w:p>
        </w:tc>
        <w:tc>
          <w:tcPr>
            <w:tcW w:w="36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36,276,461.98</w:t>
            </w:r>
          </w:p>
        </w:tc>
        <w:tc>
          <w:tcPr>
            <w:tcW w:w="1091"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5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53,030,199.98</w:t>
            </w:r>
          </w:p>
        </w:tc>
      </w:tr>
      <w:tr>
        <w:trPr>
          <w:trHeight w:val="714" w:hRule="exact"/>
        </w:trPr>
        <w:tc>
          <w:tcPr>
            <w:tcW w:w="1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61"/>
              <w:ind w:left="11" w:right="9"/>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．其他权益工具持有</w:t>
            </w:r>
            <w:r>
              <w:rPr>
                <w:rFonts w:ascii="宋体" w:hAnsi="宋体" w:cs="宋体" w:eastAsia="宋体" w:hint="default"/>
                <w:sz w:val="18"/>
                <w:szCs w:val="18"/>
              </w:rPr>
              <w:t> 者投入资本</w:t>
            </w:r>
          </w:p>
        </w:tc>
        <w:tc>
          <w:tcPr>
            <w:tcW w:w="1193" w:type="dxa"/>
            <w:tcBorders>
              <w:top w:val="single" w:sz="4" w:space="0" w:color="000000"/>
              <w:left w:val="single" w:sz="9" w:space="0" w:color="D2D2D2"/>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154,607,862.97</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5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154,607,862.97</w:t>
            </w:r>
          </w:p>
        </w:tc>
      </w:tr>
      <w:tr>
        <w:trPr>
          <w:trHeight w:val="714" w:hRule="exact"/>
        </w:trPr>
        <w:tc>
          <w:tcPr>
            <w:tcW w:w="1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61"/>
              <w:ind w:left="11" w:right="9"/>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．股份支付计入所有</w:t>
            </w:r>
            <w:r>
              <w:rPr>
                <w:rFonts w:ascii="宋体" w:hAnsi="宋体" w:cs="宋体" w:eastAsia="宋体" w:hint="default"/>
                <w:sz w:val="18"/>
                <w:szCs w:val="18"/>
              </w:rPr>
              <w:t> 者权益的金额</w:t>
            </w:r>
          </w:p>
        </w:tc>
        <w:tc>
          <w:tcPr>
            <w:tcW w:w="1193" w:type="dxa"/>
            <w:tcBorders>
              <w:top w:val="single" w:sz="4" w:space="0" w:color="000000"/>
              <w:left w:val="single" w:sz="9" w:space="0" w:color="D2D2D2"/>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7,238,731.50</w:t>
            </w:r>
          </w:p>
        </w:tc>
        <w:tc>
          <w:tcPr>
            <w:tcW w:w="1091"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5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7,238,731.50</w:t>
            </w:r>
          </w:p>
        </w:tc>
      </w:tr>
      <w:tr>
        <w:trPr>
          <w:trHeight w:val="402" w:hRule="exact"/>
        </w:trPr>
        <w:tc>
          <w:tcPr>
            <w:tcW w:w="1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9" w:space="0" w:color="D2D2D2"/>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43,131,880.00</w:t>
            </w:r>
          </w:p>
        </w:tc>
        <w:tc>
          <w:tcPr>
            <w:tcW w:w="108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5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83,338,050.12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40,206,170.12</w:t>
            </w:r>
          </w:p>
        </w:tc>
      </w:tr>
      <w:tr>
        <w:trPr>
          <w:trHeight w:val="402" w:hRule="exact"/>
        </w:trPr>
        <w:tc>
          <w:tcPr>
            <w:tcW w:w="1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3" w:type="dxa"/>
            <w:tcBorders>
              <w:top w:val="single" w:sz="4" w:space="0" w:color="000000"/>
              <w:left w:val="single" w:sz="9" w:space="0" w:color="D2D2D2"/>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10,927,963.40</w:t>
            </w:r>
          </w:p>
        </w:tc>
        <w:tc>
          <w:tcPr>
            <w:tcW w:w="55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4" w:right="0"/>
              <w:jc w:val="left"/>
              <w:rPr>
                <w:rFonts w:ascii="Times New Roman" w:hAnsi="Times New Roman" w:cs="Times New Roman" w:eastAsia="Times New Roman" w:hint="default"/>
                <w:sz w:val="18"/>
                <w:szCs w:val="18"/>
              </w:rPr>
            </w:pPr>
            <w:r>
              <w:rPr>
                <w:rFonts w:ascii="Times New Roman"/>
                <w:sz w:val="18"/>
              </w:rPr>
              <w:t>-27,166,136.36</w:t>
            </w: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-16,238,172.96</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200" w:left="1300" w:right="1300"/>
        </w:sectPr>
      </w:pPr>
    </w:p>
    <w:p>
      <w:pPr>
        <w:spacing w:line="240" w:lineRule="auto" w:before="4"/>
        <w:rPr>
          <w:rFonts w:ascii="Times New Roman" w:hAnsi="Times New Roman" w:cs="Times New Roman" w:eastAsia="Times New Roman" w:hint="default"/>
          <w:sz w:val="3"/>
          <w:szCs w:val="3"/>
        </w:rPr>
      </w:pPr>
      <w:r>
        <w:rPr/>
        <w:pict>
          <v:group style="position:absolute;margin-left:154.639999pt;margin-top:209pt;width:58.6pt;height:28.05pt;mso-position-horizontal-relative:page;mso-position-vertical-relative:page;z-index:-1045408" coordorigin="3093,4180" coordsize="1172,561">
            <v:group style="position:absolute;left:3093;top:4180;width:1172;height:156" coordorigin="3093,4180" coordsize="1172,156">
              <v:shape style="position:absolute;left:3093;top:4180;width:1172;height:156" coordorigin="3093,4180" coordsize="1172,156" path="m3093,4336l4264,4336,4264,4180,3093,4180,3093,4336xe" filled="true" fillcolor="#ffffff" stroked="false">
                <v:path arrowok="t"/>
                <v:fill type="solid"/>
              </v:shape>
            </v:group>
            <v:group style="position:absolute;left:3105;top:4336;width:2;height:393" coordorigin="3105,4336" coordsize="2,393">
              <v:shape style="position:absolute;left:3105;top:4336;width:2;height:393" coordorigin="3105,4336" coordsize="0,393" path="m3105,4336l3105,4728e" filled="false" stroked="true" strokeweight="1.2pt" strokecolor="#ffffff">
                <v:path arrowok="t"/>
              </v:shape>
            </v:group>
            <v:group style="position:absolute;left:3117;top:4336;width:1125;height:393" coordorigin="3117,4336" coordsize="1125,393">
              <v:shape style="position:absolute;left:3117;top:4336;width:1125;height:393" coordorigin="3117,4336" coordsize="1125,393" path="m3117,4728l4241,4728,4241,4336,3117,4336,3117,4728xe" filled="true" fillcolor="#ffffff" stroked="false">
                <v:path arrowok="t"/>
                <v:fill type="solid"/>
              </v:shape>
            </v:group>
            <w10:wrap type="none"/>
          </v:group>
        </w:pict>
      </w:r>
    </w:p>
    <w:tbl>
      <w:tblPr>
        <w:tblW w:w="0" w:type="auto"/>
        <w:jc w:val="left"/>
        <w:tblInd w:w="118" w:type="dxa"/>
        <w:tblLayout w:type="fixed"/>
        <w:tblCellMar>
          <w:top w:w="0" w:type="dxa"/>
          <w:left w:w="0" w:type="dxa"/>
          <w:bottom w:w="0" w:type="dxa"/>
          <w:right w:w="0" w:type="dxa"/>
        </w:tblCellMar>
        <w:tblLook w:val="01E0"/>
      </w:tblPr>
      <w:tblGrid>
        <w:gridCol w:w="1653"/>
        <w:gridCol w:w="1193"/>
        <w:gridCol w:w="364"/>
        <w:gridCol w:w="364"/>
        <w:gridCol w:w="1181"/>
        <w:gridCol w:w="1316"/>
        <w:gridCol w:w="1091"/>
        <w:gridCol w:w="1088"/>
        <w:gridCol w:w="428"/>
        <w:gridCol w:w="1091"/>
        <w:gridCol w:w="556"/>
        <w:gridCol w:w="1181"/>
        <w:gridCol w:w="1181"/>
        <w:gridCol w:w="1316"/>
      </w:tblGrid>
      <w:tr>
        <w:trPr>
          <w:trHeight w:val="416" w:hRule="exact"/>
        </w:trPr>
        <w:tc>
          <w:tcPr>
            <w:tcW w:w="1653" w:type="dxa"/>
            <w:vMerge w:val="restart"/>
            <w:tcBorders>
              <w:top w:val="single" w:sz="15" w:space="0" w:color="000000"/>
              <w:left w:val="single" w:sz="4" w:space="0" w:color="000000"/>
              <w:right w:val="single" w:sz="4" w:space="0" w:color="000000"/>
            </w:tcBorders>
            <w:shd w:val="clear" w:color="auto" w:fill="D2D2D2"/>
          </w:tcPr>
          <w:p>
            <w:pPr/>
          </w:p>
        </w:tc>
        <w:tc>
          <w:tcPr>
            <w:tcW w:w="12351" w:type="dxa"/>
            <w:gridSpan w:val="13"/>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98" w:hRule="exact"/>
        </w:trPr>
        <w:tc>
          <w:tcPr>
            <w:tcW w:w="1653" w:type="dxa"/>
            <w:vMerge/>
            <w:tcBorders>
              <w:left w:val="single" w:sz="4" w:space="0" w:color="000000"/>
              <w:right w:val="single" w:sz="4" w:space="0" w:color="000000"/>
            </w:tcBorders>
            <w:shd w:val="clear" w:color="auto" w:fill="D2D2D2"/>
          </w:tcPr>
          <w:p>
            <w:pPr/>
          </w:p>
        </w:tc>
        <w:tc>
          <w:tcPr>
            <w:tcW w:w="985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316"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1653" w:type="dxa"/>
            <w:vMerge/>
            <w:tcBorders>
              <w:left w:val="single" w:sz="4" w:space="0" w:color="000000"/>
              <w:bottom w:val="nil" w:sz="6" w:space="0" w:color="auto"/>
              <w:right w:val="single" w:sz="4" w:space="0" w:color="000000"/>
            </w:tcBorders>
            <w:shd w:val="clear" w:color="auto" w:fill="D2D2D2"/>
          </w:tcPr>
          <w:p>
            <w:pPr/>
          </w:p>
        </w:tc>
        <w:tc>
          <w:tcPr>
            <w:tcW w:w="1193" w:type="dxa"/>
            <w:vMerge w:val="restart"/>
            <w:tcBorders>
              <w:top w:val="single" w:sz="4" w:space="0" w:color="000000"/>
              <w:left w:val="single" w:sz="4" w:space="0" w:color="000000"/>
              <w:right w:val="single" w:sz="4" w:space="0" w:color="000000"/>
            </w:tcBorders>
            <w:shd w:val="clear" w:color="auto" w:fill="D2D2D2"/>
          </w:tcPr>
          <w:p>
            <w:pPr/>
          </w:p>
        </w:tc>
        <w:tc>
          <w:tcPr>
            <w:tcW w:w="190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6" w:type="dxa"/>
            <w:vMerge w:val="restart"/>
            <w:tcBorders>
              <w:top w:val="single" w:sz="4" w:space="0" w:color="000000"/>
              <w:left w:val="single" w:sz="4" w:space="0" w:color="000000"/>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000000"/>
            </w:tcBorders>
            <w:shd w:val="clear" w:color="auto" w:fill="D2D2D2"/>
          </w:tcPr>
          <w:p>
            <w:pPr/>
          </w:p>
        </w:tc>
        <w:tc>
          <w:tcPr>
            <w:tcW w:w="1088" w:type="dxa"/>
            <w:vMerge w:val="restart"/>
            <w:tcBorders>
              <w:top w:val="single" w:sz="4" w:space="0" w:color="000000"/>
              <w:left w:val="single" w:sz="4" w:space="0" w:color="000000"/>
              <w:right w:val="single" w:sz="4" w:space="0" w:color="000000"/>
            </w:tcBorders>
            <w:shd w:val="clear" w:color="auto" w:fill="D2D2D2"/>
          </w:tcPr>
          <w:p>
            <w:pPr/>
          </w:p>
        </w:tc>
        <w:tc>
          <w:tcPr>
            <w:tcW w:w="428" w:type="dxa"/>
            <w:vMerge w:val="restart"/>
            <w:tcBorders>
              <w:top w:val="single" w:sz="4" w:space="0" w:color="000000"/>
              <w:left w:val="single" w:sz="4" w:space="0" w:color="000000"/>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FFFFFF"/>
            </w:tcBorders>
            <w:shd w:val="clear" w:color="auto" w:fill="D2D2D2"/>
          </w:tcPr>
          <w:p>
            <w:pPr/>
          </w:p>
        </w:tc>
        <w:tc>
          <w:tcPr>
            <w:tcW w:w="556" w:type="dxa"/>
            <w:vMerge w:val="restart"/>
            <w:tcBorders>
              <w:top w:val="single" w:sz="4" w:space="0" w:color="000000"/>
              <w:left w:val="single" w:sz="4" w:space="0" w:color="FFFFFF"/>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90" w:hRule="exact"/>
        </w:trPr>
        <w:tc>
          <w:tcPr>
            <w:tcW w:w="16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vMerge/>
            <w:tcBorders>
              <w:left w:val="single" w:sz="4" w:space="0" w:color="000000"/>
              <w:right w:val="single" w:sz="4" w:space="0" w:color="000000"/>
            </w:tcBorders>
            <w:shd w:val="clear" w:color="auto" w:fill="D2D2D2"/>
          </w:tcPr>
          <w:p>
            <w:pPr/>
          </w:p>
        </w:tc>
        <w:tc>
          <w:tcPr>
            <w:tcW w:w="1908" w:type="dxa"/>
            <w:gridSpan w:val="3"/>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1088" w:type="dxa"/>
            <w:vMerge/>
            <w:tcBorders>
              <w:left w:val="single" w:sz="4" w:space="0" w:color="000000"/>
              <w:right w:val="single" w:sz="4" w:space="0" w:color="000000"/>
            </w:tcBorders>
            <w:shd w:val="clear" w:color="auto" w:fill="D2D2D2"/>
          </w:tcPr>
          <w:p>
            <w:pPr/>
          </w:p>
        </w:tc>
        <w:tc>
          <w:tcPr>
            <w:tcW w:w="428"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FFFFFF"/>
            </w:tcBorders>
            <w:shd w:val="clear" w:color="auto" w:fill="D2D2D2"/>
          </w:tcPr>
          <w:p>
            <w:pPr/>
          </w:p>
        </w:tc>
        <w:tc>
          <w:tcPr>
            <w:tcW w:w="556" w:type="dxa"/>
            <w:vMerge/>
            <w:tcBorders>
              <w:left w:val="single" w:sz="4" w:space="0" w:color="FFFFFF"/>
              <w:bottom w:val="nil" w:sz="6" w:space="0" w:color="auto"/>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133" w:hRule="exact"/>
        </w:trPr>
        <w:tc>
          <w:tcPr>
            <w:tcW w:w="1653"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1908" w:type="dxa"/>
            <w:gridSpan w:val="3"/>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1088" w:type="dxa"/>
            <w:vMerge/>
            <w:tcBorders>
              <w:left w:val="single" w:sz="4" w:space="0" w:color="000000"/>
              <w:bottom w:val="nil" w:sz="6" w:space="0" w:color="auto"/>
              <w:right w:val="single" w:sz="4" w:space="0" w:color="000000"/>
            </w:tcBorders>
            <w:shd w:val="clear" w:color="auto" w:fill="D2D2D2"/>
          </w:tcPr>
          <w:p>
            <w:pPr/>
          </w:p>
        </w:tc>
        <w:tc>
          <w:tcPr>
            <w:tcW w:w="428"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right w:val="single" w:sz="4" w:space="0" w:color="FFFFFF"/>
            </w:tcBorders>
            <w:shd w:val="clear" w:color="auto" w:fill="D2D2D2"/>
          </w:tcPr>
          <w:p>
            <w:pPr/>
          </w:p>
        </w:tc>
        <w:tc>
          <w:tcPr>
            <w:tcW w:w="556"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18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45" w:hRule="exact"/>
        </w:trPr>
        <w:tc>
          <w:tcPr>
            <w:tcW w:w="1653" w:type="dxa"/>
            <w:vMerge/>
            <w:tcBorders>
              <w:left w:val="single" w:sz="4" w:space="0" w:color="000000"/>
              <w:bottom w:val="single" w:sz="4" w:space="0" w:color="FFFFFF"/>
              <w:right w:val="single" w:sz="4" w:space="0" w:color="000000"/>
            </w:tcBorders>
            <w:shd w:val="clear" w:color="auto" w:fill="D2D2D2"/>
          </w:tcPr>
          <w:p>
            <w:pPr/>
          </w:p>
        </w:tc>
        <w:tc>
          <w:tcPr>
            <w:tcW w:w="1193" w:type="dxa"/>
            <w:vMerge/>
            <w:tcBorders>
              <w:left w:val="single" w:sz="4" w:space="0" w:color="000000"/>
              <w:bottom w:val="single" w:sz="4" w:space="0" w:color="FFFFFF"/>
              <w:right w:val="single" w:sz="4" w:space="0" w:color="000000"/>
            </w:tcBorders>
            <w:shd w:val="clear" w:color="auto" w:fill="D2D2D2"/>
          </w:tcPr>
          <w:p>
            <w:pPr/>
          </w:p>
        </w:tc>
        <w:tc>
          <w:tcPr>
            <w:tcW w:w="36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2"/>
              <w:ind w:left="86" w:right="85"/>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6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2"/>
              <w:ind w:left="86" w:right="85"/>
              <w:jc w:val="both"/>
              <w:rPr>
                <w:rFonts w:ascii="宋体" w:hAnsi="宋体" w:cs="宋体" w:eastAsia="宋体" w:hint="default"/>
                <w:sz w:val="18"/>
                <w:szCs w:val="18"/>
              </w:rPr>
            </w:pPr>
            <w:r>
              <w:rPr>
                <w:rFonts w:ascii="宋体" w:hAnsi="宋体" w:cs="宋体" w:eastAsia="宋体" w:hint="default"/>
                <w:sz w:val="18"/>
                <w:szCs w:val="18"/>
              </w:rPr>
              <w:t>永 续 债</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08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3"/>
              <w:ind w:left="448" w:right="89"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42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3"/>
              <w:ind w:left="28" w:right="29"/>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91" w:type="dxa"/>
            <w:vMerge/>
            <w:tcBorders>
              <w:left w:val="single" w:sz="4" w:space="0" w:color="000000"/>
              <w:bottom w:val="nil" w:sz="6" w:space="0" w:color="auto"/>
              <w:right w:val="single" w:sz="4" w:space="0" w:color="FFFFFF"/>
            </w:tcBorders>
            <w:shd w:val="clear" w:color="auto" w:fill="D2D2D2"/>
          </w:tcPr>
          <w:p>
            <w:pPr/>
          </w:p>
        </w:tc>
        <w:tc>
          <w:tcPr>
            <w:tcW w:w="556" w:type="dxa"/>
            <w:vMerge/>
            <w:tcBorders>
              <w:left w:val="single" w:sz="4" w:space="0" w:color="FFFFFF"/>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6" w:hRule="exact"/>
        </w:trPr>
        <w:tc>
          <w:tcPr>
            <w:tcW w:w="1653" w:type="dxa"/>
            <w:vMerge w:val="restart"/>
            <w:tcBorders>
              <w:top w:val="single" w:sz="4" w:space="0" w:color="FFFFFF"/>
              <w:left w:val="single" w:sz="4" w:space="0" w:color="000000"/>
              <w:right w:val="single" w:sz="4" w:space="0" w:color="000000"/>
            </w:tcBorders>
            <w:shd w:val="clear" w:color="auto" w:fill="D2D2D2"/>
          </w:tcPr>
          <w:p>
            <w:pPr/>
          </w:p>
        </w:tc>
        <w:tc>
          <w:tcPr>
            <w:tcW w:w="119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364" w:type="dxa"/>
            <w:vMerge/>
            <w:tcBorders>
              <w:left w:val="single" w:sz="4" w:space="0" w:color="000000"/>
              <w:right w:val="single" w:sz="4" w:space="0" w:color="000000"/>
            </w:tcBorders>
            <w:shd w:val="clear" w:color="auto" w:fill="D2D2D2"/>
          </w:tcPr>
          <w:p>
            <w:pPr/>
          </w:p>
        </w:tc>
        <w:tc>
          <w:tcPr>
            <w:tcW w:w="364"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9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89"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88" w:type="dxa"/>
            <w:vMerge/>
            <w:tcBorders>
              <w:left w:val="single" w:sz="4" w:space="0" w:color="000000"/>
              <w:right w:val="single" w:sz="4" w:space="0" w:color="000000"/>
            </w:tcBorders>
            <w:shd w:val="clear" w:color="auto" w:fill="D2D2D2"/>
          </w:tcPr>
          <w:p>
            <w:pPr/>
          </w:p>
        </w:tc>
        <w:tc>
          <w:tcPr>
            <w:tcW w:w="428"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2"/>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56" w:type="dxa"/>
            <w:vMerge/>
            <w:tcBorders>
              <w:left w:val="single" w:sz="4" w:space="0" w:color="FFFFFF"/>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1"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96" w:hRule="exact"/>
        </w:trPr>
        <w:tc>
          <w:tcPr>
            <w:tcW w:w="1653"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364" w:type="dxa"/>
            <w:vMerge/>
            <w:tcBorders>
              <w:left w:val="single" w:sz="4" w:space="0" w:color="000000"/>
              <w:right w:val="single" w:sz="4" w:space="0" w:color="000000"/>
            </w:tcBorders>
            <w:shd w:val="clear" w:color="auto" w:fill="D2D2D2"/>
          </w:tcPr>
          <w:p>
            <w:pPr/>
          </w:p>
        </w:tc>
        <w:tc>
          <w:tcPr>
            <w:tcW w:w="364"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16"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088" w:type="dxa"/>
            <w:vMerge/>
            <w:tcBorders>
              <w:left w:val="single" w:sz="4" w:space="0" w:color="000000"/>
              <w:right w:val="single" w:sz="4" w:space="0" w:color="000000"/>
            </w:tcBorders>
            <w:shd w:val="clear" w:color="auto" w:fill="D2D2D2"/>
          </w:tcPr>
          <w:p>
            <w:pPr/>
          </w:p>
        </w:tc>
        <w:tc>
          <w:tcPr>
            <w:tcW w:w="428"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FFFFFF"/>
            </w:tcBorders>
            <w:shd w:val="clear" w:color="auto" w:fill="D2D2D2"/>
          </w:tcPr>
          <w:p>
            <w:pPr/>
          </w:p>
        </w:tc>
        <w:tc>
          <w:tcPr>
            <w:tcW w:w="556" w:type="dxa"/>
            <w:vMerge/>
            <w:tcBorders>
              <w:left w:val="single" w:sz="4" w:space="0" w:color="FFFFFF"/>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r>
      <w:tr>
        <w:trPr>
          <w:trHeight w:val="179" w:hRule="exact"/>
        </w:trPr>
        <w:tc>
          <w:tcPr>
            <w:tcW w:w="1653"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
        </w:tc>
        <w:tc>
          <w:tcPr>
            <w:tcW w:w="364" w:type="dxa"/>
            <w:vMerge/>
            <w:tcBorders>
              <w:left w:val="single" w:sz="4" w:space="0" w:color="000000"/>
              <w:right w:val="single" w:sz="4" w:space="0" w:color="000000"/>
            </w:tcBorders>
            <w:shd w:val="clear" w:color="auto" w:fill="D2D2D2"/>
          </w:tcPr>
          <w:p>
            <w:pPr/>
          </w:p>
        </w:tc>
        <w:tc>
          <w:tcPr>
            <w:tcW w:w="364"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c>
          <w:tcPr>
            <w:tcW w:w="1088" w:type="dxa"/>
            <w:vMerge/>
            <w:tcBorders>
              <w:left w:val="single" w:sz="4" w:space="0" w:color="000000"/>
              <w:bottom w:val="nil" w:sz="6" w:space="0" w:color="auto"/>
              <w:right w:val="single" w:sz="4" w:space="0" w:color="000000"/>
            </w:tcBorders>
            <w:shd w:val="clear" w:color="auto" w:fill="D2D2D2"/>
          </w:tcPr>
          <w:p>
            <w:pPr/>
          </w:p>
        </w:tc>
        <w:tc>
          <w:tcPr>
            <w:tcW w:w="428" w:type="dxa"/>
            <w:vMerge/>
            <w:tcBorders>
              <w:left w:val="single" w:sz="4" w:space="0" w:color="000000"/>
              <w:bottom w:val="nil" w:sz="6" w:space="0" w:color="auto"/>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FFFFFF"/>
            </w:tcBorders>
            <w:shd w:val="clear" w:color="auto" w:fill="D2D2D2"/>
          </w:tcPr>
          <w:p>
            <w:pPr/>
          </w:p>
        </w:tc>
        <w:tc>
          <w:tcPr>
            <w:tcW w:w="556" w:type="dxa"/>
            <w:vMerge/>
            <w:tcBorders>
              <w:left w:val="single" w:sz="4" w:space="0" w:color="FFFFFF"/>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133" w:hRule="exact"/>
        </w:trPr>
        <w:tc>
          <w:tcPr>
            <w:tcW w:w="1653"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364" w:type="dxa"/>
            <w:vMerge/>
            <w:tcBorders>
              <w:left w:val="single" w:sz="4" w:space="0" w:color="000000"/>
              <w:right w:val="single" w:sz="4" w:space="0" w:color="000000"/>
            </w:tcBorders>
            <w:shd w:val="clear" w:color="auto" w:fill="D2D2D2"/>
          </w:tcPr>
          <w:p>
            <w:pPr/>
          </w:p>
        </w:tc>
        <w:tc>
          <w:tcPr>
            <w:tcW w:w="364"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1088" w:type="dxa"/>
            <w:vMerge w:val="restart"/>
            <w:tcBorders>
              <w:top w:val="nil" w:sz="6" w:space="0" w:color="auto"/>
              <w:left w:val="single" w:sz="4" w:space="0" w:color="000000"/>
              <w:right w:val="single" w:sz="4" w:space="0" w:color="000000"/>
            </w:tcBorders>
            <w:shd w:val="clear" w:color="auto" w:fill="D2D2D2"/>
          </w:tcPr>
          <w:p>
            <w:pPr/>
          </w:p>
        </w:tc>
        <w:tc>
          <w:tcPr>
            <w:tcW w:w="428" w:type="dxa"/>
            <w:vMerge w:val="restart"/>
            <w:tcBorders>
              <w:top w:val="nil" w:sz="6" w:space="0" w:color="auto"/>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FFFFFF"/>
            </w:tcBorders>
            <w:shd w:val="clear" w:color="auto" w:fill="D2D2D2"/>
          </w:tcPr>
          <w:p>
            <w:pPr/>
          </w:p>
        </w:tc>
        <w:tc>
          <w:tcPr>
            <w:tcW w:w="556" w:type="dxa"/>
            <w:vMerge/>
            <w:tcBorders>
              <w:left w:val="single" w:sz="4" w:space="0" w:color="FFFFFF"/>
              <w:bottom w:val="nil" w:sz="6" w:space="0" w:color="auto"/>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206" w:hRule="exact"/>
        </w:trPr>
        <w:tc>
          <w:tcPr>
            <w:tcW w:w="1653"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364" w:type="dxa"/>
            <w:vMerge/>
            <w:tcBorders>
              <w:left w:val="single" w:sz="4" w:space="0" w:color="000000"/>
              <w:bottom w:val="single" w:sz="4" w:space="0" w:color="000000"/>
              <w:right w:val="single" w:sz="4" w:space="0" w:color="000000"/>
            </w:tcBorders>
            <w:shd w:val="clear" w:color="auto" w:fill="D2D2D2"/>
          </w:tcPr>
          <w:p>
            <w:pPr/>
          </w:p>
        </w:tc>
        <w:tc>
          <w:tcPr>
            <w:tcW w:w="364"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428"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FFFFFF"/>
            </w:tcBorders>
            <w:shd w:val="clear" w:color="auto" w:fill="D2D2D2"/>
          </w:tcPr>
          <w:p>
            <w:pPr/>
          </w:p>
        </w:tc>
        <w:tc>
          <w:tcPr>
            <w:tcW w:w="556" w:type="dxa"/>
            <w:tcBorders>
              <w:top w:val="nil" w:sz="6" w:space="0" w:color="auto"/>
              <w:left w:val="single" w:sz="4" w:space="0" w:color="FFFFFF"/>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3" w:type="dxa"/>
            <w:tcBorders>
              <w:top w:val="single" w:sz="4" w:space="0" w:color="000000"/>
              <w:left w:val="single" w:sz="9" w:space="0" w:color="D2D2D2"/>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10,927,963.40</w:t>
            </w:r>
          </w:p>
        </w:tc>
        <w:tc>
          <w:tcPr>
            <w:tcW w:w="55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-10,927,963.40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提取一般风险准备</w:t>
            </w:r>
          </w:p>
        </w:tc>
        <w:tc>
          <w:tcPr>
            <w:tcW w:w="1193" w:type="dxa"/>
            <w:tcBorders>
              <w:top w:val="single" w:sz="4" w:space="0" w:color="000000"/>
              <w:left w:val="single" w:sz="9" w:space="0" w:color="D2D2D2"/>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5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9"/>
              <w:jc w:val="left"/>
              <w:rPr>
                <w:rFonts w:ascii="宋体" w:hAnsi="宋体" w:cs="宋体" w:eastAsia="宋体" w:hint="default"/>
                <w:sz w:val="18"/>
                <w:szCs w:val="18"/>
              </w:rPr>
            </w:pPr>
            <w:r>
              <w:rPr>
                <w:rFonts w:ascii="Times New Roman" w:hAnsi="Times New Roman" w:cs="Times New Roman" w:eastAsia="Times New Roman" w:hint="default"/>
                <w:spacing w:val="-18"/>
                <w:sz w:val="18"/>
                <w:szCs w:val="18"/>
              </w:rPr>
              <w:t>3</w:t>
            </w:r>
            <w:r>
              <w:rPr>
                <w:rFonts w:ascii="宋体" w:hAnsi="宋体" w:cs="宋体" w:eastAsia="宋体" w:hint="default"/>
                <w:spacing w:val="-18"/>
                <w:sz w:val="18"/>
                <w:szCs w:val="18"/>
              </w:rPr>
              <w:t>．对所有者（或股东</w:t>
            </w:r>
            <w:r>
              <w:rPr>
                <w:rFonts w:ascii="宋体" w:hAnsi="宋体" w:cs="宋体" w:eastAsia="宋体" w:hint="default"/>
                <w:sz w:val="18"/>
                <w:szCs w:val="18"/>
              </w:rPr>
              <w:t> 的分配</w:t>
            </w:r>
          </w:p>
        </w:tc>
        <w:tc>
          <w:tcPr>
            <w:tcW w:w="119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18" w:right="0"/>
              <w:jc w:val="left"/>
              <w:rPr>
                <w:rFonts w:ascii="宋体" w:hAnsi="宋体" w:cs="宋体" w:eastAsia="宋体" w:hint="default"/>
                <w:sz w:val="18"/>
                <w:szCs w:val="18"/>
              </w:rPr>
            </w:pPr>
            <w:r>
              <w:rPr>
                <w:rFonts w:ascii="宋体" w:hAnsi="宋体" w:cs="宋体" w:eastAsia="宋体" w:hint="default"/>
                <w:sz w:val="18"/>
                <w:szCs w:val="18"/>
              </w:rPr>
              <w:t>）</w:t>
            </w:r>
          </w:p>
        </w:tc>
        <w:tc>
          <w:tcPr>
            <w:tcW w:w="36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5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-16,238,172.96</w:t>
            </w: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-16,238,172.96</w:t>
            </w:r>
          </w:p>
        </w:tc>
      </w:tr>
      <w:tr>
        <w:trPr>
          <w:trHeight w:val="402" w:hRule="exact"/>
        </w:trPr>
        <w:tc>
          <w:tcPr>
            <w:tcW w:w="1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9" w:space="0" w:color="D2D2D2"/>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5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（四）所有者权益内 部结转</w:t>
            </w:r>
          </w:p>
        </w:tc>
        <w:tc>
          <w:tcPr>
            <w:tcW w:w="119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162,381,729.00</w:t>
            </w:r>
          </w:p>
        </w:tc>
        <w:tc>
          <w:tcPr>
            <w:tcW w:w="36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-162,381,729.00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5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资本公积转增资本</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9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162,381,729.00</w:t>
            </w:r>
          </w:p>
        </w:tc>
        <w:tc>
          <w:tcPr>
            <w:tcW w:w="36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-162,381,729.00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5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盈余公积转增资本</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93" w:type="dxa"/>
            <w:tcBorders>
              <w:top w:val="single" w:sz="4" w:space="0" w:color="000000"/>
              <w:left w:val="single" w:sz="9" w:space="0" w:color="D2D2D2"/>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5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盈余公积弥补亏损</w:t>
            </w:r>
          </w:p>
        </w:tc>
        <w:tc>
          <w:tcPr>
            <w:tcW w:w="1193" w:type="dxa"/>
            <w:tcBorders>
              <w:top w:val="single" w:sz="4" w:space="0" w:color="000000"/>
              <w:left w:val="single" w:sz="9" w:space="0" w:color="D2D2D2"/>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5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．设定受益计划变动</w:t>
            </w:r>
            <w:r>
              <w:rPr>
                <w:rFonts w:ascii="宋体" w:hAnsi="宋体" w:cs="宋体" w:eastAsia="宋体" w:hint="default"/>
                <w:sz w:val="18"/>
                <w:szCs w:val="18"/>
              </w:rPr>
              <w:t> 额结转留存收益</w:t>
            </w:r>
          </w:p>
        </w:tc>
        <w:tc>
          <w:tcPr>
            <w:tcW w:w="1193" w:type="dxa"/>
            <w:tcBorders>
              <w:top w:val="single" w:sz="4" w:space="0" w:color="000000"/>
              <w:left w:val="single" w:sz="9" w:space="0" w:color="D2D2D2"/>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5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93" w:type="dxa"/>
            <w:tcBorders>
              <w:top w:val="single" w:sz="4" w:space="0" w:color="000000"/>
              <w:left w:val="single" w:sz="9" w:space="0" w:color="D2D2D2"/>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5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93" w:type="dxa"/>
            <w:tcBorders>
              <w:top w:val="single" w:sz="4" w:space="0" w:color="000000"/>
              <w:left w:val="single" w:sz="9" w:space="0" w:color="D2D2D2"/>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5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93" w:type="dxa"/>
            <w:tcBorders>
              <w:top w:val="single" w:sz="4" w:space="0" w:color="000000"/>
              <w:left w:val="single" w:sz="9" w:space="0" w:color="D2D2D2"/>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5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93" w:type="dxa"/>
            <w:tcBorders>
              <w:top w:val="single" w:sz="4" w:space="0" w:color="000000"/>
              <w:left w:val="single" w:sz="9" w:space="0" w:color="D2D2D2"/>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5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93" w:type="dxa"/>
            <w:tcBorders>
              <w:top w:val="single" w:sz="4" w:space="0" w:color="000000"/>
              <w:left w:val="single" w:sz="9" w:space="0" w:color="D2D2D2"/>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5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688"/>
        <w:gridCol w:w="1181"/>
        <w:gridCol w:w="352"/>
        <w:gridCol w:w="353"/>
        <w:gridCol w:w="1181"/>
        <w:gridCol w:w="1328"/>
        <w:gridCol w:w="1091"/>
        <w:gridCol w:w="1088"/>
        <w:gridCol w:w="428"/>
        <w:gridCol w:w="1102"/>
        <w:gridCol w:w="533"/>
        <w:gridCol w:w="1192"/>
        <w:gridCol w:w="1181"/>
        <w:gridCol w:w="1316"/>
      </w:tblGrid>
      <w:tr>
        <w:trPr>
          <w:trHeight w:val="416" w:hRule="exact"/>
        </w:trPr>
        <w:tc>
          <w:tcPr>
            <w:tcW w:w="1688" w:type="dxa"/>
            <w:vMerge w:val="restart"/>
            <w:tcBorders>
              <w:top w:val="single" w:sz="15" w:space="0" w:color="000000"/>
              <w:left w:val="single" w:sz="4" w:space="0" w:color="000000"/>
              <w:right w:val="single" w:sz="4" w:space="0" w:color="000000"/>
            </w:tcBorders>
            <w:shd w:val="clear" w:color="auto" w:fill="D2D2D2"/>
          </w:tcPr>
          <w:p>
            <w:pPr/>
          </w:p>
        </w:tc>
        <w:tc>
          <w:tcPr>
            <w:tcW w:w="12327" w:type="dxa"/>
            <w:gridSpan w:val="13"/>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98" w:hRule="exact"/>
        </w:trPr>
        <w:tc>
          <w:tcPr>
            <w:tcW w:w="1688" w:type="dxa"/>
            <w:vMerge/>
            <w:tcBorders>
              <w:left w:val="single" w:sz="4" w:space="0" w:color="000000"/>
              <w:right w:val="single" w:sz="4" w:space="0" w:color="000000"/>
            </w:tcBorders>
            <w:shd w:val="clear" w:color="auto" w:fill="D2D2D2"/>
          </w:tcPr>
          <w:p>
            <w:pPr/>
          </w:p>
        </w:tc>
        <w:tc>
          <w:tcPr>
            <w:tcW w:w="98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316"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1688"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8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28" w:type="dxa"/>
            <w:vMerge w:val="restart"/>
            <w:tcBorders>
              <w:top w:val="single" w:sz="4" w:space="0" w:color="000000"/>
              <w:left w:val="single" w:sz="4" w:space="0" w:color="000000"/>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FFFFFF"/>
            </w:tcBorders>
            <w:shd w:val="clear" w:color="auto" w:fill="D2D2D2"/>
          </w:tcPr>
          <w:p>
            <w:pPr/>
          </w:p>
        </w:tc>
        <w:tc>
          <w:tcPr>
            <w:tcW w:w="1088" w:type="dxa"/>
            <w:vMerge w:val="restart"/>
            <w:tcBorders>
              <w:top w:val="single" w:sz="4" w:space="0" w:color="000000"/>
              <w:left w:val="single" w:sz="4" w:space="0" w:color="FFFFFF"/>
              <w:right w:val="single" w:sz="4" w:space="0" w:color="000000"/>
            </w:tcBorders>
            <w:shd w:val="clear" w:color="auto" w:fill="D2D2D2"/>
          </w:tcPr>
          <w:p>
            <w:pPr/>
          </w:p>
        </w:tc>
        <w:tc>
          <w:tcPr>
            <w:tcW w:w="428" w:type="dxa"/>
            <w:vMerge w:val="restart"/>
            <w:tcBorders>
              <w:top w:val="single" w:sz="4" w:space="0" w:color="000000"/>
              <w:left w:val="single" w:sz="4" w:space="0" w:color="000000"/>
              <w:right w:val="single" w:sz="4" w:space="0" w:color="000000"/>
            </w:tcBorders>
            <w:shd w:val="clear" w:color="auto" w:fill="D2D2D2"/>
          </w:tcPr>
          <w:p>
            <w:pPr/>
          </w:p>
        </w:tc>
        <w:tc>
          <w:tcPr>
            <w:tcW w:w="1102" w:type="dxa"/>
            <w:vMerge w:val="restart"/>
            <w:tcBorders>
              <w:top w:val="single" w:sz="4" w:space="0" w:color="000000"/>
              <w:left w:val="single" w:sz="4" w:space="0" w:color="000000"/>
              <w:right w:val="single" w:sz="4" w:space="0" w:color="000000"/>
            </w:tcBorders>
            <w:shd w:val="clear" w:color="auto" w:fill="D2D2D2"/>
          </w:tcPr>
          <w:p>
            <w:pPr/>
          </w:p>
        </w:tc>
        <w:tc>
          <w:tcPr>
            <w:tcW w:w="533" w:type="dxa"/>
            <w:vMerge w:val="restart"/>
            <w:tcBorders>
              <w:top w:val="single" w:sz="4" w:space="0" w:color="000000"/>
              <w:left w:val="single" w:sz="4" w:space="0" w:color="000000"/>
              <w:right w:val="single" w:sz="4" w:space="0" w:color="000000"/>
            </w:tcBorders>
            <w:shd w:val="clear" w:color="auto" w:fill="D2D2D2"/>
          </w:tcPr>
          <w:p>
            <w:pPr/>
          </w:p>
        </w:tc>
        <w:tc>
          <w:tcPr>
            <w:tcW w:w="1192"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90" w:hRule="exact"/>
        </w:trPr>
        <w:tc>
          <w:tcPr>
            <w:tcW w:w="16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181" w:type="dxa"/>
            <w:vMerge/>
            <w:tcBorders>
              <w:left w:val="single" w:sz="4" w:space="0" w:color="000000"/>
              <w:right w:val="single" w:sz="4" w:space="0" w:color="000000"/>
            </w:tcBorders>
            <w:shd w:val="clear" w:color="auto" w:fill="D2D2D2"/>
          </w:tcPr>
          <w:p>
            <w:pPr/>
          </w:p>
        </w:tc>
        <w:tc>
          <w:tcPr>
            <w:tcW w:w="1885" w:type="dxa"/>
            <w:gridSpan w:val="3"/>
            <w:vMerge/>
            <w:tcBorders>
              <w:left w:val="single" w:sz="4" w:space="0" w:color="000000"/>
              <w:right w:val="single" w:sz="4" w:space="0" w:color="000000"/>
            </w:tcBorders>
            <w:shd w:val="clear" w:color="auto" w:fill="D2D2D2"/>
          </w:tcPr>
          <w:p>
            <w:pPr/>
          </w:p>
        </w:tc>
        <w:tc>
          <w:tcPr>
            <w:tcW w:w="1328"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FFFFFF"/>
            </w:tcBorders>
            <w:shd w:val="clear" w:color="auto" w:fill="D2D2D2"/>
          </w:tcPr>
          <w:p>
            <w:pPr/>
          </w:p>
        </w:tc>
        <w:tc>
          <w:tcPr>
            <w:tcW w:w="1088" w:type="dxa"/>
            <w:vMerge/>
            <w:tcBorders>
              <w:left w:val="single" w:sz="4" w:space="0" w:color="FFFFFF"/>
              <w:right w:val="single" w:sz="4" w:space="0" w:color="000000"/>
            </w:tcBorders>
            <w:shd w:val="clear" w:color="auto" w:fill="D2D2D2"/>
          </w:tcPr>
          <w:p>
            <w:pPr/>
          </w:p>
        </w:tc>
        <w:tc>
          <w:tcPr>
            <w:tcW w:w="428" w:type="dxa"/>
            <w:vMerge/>
            <w:tcBorders>
              <w:left w:val="single" w:sz="4" w:space="0" w:color="000000"/>
              <w:right w:val="single" w:sz="4" w:space="0" w:color="000000"/>
            </w:tcBorders>
            <w:shd w:val="clear" w:color="auto" w:fill="D2D2D2"/>
          </w:tcPr>
          <w:p>
            <w:pPr/>
          </w:p>
        </w:tc>
        <w:tc>
          <w:tcPr>
            <w:tcW w:w="1102"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1192"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133" w:hRule="exact"/>
        </w:trPr>
        <w:tc>
          <w:tcPr>
            <w:tcW w:w="1688"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885" w:type="dxa"/>
            <w:gridSpan w:val="3"/>
            <w:vMerge/>
            <w:tcBorders>
              <w:left w:val="single" w:sz="4" w:space="0" w:color="000000"/>
              <w:bottom w:val="single" w:sz="4" w:space="0" w:color="000000"/>
              <w:right w:val="single" w:sz="4" w:space="0" w:color="000000"/>
            </w:tcBorders>
            <w:shd w:val="clear" w:color="auto" w:fill="D2D2D2"/>
          </w:tcPr>
          <w:p>
            <w:pPr/>
          </w:p>
        </w:tc>
        <w:tc>
          <w:tcPr>
            <w:tcW w:w="1328"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FFFFFF"/>
            </w:tcBorders>
            <w:shd w:val="clear" w:color="auto" w:fill="D2D2D2"/>
          </w:tcPr>
          <w:p>
            <w:pPr/>
          </w:p>
        </w:tc>
        <w:tc>
          <w:tcPr>
            <w:tcW w:w="1088" w:type="dxa"/>
            <w:vMerge/>
            <w:tcBorders>
              <w:left w:val="single" w:sz="4" w:space="0" w:color="FFFFFF"/>
              <w:bottom w:val="nil" w:sz="6" w:space="0" w:color="auto"/>
              <w:right w:val="single" w:sz="4" w:space="0" w:color="000000"/>
            </w:tcBorders>
            <w:shd w:val="clear" w:color="auto" w:fill="D2D2D2"/>
          </w:tcPr>
          <w:p>
            <w:pPr/>
          </w:p>
        </w:tc>
        <w:tc>
          <w:tcPr>
            <w:tcW w:w="428" w:type="dxa"/>
            <w:vMerge/>
            <w:tcBorders>
              <w:left w:val="single" w:sz="4" w:space="0" w:color="000000"/>
              <w:bottom w:val="nil" w:sz="6" w:space="0" w:color="auto"/>
              <w:right w:val="single" w:sz="4" w:space="0" w:color="000000"/>
            </w:tcBorders>
            <w:shd w:val="clear" w:color="auto" w:fill="D2D2D2"/>
          </w:tcPr>
          <w:p>
            <w:pPr/>
          </w:p>
        </w:tc>
        <w:tc>
          <w:tcPr>
            <w:tcW w:w="1102"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81" w:right="80"/>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192"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45" w:hRule="exact"/>
        </w:trPr>
        <w:tc>
          <w:tcPr>
            <w:tcW w:w="1688" w:type="dxa"/>
            <w:vMerge/>
            <w:tcBorders>
              <w:left w:val="single" w:sz="4" w:space="0" w:color="000000"/>
              <w:bottom w:val="single" w:sz="4" w:space="0" w:color="FFFFFF"/>
              <w:right w:val="single" w:sz="4" w:space="0" w:color="000000"/>
            </w:tcBorders>
            <w:shd w:val="clear" w:color="auto" w:fill="D2D2D2"/>
          </w:tcPr>
          <w:p>
            <w:pPr/>
          </w:p>
        </w:tc>
        <w:tc>
          <w:tcPr>
            <w:tcW w:w="1181" w:type="dxa"/>
            <w:vMerge/>
            <w:tcBorders>
              <w:left w:val="single" w:sz="4" w:space="0" w:color="000000"/>
              <w:bottom w:val="single" w:sz="4" w:space="0" w:color="FFFFFF"/>
              <w:right w:val="single" w:sz="4" w:space="0" w:color="000000"/>
            </w:tcBorders>
            <w:shd w:val="clear" w:color="auto" w:fill="D2D2D2"/>
          </w:tcPr>
          <w:p>
            <w:pPr/>
          </w:p>
        </w:tc>
        <w:tc>
          <w:tcPr>
            <w:tcW w:w="3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2"/>
              <w:ind w:left="75" w:right="86"/>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5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2"/>
              <w:ind w:left="86" w:right="74"/>
              <w:jc w:val="both"/>
              <w:rPr>
                <w:rFonts w:ascii="宋体" w:hAnsi="宋体" w:cs="宋体" w:eastAsia="宋体" w:hint="default"/>
                <w:sz w:val="18"/>
                <w:szCs w:val="18"/>
              </w:rPr>
            </w:pPr>
            <w:r>
              <w:rPr>
                <w:rFonts w:ascii="宋体" w:hAnsi="宋体" w:cs="宋体" w:eastAsia="宋体" w:hint="default"/>
                <w:sz w:val="18"/>
                <w:szCs w:val="18"/>
              </w:rPr>
              <w:t>永 续 债</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328"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FFFFFF"/>
            </w:tcBorders>
            <w:shd w:val="clear" w:color="auto" w:fill="D2D2D2"/>
          </w:tcPr>
          <w:p>
            <w:pPr/>
          </w:p>
        </w:tc>
        <w:tc>
          <w:tcPr>
            <w:tcW w:w="1088"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43"/>
              <w:ind w:left="448" w:right="89"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42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3"/>
              <w:ind w:left="28" w:right="29"/>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02"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1192"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6" w:hRule="exact"/>
        </w:trPr>
        <w:tc>
          <w:tcPr>
            <w:tcW w:w="1688" w:type="dxa"/>
            <w:vMerge w:val="restart"/>
            <w:tcBorders>
              <w:top w:val="single" w:sz="4" w:space="0" w:color="FFFFFF"/>
              <w:left w:val="single" w:sz="4" w:space="0" w:color="000000"/>
              <w:right w:val="single" w:sz="4" w:space="0" w:color="000000"/>
            </w:tcBorders>
            <w:shd w:val="clear" w:color="auto" w:fill="D2D2D2"/>
          </w:tcPr>
          <w:p>
            <w:pPr/>
          </w:p>
        </w:tc>
        <w:tc>
          <w:tcPr>
            <w:tcW w:w="118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right="20"/>
              <w:jc w:val="center"/>
              <w:rPr>
                <w:rFonts w:ascii="宋体" w:hAnsi="宋体" w:cs="宋体" w:eastAsia="宋体" w:hint="default"/>
                <w:sz w:val="18"/>
                <w:szCs w:val="18"/>
              </w:rPr>
            </w:pPr>
            <w:r>
              <w:rPr>
                <w:rFonts w:ascii="宋体" w:hAnsi="宋体" w:cs="宋体" w:eastAsia="宋体" w:hint="default"/>
                <w:sz w:val="18"/>
                <w:szCs w:val="18"/>
              </w:rPr>
              <w:t>股本</w:t>
            </w:r>
          </w:p>
        </w:tc>
        <w:tc>
          <w:tcPr>
            <w:tcW w:w="352" w:type="dxa"/>
            <w:vMerge/>
            <w:tcBorders>
              <w:left w:val="single" w:sz="4" w:space="0" w:color="000000"/>
              <w:right w:val="single" w:sz="4" w:space="0" w:color="000000"/>
            </w:tcBorders>
            <w:shd w:val="clear" w:color="auto" w:fill="D2D2D2"/>
          </w:tcPr>
          <w:p>
            <w:pPr/>
          </w:p>
        </w:tc>
        <w:tc>
          <w:tcPr>
            <w:tcW w:w="353"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30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91"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2"/>
              <w:ind w:left="89"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88" w:type="dxa"/>
            <w:vMerge/>
            <w:tcBorders>
              <w:left w:val="single" w:sz="4" w:space="0" w:color="FFFFFF"/>
              <w:right w:val="single" w:sz="4" w:space="0" w:color="000000"/>
            </w:tcBorders>
            <w:shd w:val="clear" w:color="auto" w:fill="D2D2D2"/>
          </w:tcPr>
          <w:p>
            <w:pPr/>
          </w:p>
        </w:tc>
        <w:tc>
          <w:tcPr>
            <w:tcW w:w="428" w:type="dxa"/>
            <w:vMerge/>
            <w:tcBorders>
              <w:left w:val="single" w:sz="4" w:space="0" w:color="000000"/>
              <w:right w:val="single" w:sz="4" w:space="0" w:color="000000"/>
            </w:tcBorders>
            <w:shd w:val="clear" w:color="auto" w:fill="D2D2D2"/>
          </w:tcPr>
          <w:p>
            <w:pPr/>
          </w:p>
        </w:tc>
        <w:tc>
          <w:tcPr>
            <w:tcW w:w="11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33" w:type="dxa"/>
            <w:vMerge/>
            <w:tcBorders>
              <w:left w:val="single" w:sz="4" w:space="0" w:color="000000"/>
              <w:right w:val="single" w:sz="4" w:space="0" w:color="000000"/>
            </w:tcBorders>
            <w:shd w:val="clear" w:color="auto" w:fill="D2D2D2"/>
          </w:tcPr>
          <w:p>
            <w:pPr/>
          </w:p>
        </w:tc>
        <w:tc>
          <w:tcPr>
            <w:tcW w:w="11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4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1"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96" w:hRule="exact"/>
        </w:trPr>
        <w:tc>
          <w:tcPr>
            <w:tcW w:w="1688"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352" w:type="dxa"/>
            <w:vMerge/>
            <w:tcBorders>
              <w:left w:val="single" w:sz="4" w:space="0" w:color="000000"/>
              <w:right w:val="single" w:sz="4" w:space="0" w:color="000000"/>
            </w:tcBorders>
            <w:shd w:val="clear" w:color="auto" w:fill="D2D2D2"/>
          </w:tcPr>
          <w:p>
            <w:pPr/>
          </w:p>
        </w:tc>
        <w:tc>
          <w:tcPr>
            <w:tcW w:w="353"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28"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FFFFFF"/>
            </w:tcBorders>
            <w:shd w:val="clear" w:color="auto" w:fill="D2D2D2"/>
          </w:tcPr>
          <w:p>
            <w:pPr/>
          </w:p>
        </w:tc>
        <w:tc>
          <w:tcPr>
            <w:tcW w:w="1088" w:type="dxa"/>
            <w:vMerge/>
            <w:tcBorders>
              <w:left w:val="single" w:sz="4" w:space="0" w:color="FFFFFF"/>
              <w:right w:val="single" w:sz="4" w:space="0" w:color="000000"/>
            </w:tcBorders>
            <w:shd w:val="clear" w:color="auto" w:fill="D2D2D2"/>
          </w:tcPr>
          <w:p>
            <w:pPr/>
          </w:p>
        </w:tc>
        <w:tc>
          <w:tcPr>
            <w:tcW w:w="428" w:type="dxa"/>
            <w:vMerge/>
            <w:tcBorders>
              <w:left w:val="single" w:sz="4" w:space="0" w:color="000000"/>
              <w:right w:val="single" w:sz="4" w:space="0" w:color="000000"/>
            </w:tcBorders>
            <w:shd w:val="clear" w:color="auto" w:fill="D2D2D2"/>
          </w:tcPr>
          <w:p>
            <w:pPr/>
          </w:p>
        </w:tc>
        <w:tc>
          <w:tcPr>
            <w:tcW w:w="1102"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1192"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r>
      <w:tr>
        <w:trPr>
          <w:trHeight w:val="179" w:hRule="exact"/>
        </w:trPr>
        <w:tc>
          <w:tcPr>
            <w:tcW w:w="1688"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352" w:type="dxa"/>
            <w:vMerge/>
            <w:tcBorders>
              <w:left w:val="single" w:sz="4" w:space="0" w:color="000000"/>
              <w:right w:val="single" w:sz="4" w:space="0" w:color="000000"/>
            </w:tcBorders>
            <w:shd w:val="clear" w:color="auto" w:fill="D2D2D2"/>
          </w:tcPr>
          <w:p>
            <w:pPr/>
          </w:p>
        </w:tc>
        <w:tc>
          <w:tcPr>
            <w:tcW w:w="353"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28" w:type="dxa"/>
            <w:vMerge w:val="restart"/>
            <w:tcBorders>
              <w:top w:val="nil" w:sz="6" w:space="0" w:color="auto"/>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FFFFFF"/>
            </w:tcBorders>
            <w:shd w:val="clear" w:color="auto" w:fill="D2D2D2"/>
          </w:tcPr>
          <w:p>
            <w:pPr/>
          </w:p>
        </w:tc>
        <w:tc>
          <w:tcPr>
            <w:tcW w:w="1088" w:type="dxa"/>
            <w:vMerge/>
            <w:tcBorders>
              <w:left w:val="single" w:sz="4" w:space="0" w:color="FFFFFF"/>
              <w:bottom w:val="nil" w:sz="6" w:space="0" w:color="auto"/>
              <w:right w:val="single" w:sz="4" w:space="0" w:color="000000"/>
            </w:tcBorders>
            <w:shd w:val="clear" w:color="auto" w:fill="D2D2D2"/>
          </w:tcPr>
          <w:p>
            <w:pPr/>
          </w:p>
        </w:tc>
        <w:tc>
          <w:tcPr>
            <w:tcW w:w="428" w:type="dxa"/>
            <w:vMerge/>
            <w:tcBorders>
              <w:left w:val="single" w:sz="4" w:space="0" w:color="000000"/>
              <w:bottom w:val="nil" w:sz="6" w:space="0" w:color="auto"/>
              <w:right w:val="single" w:sz="4" w:space="0" w:color="000000"/>
            </w:tcBorders>
            <w:shd w:val="clear" w:color="auto" w:fill="D2D2D2"/>
          </w:tcPr>
          <w:p>
            <w:pPr/>
          </w:p>
        </w:tc>
        <w:tc>
          <w:tcPr>
            <w:tcW w:w="1102"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1192" w:type="dxa"/>
            <w:vMerge w:val="restart"/>
            <w:tcBorders>
              <w:top w:val="nil" w:sz="6" w:space="0" w:color="auto"/>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133" w:hRule="exact"/>
        </w:trPr>
        <w:tc>
          <w:tcPr>
            <w:tcW w:w="1688"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352" w:type="dxa"/>
            <w:vMerge/>
            <w:tcBorders>
              <w:left w:val="single" w:sz="4" w:space="0" w:color="000000"/>
              <w:right w:val="single" w:sz="4" w:space="0" w:color="000000"/>
            </w:tcBorders>
            <w:shd w:val="clear" w:color="auto" w:fill="D2D2D2"/>
          </w:tcPr>
          <w:p>
            <w:pPr/>
          </w:p>
        </w:tc>
        <w:tc>
          <w:tcPr>
            <w:tcW w:w="353"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328"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FFFFFF"/>
            </w:tcBorders>
            <w:shd w:val="clear" w:color="auto" w:fill="D2D2D2"/>
          </w:tcPr>
          <w:p>
            <w:pPr/>
          </w:p>
        </w:tc>
        <w:tc>
          <w:tcPr>
            <w:tcW w:w="1088" w:type="dxa"/>
            <w:vMerge w:val="restart"/>
            <w:tcBorders>
              <w:top w:val="nil" w:sz="6" w:space="0" w:color="auto"/>
              <w:left w:val="single" w:sz="4" w:space="0" w:color="FFFFFF"/>
              <w:right w:val="single" w:sz="4" w:space="0" w:color="000000"/>
            </w:tcBorders>
            <w:shd w:val="clear" w:color="auto" w:fill="D2D2D2"/>
          </w:tcPr>
          <w:p>
            <w:pPr/>
          </w:p>
        </w:tc>
        <w:tc>
          <w:tcPr>
            <w:tcW w:w="428" w:type="dxa"/>
            <w:vMerge w:val="restart"/>
            <w:tcBorders>
              <w:top w:val="nil" w:sz="6" w:space="0" w:color="auto"/>
              <w:left w:val="single" w:sz="4" w:space="0" w:color="000000"/>
              <w:right w:val="single" w:sz="4" w:space="0" w:color="000000"/>
            </w:tcBorders>
            <w:shd w:val="clear" w:color="auto" w:fill="D2D2D2"/>
          </w:tcPr>
          <w:p>
            <w:pPr/>
          </w:p>
        </w:tc>
        <w:tc>
          <w:tcPr>
            <w:tcW w:w="1102"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1192"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206" w:hRule="exact"/>
        </w:trPr>
        <w:tc>
          <w:tcPr>
            <w:tcW w:w="1688"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352" w:type="dxa"/>
            <w:vMerge/>
            <w:tcBorders>
              <w:left w:val="single" w:sz="4" w:space="0" w:color="000000"/>
              <w:bottom w:val="single" w:sz="4" w:space="0" w:color="000000"/>
              <w:right w:val="single" w:sz="4" w:space="0" w:color="000000"/>
            </w:tcBorders>
            <w:shd w:val="clear" w:color="auto" w:fill="D2D2D2"/>
          </w:tcPr>
          <w:p>
            <w:pPr/>
          </w:p>
        </w:tc>
        <w:tc>
          <w:tcPr>
            <w:tcW w:w="353"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328"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FFFFFF"/>
            </w:tcBorders>
            <w:shd w:val="clear" w:color="auto" w:fill="D2D2D2"/>
          </w:tcPr>
          <w:p>
            <w:pPr/>
          </w:p>
        </w:tc>
        <w:tc>
          <w:tcPr>
            <w:tcW w:w="1088" w:type="dxa"/>
            <w:vMerge/>
            <w:tcBorders>
              <w:left w:val="single" w:sz="4" w:space="0" w:color="FFFFFF"/>
              <w:bottom w:val="single" w:sz="4" w:space="0" w:color="000000"/>
              <w:right w:val="single" w:sz="4" w:space="0" w:color="000000"/>
            </w:tcBorders>
            <w:shd w:val="clear" w:color="auto" w:fill="D2D2D2"/>
          </w:tcPr>
          <w:p>
            <w:pPr/>
          </w:p>
        </w:tc>
        <w:tc>
          <w:tcPr>
            <w:tcW w:w="428" w:type="dxa"/>
            <w:vMerge/>
            <w:tcBorders>
              <w:left w:val="single" w:sz="4" w:space="0" w:color="000000"/>
              <w:bottom w:val="single" w:sz="4" w:space="0" w:color="000000"/>
              <w:right w:val="single" w:sz="4" w:space="0" w:color="000000"/>
            </w:tcBorders>
            <w:shd w:val="clear" w:color="auto" w:fill="D2D2D2"/>
          </w:tcPr>
          <w:p>
            <w:pPr/>
          </w:p>
        </w:tc>
        <w:tc>
          <w:tcPr>
            <w:tcW w:w="1102"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2"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 w:right="0"/>
              <w:jc w:val="left"/>
              <w:rPr>
                <w:rFonts w:ascii="Times New Roman" w:hAnsi="Times New Roman" w:cs="Times New Roman" w:eastAsia="Times New Roman" w:hint="default"/>
                <w:sz w:val="18"/>
                <w:szCs w:val="18"/>
              </w:rPr>
            </w:pPr>
            <w:r>
              <w:rPr>
                <w:rFonts w:ascii="Times New Roman"/>
                <w:sz w:val="18"/>
              </w:rPr>
              <w:t>710,727,417.00</w:t>
            </w:r>
          </w:p>
        </w:tc>
        <w:tc>
          <w:tcPr>
            <w:tcW w:w="352"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154,607,862.97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891,956,409.25</w:t>
            </w:r>
          </w:p>
        </w:tc>
        <w:tc>
          <w:tcPr>
            <w:tcW w:w="109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43,131,880.00</w:t>
            </w:r>
          </w:p>
        </w:tc>
        <w:tc>
          <w:tcPr>
            <w:tcW w:w="108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left="184" w:right="0"/>
              <w:jc w:val="left"/>
              <w:rPr>
                <w:rFonts w:ascii="Times New Roman" w:hAnsi="Times New Roman" w:cs="Times New Roman" w:eastAsia="Times New Roman" w:hint="default"/>
                <w:sz w:val="18"/>
                <w:szCs w:val="18"/>
              </w:rPr>
            </w:pPr>
            <w:r>
              <w:rPr>
                <w:rFonts w:ascii="Times New Roman"/>
                <w:sz w:val="18"/>
              </w:rPr>
              <w:t>-989,779.34</w:t>
            </w:r>
          </w:p>
        </w:tc>
        <w:tc>
          <w:tcPr>
            <w:tcW w:w="42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72,495,704.44</w:t>
            </w:r>
          </w:p>
        </w:tc>
        <w:tc>
          <w:tcPr>
            <w:tcW w:w="53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828,390,827.75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149,805,020.31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2,763,861,582.38</w:t>
            </w:r>
          </w:p>
        </w:tc>
      </w:tr>
    </w:tbl>
    <w:p>
      <w:pPr>
        <w:spacing w:line="240" w:lineRule="auto" w:before="8"/>
        <w:rPr>
          <w:rFonts w:ascii="Times New Roman" w:hAnsi="Times New Roman" w:cs="Times New Roman" w:eastAsia="Times New Roman" w:hint="default"/>
          <w:sz w:val="21"/>
          <w:szCs w:val="21"/>
        </w:rPr>
      </w:pPr>
    </w:p>
    <w:p>
      <w:pPr>
        <w:spacing w:after="0" w:line="240" w:lineRule="auto"/>
        <w:rPr>
          <w:rFonts w:ascii="Times New Roman" w:hAnsi="Times New Roman" w:cs="Times New Roman" w:eastAsia="Times New Roman" w:hint="default"/>
          <w:sz w:val="21"/>
          <w:szCs w:val="21"/>
        </w:rPr>
        <w:sectPr>
          <w:pgSz w:w="16840" w:h="11910" w:orient="landscape"/>
          <w:pgMar w:header="867" w:footer="979" w:top="1060" w:bottom="1160" w:left="1300" w:right="1300"/>
        </w:sectPr>
      </w:pPr>
    </w:p>
    <w:p>
      <w:pPr>
        <w:pStyle w:val="Heading3"/>
        <w:spacing w:line="240" w:lineRule="auto" w:before="35"/>
        <w:ind w:left="140" w:right="0"/>
        <w:jc w:val="left"/>
        <w:rPr>
          <w:b w:val="0"/>
          <w:bCs w:val="0"/>
        </w:rPr>
      </w:pPr>
      <w:bookmarkStart w:name="8、母公司所有者权益变动表" w:id="179"/>
      <w:bookmarkEnd w:id="179"/>
      <w:r>
        <w:rPr>
          <w:b w:val="0"/>
          <w:bCs w:val="0"/>
        </w:rPr>
      </w:r>
      <w:r>
        <w:rPr>
          <w:rFonts w:ascii="Times New Roman" w:hAnsi="Times New Roman" w:cs="Times New Roman" w:eastAsia="Times New Roman" w:hint="default"/>
          <w:w w:val="95"/>
        </w:rPr>
        <w:t>8</w:t>
      </w:r>
      <w:r>
        <w:rPr>
          <w:w w:val="95"/>
        </w:rPr>
        <w:t>、母公司所有者权益变动表</w:t>
      </w:r>
      <w:r>
        <w:rPr>
          <w:b w:val="0"/>
          <w:bCs w:val="0"/>
        </w:rPr>
      </w:r>
    </w:p>
    <w:p>
      <w:pPr>
        <w:pStyle w:val="BodyText"/>
        <w:spacing w:line="240" w:lineRule="auto" w:before="87"/>
        <w:ind w:left="140" w:right="0"/>
        <w:jc w:val="left"/>
      </w:pPr>
      <w:r>
        <w:rPr/>
        <w:t>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2"/>
          <w:szCs w:val="22"/>
        </w:rPr>
      </w:pPr>
    </w:p>
    <w:p>
      <w:pPr>
        <w:pStyle w:val="BodyText"/>
        <w:spacing w:line="240" w:lineRule="auto"/>
        <w:ind w:left="140" w:right="0"/>
        <w:jc w:val="left"/>
      </w:pPr>
      <w:r>
        <w:rPr/>
        <w:t>单位：元</w:t>
      </w:r>
    </w:p>
    <w:p>
      <w:pPr>
        <w:spacing w:after="0" w:line="240" w:lineRule="auto"/>
        <w:jc w:val="left"/>
        <w:sectPr>
          <w:type w:val="continuous"/>
          <w:pgSz w:w="16840" w:h="11910" w:orient="landscape"/>
          <w:pgMar w:top="1060" w:bottom="700" w:left="1300" w:right="1300"/>
          <w:cols w:num="2" w:equalWidth="0">
            <w:col w:w="2773" w:space="10466"/>
            <w:col w:w="1001"/>
          </w:cols>
        </w:sectPr>
      </w:pPr>
    </w:p>
    <w:p>
      <w:pPr>
        <w:spacing w:line="240" w:lineRule="auto" w:before="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874"/>
        <w:gridCol w:w="1192"/>
        <w:gridCol w:w="509"/>
        <w:gridCol w:w="509"/>
        <w:gridCol w:w="1182"/>
        <w:gridCol w:w="1181"/>
        <w:gridCol w:w="1151"/>
        <w:gridCol w:w="917"/>
        <w:gridCol w:w="646"/>
        <w:gridCol w:w="1091"/>
        <w:gridCol w:w="1376"/>
        <w:gridCol w:w="1376"/>
      </w:tblGrid>
      <w:tr>
        <w:trPr>
          <w:trHeight w:val="402" w:hRule="exact"/>
        </w:trPr>
        <w:tc>
          <w:tcPr>
            <w:tcW w:w="2874" w:type="dxa"/>
            <w:vMerge w:val="restart"/>
            <w:tcBorders>
              <w:top w:val="single" w:sz="4" w:space="0" w:color="000000"/>
              <w:left w:val="single" w:sz="4" w:space="0" w:color="000000"/>
              <w:right w:val="single" w:sz="4" w:space="0" w:color="000000"/>
            </w:tcBorders>
            <w:shd w:val="clear" w:color="auto" w:fill="D2D2D2"/>
          </w:tcPr>
          <w:p>
            <w:pPr/>
          </w:p>
        </w:tc>
        <w:tc>
          <w:tcPr>
            <w:tcW w:w="1112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84" w:hRule="exact"/>
        </w:trPr>
        <w:tc>
          <w:tcPr>
            <w:tcW w:w="2874" w:type="dxa"/>
            <w:vMerge/>
            <w:tcBorders>
              <w:left w:val="single" w:sz="4" w:space="0" w:color="000000"/>
              <w:bottom w:val="nil" w:sz="6" w:space="0" w:color="auto"/>
              <w:right w:val="single" w:sz="4" w:space="0" w:color="000000"/>
            </w:tcBorders>
            <w:shd w:val="clear" w:color="auto" w:fill="D2D2D2"/>
          </w:tcPr>
          <w:p>
            <w:pPr/>
          </w:p>
        </w:tc>
        <w:tc>
          <w:tcPr>
            <w:tcW w:w="1192" w:type="dxa"/>
            <w:vMerge w:val="restart"/>
            <w:tcBorders>
              <w:top w:val="single" w:sz="4" w:space="0" w:color="000000"/>
              <w:left w:val="single" w:sz="4" w:space="0" w:color="000000"/>
              <w:right w:val="single" w:sz="4" w:space="0" w:color="000000"/>
            </w:tcBorders>
            <w:shd w:val="clear" w:color="auto" w:fill="D2D2D2"/>
          </w:tcPr>
          <w:p>
            <w:pPr/>
          </w:p>
        </w:tc>
        <w:tc>
          <w:tcPr>
            <w:tcW w:w="22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151" w:type="dxa"/>
            <w:vMerge w:val="restart"/>
            <w:tcBorders>
              <w:top w:val="single" w:sz="4" w:space="0" w:color="000000"/>
              <w:left w:val="single" w:sz="4" w:space="0" w:color="000000"/>
              <w:right w:val="single" w:sz="4" w:space="0" w:color="000000"/>
            </w:tcBorders>
            <w:shd w:val="clear" w:color="auto" w:fill="D2D2D2"/>
          </w:tcPr>
          <w:p>
            <w:pPr/>
          </w:p>
        </w:tc>
        <w:tc>
          <w:tcPr>
            <w:tcW w:w="917"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000000"/>
            </w:tcBorders>
            <w:shd w:val="clear" w:color="auto" w:fill="D2D2D2"/>
          </w:tcPr>
          <w:p>
            <w:pPr/>
          </w:p>
        </w:tc>
        <w:tc>
          <w:tcPr>
            <w:tcW w:w="1376" w:type="dxa"/>
            <w:vMerge w:val="restart"/>
            <w:tcBorders>
              <w:top w:val="single" w:sz="4" w:space="0" w:color="000000"/>
              <w:left w:val="single" w:sz="4" w:space="0" w:color="000000"/>
              <w:right w:val="single" w:sz="4" w:space="0" w:color="000000"/>
            </w:tcBorders>
            <w:shd w:val="clear" w:color="auto" w:fill="D2D2D2"/>
          </w:tcPr>
          <w:p>
            <w:pPr/>
          </w:p>
        </w:tc>
        <w:tc>
          <w:tcPr>
            <w:tcW w:w="1376" w:type="dxa"/>
            <w:vMerge w:val="restart"/>
            <w:tcBorders>
              <w:top w:val="single" w:sz="4" w:space="0" w:color="000000"/>
              <w:left w:val="single" w:sz="4" w:space="0" w:color="000000"/>
              <w:right w:val="single" w:sz="4" w:space="0" w:color="000000"/>
            </w:tcBorders>
            <w:shd w:val="clear" w:color="auto" w:fill="D2D2D2"/>
          </w:tcPr>
          <w:p>
            <w:pPr/>
          </w:p>
        </w:tc>
      </w:tr>
      <w:tr>
        <w:trPr>
          <w:trHeight w:val="190" w:hRule="exact"/>
        </w:trPr>
        <w:tc>
          <w:tcPr>
            <w:tcW w:w="28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2" w:type="dxa"/>
            <w:vMerge/>
            <w:tcBorders>
              <w:left w:val="single" w:sz="4" w:space="0" w:color="000000"/>
              <w:bottom w:val="nil" w:sz="6" w:space="0" w:color="auto"/>
              <w:right w:val="single" w:sz="4" w:space="0" w:color="000000"/>
            </w:tcBorders>
            <w:shd w:val="clear" w:color="auto" w:fill="D2D2D2"/>
          </w:tcPr>
          <w:p>
            <w:pPr/>
          </w:p>
        </w:tc>
        <w:tc>
          <w:tcPr>
            <w:tcW w:w="2200" w:type="dxa"/>
            <w:gridSpan w:val="3"/>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51" w:type="dxa"/>
            <w:vMerge/>
            <w:tcBorders>
              <w:left w:val="single" w:sz="4" w:space="0" w:color="000000"/>
              <w:bottom w:val="nil" w:sz="6" w:space="0" w:color="auto"/>
              <w:right w:val="single" w:sz="4" w:space="0" w:color="000000"/>
            </w:tcBorders>
            <w:shd w:val="clear" w:color="auto" w:fill="D2D2D2"/>
          </w:tcPr>
          <w:p>
            <w:pPr/>
          </w:p>
        </w:tc>
        <w:tc>
          <w:tcPr>
            <w:tcW w:w="91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273" w:right="9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64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226" w:right="47"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1" w:type="dxa"/>
            <w:vMerge/>
            <w:tcBorders>
              <w:left w:val="single" w:sz="4" w:space="0" w:color="000000"/>
              <w:bottom w:val="nil" w:sz="6" w:space="0" w:color="auto"/>
              <w:right w:val="single" w:sz="4" w:space="0" w:color="000000"/>
            </w:tcBorders>
            <w:shd w:val="clear" w:color="auto" w:fill="D2D2D2"/>
          </w:tcPr>
          <w:p>
            <w:pPr/>
          </w:p>
        </w:tc>
        <w:tc>
          <w:tcPr>
            <w:tcW w:w="1376" w:type="dxa"/>
            <w:vMerge/>
            <w:tcBorders>
              <w:left w:val="single" w:sz="4" w:space="0" w:color="000000"/>
              <w:bottom w:val="nil" w:sz="6" w:space="0" w:color="auto"/>
              <w:right w:val="single" w:sz="4" w:space="0" w:color="000000"/>
            </w:tcBorders>
            <w:shd w:val="clear" w:color="auto" w:fill="D2D2D2"/>
          </w:tcPr>
          <w:p>
            <w:pPr/>
          </w:p>
        </w:tc>
        <w:tc>
          <w:tcPr>
            <w:tcW w:w="1376" w:type="dxa"/>
            <w:vMerge/>
            <w:tcBorders>
              <w:left w:val="single" w:sz="4" w:space="0" w:color="000000"/>
              <w:bottom w:val="nil" w:sz="6" w:space="0" w:color="auto"/>
              <w:right w:val="single" w:sz="4" w:space="0" w:color="000000"/>
            </w:tcBorders>
            <w:shd w:val="clear" w:color="auto" w:fill="D2D2D2"/>
          </w:tcPr>
          <w:p>
            <w:pPr/>
          </w:p>
        </w:tc>
      </w:tr>
      <w:tr>
        <w:trPr>
          <w:trHeight w:val="185" w:hRule="exact"/>
        </w:trPr>
        <w:tc>
          <w:tcPr>
            <w:tcW w:w="2874" w:type="dxa"/>
            <w:vMerge/>
            <w:tcBorders>
              <w:left w:val="single" w:sz="4" w:space="0" w:color="000000"/>
              <w:bottom w:val="nil" w:sz="6" w:space="0" w:color="auto"/>
              <w:right w:val="single" w:sz="4" w:space="0" w:color="000000"/>
            </w:tcBorders>
            <w:shd w:val="clear" w:color="auto" w:fill="D2D2D2"/>
          </w:tcPr>
          <w:p>
            <w:pPr/>
          </w:p>
        </w:tc>
        <w:tc>
          <w:tcPr>
            <w:tcW w:w="11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58" w:right="6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58" w:right="6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11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19"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17" w:type="dxa"/>
            <w:vMerge/>
            <w:tcBorders>
              <w:left w:val="single" w:sz="4" w:space="0" w:color="000000"/>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3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5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6" w:hRule="exact"/>
        </w:trPr>
        <w:tc>
          <w:tcPr>
            <w:tcW w:w="2874" w:type="dxa"/>
            <w:vMerge w:val="restart"/>
            <w:tcBorders>
              <w:top w:val="nil" w:sz="6" w:space="0" w:color="auto"/>
              <w:left w:val="single" w:sz="4" w:space="0" w:color="000000"/>
              <w:right w:val="single" w:sz="4" w:space="0" w:color="000000"/>
            </w:tcBorders>
            <w:shd w:val="clear" w:color="auto" w:fill="D2D2D2"/>
          </w:tcPr>
          <w:p>
            <w:pPr/>
          </w:p>
        </w:tc>
        <w:tc>
          <w:tcPr>
            <w:tcW w:w="1192" w:type="dxa"/>
            <w:vMerge/>
            <w:tcBorders>
              <w:left w:val="single" w:sz="4" w:space="0" w:color="000000"/>
              <w:bottom w:val="nil" w:sz="6" w:space="0" w:color="auto"/>
              <w:right w:val="single" w:sz="4" w:space="0" w:color="000000"/>
            </w:tcBorders>
            <w:shd w:val="clear" w:color="auto" w:fill="D2D2D2"/>
          </w:tcPr>
          <w:p>
            <w:pPr/>
          </w:p>
        </w:tc>
        <w:tc>
          <w:tcPr>
            <w:tcW w:w="509" w:type="dxa"/>
            <w:vMerge/>
            <w:tcBorders>
              <w:left w:val="single" w:sz="4" w:space="0" w:color="000000"/>
              <w:right w:val="single" w:sz="4" w:space="0" w:color="000000"/>
            </w:tcBorders>
            <w:shd w:val="clear" w:color="auto" w:fill="D2D2D2"/>
          </w:tcPr>
          <w:p>
            <w:pPr/>
          </w:p>
        </w:tc>
        <w:tc>
          <w:tcPr>
            <w:tcW w:w="509" w:type="dxa"/>
            <w:vMerge/>
            <w:tcBorders>
              <w:left w:val="single" w:sz="4" w:space="0" w:color="000000"/>
              <w:right w:val="single" w:sz="4" w:space="0" w:color="000000"/>
            </w:tcBorders>
            <w:shd w:val="clear" w:color="auto" w:fill="D2D2D2"/>
          </w:tcPr>
          <w:p>
            <w:pPr/>
          </w:p>
        </w:tc>
        <w:tc>
          <w:tcPr>
            <w:tcW w:w="11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nil" w:sz="6" w:space="0" w:color="auto"/>
              <w:right w:val="single" w:sz="4" w:space="0" w:color="000000"/>
            </w:tcBorders>
            <w:shd w:val="clear" w:color="auto" w:fill="D2D2D2"/>
          </w:tcPr>
          <w:p>
            <w:pPr/>
          </w:p>
        </w:tc>
        <w:tc>
          <w:tcPr>
            <w:tcW w:w="1151" w:type="dxa"/>
            <w:vMerge/>
            <w:tcBorders>
              <w:left w:val="single" w:sz="4" w:space="0" w:color="000000"/>
              <w:bottom w:val="nil" w:sz="6" w:space="0" w:color="auto"/>
              <w:right w:val="single" w:sz="4" w:space="0" w:color="000000"/>
            </w:tcBorders>
            <w:shd w:val="clear" w:color="auto" w:fill="D2D2D2"/>
          </w:tcPr>
          <w:p>
            <w:pPr/>
          </w:p>
        </w:tc>
        <w:tc>
          <w:tcPr>
            <w:tcW w:w="917" w:type="dxa"/>
            <w:vMerge/>
            <w:tcBorders>
              <w:left w:val="single" w:sz="4" w:space="0" w:color="000000"/>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376" w:type="dxa"/>
            <w:vMerge/>
            <w:tcBorders>
              <w:left w:val="single" w:sz="4" w:space="0" w:color="000000"/>
              <w:bottom w:val="nil" w:sz="6" w:space="0" w:color="auto"/>
              <w:right w:val="single" w:sz="4" w:space="0" w:color="000000"/>
            </w:tcBorders>
            <w:shd w:val="clear" w:color="auto" w:fill="D2D2D2"/>
          </w:tcPr>
          <w:p>
            <w:pPr/>
          </w:p>
        </w:tc>
        <w:tc>
          <w:tcPr>
            <w:tcW w:w="1376" w:type="dxa"/>
            <w:vMerge/>
            <w:tcBorders>
              <w:left w:val="single" w:sz="4" w:space="0" w:color="000000"/>
              <w:bottom w:val="nil" w:sz="6" w:space="0" w:color="auto"/>
              <w:right w:val="single" w:sz="4" w:space="0" w:color="000000"/>
            </w:tcBorders>
            <w:shd w:val="clear" w:color="auto" w:fill="D2D2D2"/>
          </w:tcPr>
          <w:p>
            <w:pPr/>
          </w:p>
        </w:tc>
      </w:tr>
      <w:tr>
        <w:trPr>
          <w:trHeight w:val="178" w:hRule="exact"/>
        </w:trPr>
        <w:tc>
          <w:tcPr>
            <w:tcW w:w="2874" w:type="dxa"/>
            <w:vMerge/>
            <w:tcBorders>
              <w:left w:val="single" w:sz="4" w:space="0" w:color="000000"/>
              <w:right w:val="single" w:sz="4" w:space="0" w:color="000000"/>
            </w:tcBorders>
            <w:shd w:val="clear" w:color="auto" w:fill="D2D2D2"/>
          </w:tcPr>
          <w:p>
            <w:pPr/>
          </w:p>
        </w:tc>
        <w:tc>
          <w:tcPr>
            <w:tcW w:w="1192" w:type="dxa"/>
            <w:vMerge w:val="restart"/>
            <w:tcBorders>
              <w:top w:val="nil" w:sz="6" w:space="0" w:color="auto"/>
              <w:left w:val="single" w:sz="4" w:space="0" w:color="000000"/>
              <w:right w:val="single" w:sz="4" w:space="0" w:color="000000"/>
            </w:tcBorders>
            <w:shd w:val="clear" w:color="auto" w:fill="D2D2D2"/>
          </w:tcPr>
          <w:p>
            <w:pPr/>
          </w:p>
        </w:tc>
        <w:tc>
          <w:tcPr>
            <w:tcW w:w="509" w:type="dxa"/>
            <w:vMerge/>
            <w:tcBorders>
              <w:left w:val="single" w:sz="4" w:space="0" w:color="000000"/>
              <w:right w:val="single" w:sz="4" w:space="0" w:color="000000"/>
            </w:tcBorders>
            <w:shd w:val="clear" w:color="auto" w:fill="D2D2D2"/>
          </w:tcPr>
          <w:p>
            <w:pPr/>
          </w:p>
        </w:tc>
        <w:tc>
          <w:tcPr>
            <w:tcW w:w="509" w:type="dxa"/>
            <w:vMerge/>
            <w:tcBorders>
              <w:left w:val="single" w:sz="4" w:space="0" w:color="000000"/>
              <w:right w:val="single" w:sz="4" w:space="0" w:color="000000"/>
            </w:tcBorders>
            <w:shd w:val="clear" w:color="auto" w:fill="D2D2D2"/>
          </w:tcPr>
          <w:p>
            <w:pPr/>
          </w:p>
        </w:tc>
        <w:tc>
          <w:tcPr>
            <w:tcW w:w="1182"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151" w:type="dxa"/>
            <w:vMerge w:val="restart"/>
            <w:tcBorders>
              <w:top w:val="nil" w:sz="6" w:space="0" w:color="auto"/>
              <w:left w:val="single" w:sz="4" w:space="0" w:color="000000"/>
              <w:right w:val="single" w:sz="4" w:space="0" w:color="000000"/>
            </w:tcBorders>
            <w:shd w:val="clear" w:color="auto" w:fill="D2D2D2"/>
          </w:tcPr>
          <w:p>
            <w:pPr/>
          </w:p>
        </w:tc>
        <w:tc>
          <w:tcPr>
            <w:tcW w:w="917" w:type="dxa"/>
            <w:vMerge/>
            <w:tcBorders>
              <w:left w:val="single" w:sz="4" w:space="0" w:color="000000"/>
              <w:bottom w:val="nil" w:sz="6" w:space="0" w:color="auto"/>
              <w:right w:val="single" w:sz="4" w:space="0" w:color="000000"/>
            </w:tcBorders>
            <w:shd w:val="clear" w:color="auto" w:fill="D2D2D2"/>
          </w:tcPr>
          <w:p>
            <w:pPr/>
          </w:p>
        </w:tc>
        <w:tc>
          <w:tcPr>
            <w:tcW w:w="646" w:type="dxa"/>
            <w:vMerge/>
            <w:tcBorders>
              <w:left w:val="single" w:sz="4" w:space="0" w:color="000000"/>
              <w:bottom w:val="nil" w:sz="6" w:space="0" w:color="auto"/>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c>
          <w:tcPr>
            <w:tcW w:w="1376" w:type="dxa"/>
            <w:vMerge w:val="restart"/>
            <w:tcBorders>
              <w:top w:val="nil" w:sz="6" w:space="0" w:color="auto"/>
              <w:left w:val="single" w:sz="4" w:space="0" w:color="000000"/>
              <w:right w:val="single" w:sz="4" w:space="0" w:color="000000"/>
            </w:tcBorders>
            <w:shd w:val="clear" w:color="auto" w:fill="D2D2D2"/>
          </w:tcPr>
          <w:p>
            <w:pPr/>
          </w:p>
        </w:tc>
        <w:tc>
          <w:tcPr>
            <w:tcW w:w="1376" w:type="dxa"/>
            <w:vMerge w:val="restart"/>
            <w:tcBorders>
              <w:top w:val="nil" w:sz="6" w:space="0" w:color="auto"/>
              <w:left w:val="single" w:sz="4" w:space="0" w:color="000000"/>
              <w:right w:val="single" w:sz="4" w:space="0" w:color="000000"/>
            </w:tcBorders>
            <w:shd w:val="clear" w:color="auto" w:fill="D2D2D2"/>
          </w:tcPr>
          <w:p>
            <w:pPr/>
          </w:p>
        </w:tc>
      </w:tr>
      <w:tr>
        <w:trPr>
          <w:trHeight w:val="183" w:hRule="exact"/>
        </w:trPr>
        <w:tc>
          <w:tcPr>
            <w:tcW w:w="2874" w:type="dxa"/>
            <w:vMerge/>
            <w:tcBorders>
              <w:left w:val="single" w:sz="4" w:space="0" w:color="000000"/>
              <w:bottom w:val="single" w:sz="4" w:space="0" w:color="000000"/>
              <w:right w:val="single" w:sz="4" w:space="0" w:color="000000"/>
            </w:tcBorders>
            <w:shd w:val="clear" w:color="auto" w:fill="D2D2D2"/>
          </w:tcPr>
          <w:p>
            <w:pPr/>
          </w:p>
        </w:tc>
        <w:tc>
          <w:tcPr>
            <w:tcW w:w="1192" w:type="dxa"/>
            <w:vMerge/>
            <w:tcBorders>
              <w:left w:val="single" w:sz="4" w:space="0" w:color="000000"/>
              <w:bottom w:val="single" w:sz="4" w:space="0" w:color="000000"/>
              <w:right w:val="single" w:sz="4" w:space="0" w:color="000000"/>
            </w:tcBorders>
            <w:shd w:val="clear" w:color="auto" w:fill="D2D2D2"/>
          </w:tcPr>
          <w:p>
            <w:pPr/>
          </w:p>
        </w:tc>
        <w:tc>
          <w:tcPr>
            <w:tcW w:w="509" w:type="dxa"/>
            <w:vMerge/>
            <w:tcBorders>
              <w:left w:val="single" w:sz="4" w:space="0" w:color="000000"/>
              <w:bottom w:val="single" w:sz="4" w:space="0" w:color="000000"/>
              <w:right w:val="single" w:sz="4" w:space="0" w:color="000000"/>
            </w:tcBorders>
            <w:shd w:val="clear" w:color="auto" w:fill="D2D2D2"/>
          </w:tcPr>
          <w:p>
            <w:pPr/>
          </w:p>
        </w:tc>
        <w:tc>
          <w:tcPr>
            <w:tcW w:w="509" w:type="dxa"/>
            <w:vMerge/>
            <w:tcBorders>
              <w:left w:val="single" w:sz="4" w:space="0" w:color="000000"/>
              <w:bottom w:val="single" w:sz="4" w:space="0" w:color="000000"/>
              <w:right w:val="single" w:sz="4" w:space="0" w:color="000000"/>
            </w:tcBorders>
            <w:shd w:val="clear" w:color="auto" w:fill="D2D2D2"/>
          </w:tcPr>
          <w:p>
            <w:pPr/>
          </w:p>
        </w:tc>
        <w:tc>
          <w:tcPr>
            <w:tcW w:w="11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51" w:type="dxa"/>
            <w:vMerge/>
            <w:tcBorders>
              <w:left w:val="single" w:sz="4" w:space="0" w:color="000000"/>
              <w:bottom w:val="single" w:sz="4" w:space="0" w:color="000000"/>
              <w:right w:val="single" w:sz="4" w:space="0" w:color="000000"/>
            </w:tcBorders>
            <w:shd w:val="clear" w:color="auto" w:fill="D2D2D2"/>
          </w:tcPr>
          <w:p>
            <w:pPr/>
          </w:p>
        </w:tc>
        <w:tc>
          <w:tcPr>
            <w:tcW w:w="917"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1376" w:type="dxa"/>
            <w:vMerge/>
            <w:tcBorders>
              <w:left w:val="single" w:sz="4" w:space="0" w:color="000000"/>
              <w:bottom w:val="single" w:sz="4" w:space="0" w:color="000000"/>
              <w:right w:val="single" w:sz="4" w:space="0" w:color="000000"/>
            </w:tcBorders>
            <w:shd w:val="clear" w:color="auto" w:fill="D2D2D2"/>
          </w:tcPr>
          <w:p>
            <w:pPr/>
          </w:p>
        </w:tc>
        <w:tc>
          <w:tcPr>
            <w:tcW w:w="137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710,727,417.00</w:t>
            </w: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154,607,862.97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894,008,375.35</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center"/>
              <w:rPr>
                <w:rFonts w:ascii="Times New Roman" w:hAnsi="Times New Roman" w:cs="Times New Roman" w:eastAsia="Times New Roman" w:hint="default"/>
                <w:sz w:val="18"/>
                <w:szCs w:val="18"/>
              </w:rPr>
            </w:pPr>
            <w:r>
              <w:rPr>
                <w:rFonts w:ascii="Times New Roman"/>
                <w:sz w:val="18"/>
              </w:rPr>
              <w:t>43,131,880.00</w:t>
            </w:r>
          </w:p>
        </w:tc>
        <w:tc>
          <w:tcPr>
            <w:tcW w:w="91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72,495,704.44</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405,815,326.43</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2,194,522,806.19</w:t>
            </w:r>
          </w:p>
        </w:tc>
      </w:tr>
      <w:tr>
        <w:trPr>
          <w:trHeight w:val="402" w:hRule="exact"/>
        </w:trPr>
        <w:tc>
          <w:tcPr>
            <w:tcW w:w="2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710,727,417.00</w:t>
            </w: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154,607,862.97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894,008,375.35</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center"/>
              <w:rPr>
                <w:rFonts w:ascii="Times New Roman" w:hAnsi="Times New Roman" w:cs="Times New Roman" w:eastAsia="Times New Roman" w:hint="default"/>
                <w:sz w:val="18"/>
                <w:szCs w:val="18"/>
              </w:rPr>
            </w:pPr>
            <w:r>
              <w:rPr>
                <w:rFonts w:ascii="Times New Roman"/>
                <w:sz w:val="18"/>
              </w:rPr>
              <w:t>43,131,880.00</w:t>
            </w:r>
          </w:p>
        </w:tc>
        <w:tc>
          <w:tcPr>
            <w:tcW w:w="91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72,495,704.44</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405,815,326.43</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2,194,522,806.19</w:t>
            </w:r>
          </w:p>
        </w:tc>
      </w:tr>
      <w:tr>
        <w:trPr>
          <w:trHeight w:val="714" w:hRule="exact"/>
        </w:trPr>
        <w:tc>
          <w:tcPr>
            <w:tcW w:w="2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11"/>
              <w:jc w:val="left"/>
              <w:rPr>
                <w:rFonts w:ascii="宋体" w:hAnsi="宋体" w:cs="宋体" w:eastAsia="宋体" w:hint="default"/>
                <w:sz w:val="18"/>
                <w:szCs w:val="18"/>
              </w:rPr>
            </w:pPr>
            <w:r>
              <w:rPr>
                <w:rFonts w:ascii="宋体" w:hAnsi="宋体" w:cs="宋体" w:eastAsia="宋体" w:hint="default"/>
                <w:spacing w:val="-2"/>
                <w:sz w:val="18"/>
                <w:szCs w:val="18"/>
              </w:rPr>
              <w:t>三、本期增减变动金额（减少以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号填列）</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499,161.00</w:t>
            </w: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-20,038.72</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28,036,612.50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-13,257,856.00</w:t>
            </w:r>
          </w:p>
        </w:tc>
        <w:tc>
          <w:tcPr>
            <w:tcW w:w="91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-1,111,669,085.62</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-1,069,895,494.84</w:t>
            </w:r>
          </w:p>
        </w:tc>
      </w:tr>
      <w:tr>
        <w:trPr>
          <w:trHeight w:val="402" w:hRule="exact"/>
        </w:trPr>
        <w:tc>
          <w:tcPr>
            <w:tcW w:w="2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-1,090,355,988.28</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-1,090,355,988.28</w:t>
            </w:r>
          </w:p>
        </w:tc>
      </w:tr>
      <w:tr>
        <w:trPr>
          <w:trHeight w:val="402" w:hRule="exact"/>
        </w:trPr>
        <w:tc>
          <w:tcPr>
            <w:tcW w:w="2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499,161.00</w:t>
            </w: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-20,038.72</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1" w:right="0"/>
              <w:jc w:val="center"/>
              <w:rPr>
                <w:rFonts w:ascii="Times New Roman" w:hAnsi="Times New Roman" w:cs="Times New Roman" w:eastAsia="Times New Roman" w:hint="default"/>
                <w:sz w:val="18"/>
                <w:szCs w:val="18"/>
              </w:rPr>
            </w:pPr>
            <w:r>
              <w:rPr>
                <w:rFonts w:ascii="Times New Roman"/>
                <w:sz w:val="18"/>
              </w:rPr>
              <w:t>28,036,612.50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-13,257,856.00</w:t>
            </w:r>
          </w:p>
        </w:tc>
        <w:tc>
          <w:tcPr>
            <w:tcW w:w="91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41,773,590.78</w:t>
            </w:r>
          </w:p>
        </w:tc>
      </w:tr>
      <w:tr>
        <w:trPr>
          <w:trHeight w:val="403" w:hRule="exact"/>
        </w:trPr>
        <w:tc>
          <w:tcPr>
            <w:tcW w:w="2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790,000.00</w:t>
            </w: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1" w:right="0"/>
              <w:jc w:val="center"/>
              <w:rPr>
                <w:rFonts w:ascii="Times New Roman" w:hAnsi="Times New Roman" w:cs="Times New Roman" w:eastAsia="Times New Roman" w:hint="default"/>
                <w:sz w:val="18"/>
                <w:szCs w:val="18"/>
              </w:rPr>
            </w:pPr>
            <w:r>
              <w:rPr>
                <w:rFonts w:ascii="Times New Roman"/>
                <w:sz w:val="18"/>
              </w:rPr>
              <w:t>3,160,000.00</w:t>
            </w:r>
          </w:p>
        </w:tc>
        <w:tc>
          <w:tcPr>
            <w:tcW w:w="115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3,950,000.00</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060" w:bottom="70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2874"/>
        <w:gridCol w:w="1192"/>
        <w:gridCol w:w="509"/>
        <w:gridCol w:w="509"/>
        <w:gridCol w:w="1182"/>
        <w:gridCol w:w="1181"/>
        <w:gridCol w:w="1151"/>
        <w:gridCol w:w="917"/>
        <w:gridCol w:w="646"/>
        <w:gridCol w:w="1091"/>
        <w:gridCol w:w="1376"/>
        <w:gridCol w:w="1376"/>
      </w:tblGrid>
      <w:tr>
        <w:trPr>
          <w:trHeight w:val="412" w:hRule="exact"/>
        </w:trPr>
        <w:tc>
          <w:tcPr>
            <w:tcW w:w="2874" w:type="dxa"/>
            <w:vMerge w:val="restart"/>
            <w:tcBorders>
              <w:top w:val="single" w:sz="15" w:space="0" w:color="000000"/>
              <w:left w:val="single" w:sz="4" w:space="0" w:color="000000"/>
              <w:right w:val="single" w:sz="4" w:space="0" w:color="000000"/>
            </w:tcBorders>
            <w:shd w:val="clear" w:color="auto" w:fill="D2D2D2"/>
          </w:tcPr>
          <w:p>
            <w:pPr/>
          </w:p>
        </w:tc>
        <w:tc>
          <w:tcPr>
            <w:tcW w:w="11129" w:type="dxa"/>
            <w:gridSpan w:val="11"/>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89" w:hRule="exact"/>
        </w:trPr>
        <w:tc>
          <w:tcPr>
            <w:tcW w:w="2874" w:type="dxa"/>
            <w:vMerge/>
            <w:tcBorders>
              <w:left w:val="single" w:sz="4" w:space="0" w:color="000000"/>
              <w:bottom w:val="nil" w:sz="6" w:space="0" w:color="auto"/>
              <w:right w:val="single" w:sz="4" w:space="0" w:color="000000"/>
            </w:tcBorders>
            <w:shd w:val="clear" w:color="auto" w:fill="D2D2D2"/>
          </w:tcPr>
          <w:p>
            <w:pPr/>
          </w:p>
        </w:tc>
        <w:tc>
          <w:tcPr>
            <w:tcW w:w="1192" w:type="dxa"/>
            <w:vMerge w:val="restart"/>
            <w:tcBorders>
              <w:top w:val="single" w:sz="4" w:space="0" w:color="000000"/>
              <w:left w:val="single" w:sz="4" w:space="0" w:color="000000"/>
              <w:right w:val="single" w:sz="4" w:space="0" w:color="000000"/>
            </w:tcBorders>
            <w:shd w:val="clear" w:color="auto" w:fill="D2D2D2"/>
          </w:tcPr>
          <w:p>
            <w:pPr/>
          </w:p>
        </w:tc>
        <w:tc>
          <w:tcPr>
            <w:tcW w:w="22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151" w:type="dxa"/>
            <w:vMerge w:val="restart"/>
            <w:tcBorders>
              <w:top w:val="single" w:sz="4" w:space="0" w:color="000000"/>
              <w:left w:val="single" w:sz="4" w:space="0" w:color="000000"/>
              <w:right w:val="single" w:sz="4" w:space="0" w:color="000000"/>
            </w:tcBorders>
            <w:shd w:val="clear" w:color="auto" w:fill="D2D2D2"/>
          </w:tcPr>
          <w:p>
            <w:pPr/>
          </w:p>
        </w:tc>
        <w:tc>
          <w:tcPr>
            <w:tcW w:w="917"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000000"/>
            </w:tcBorders>
            <w:shd w:val="clear" w:color="auto" w:fill="D2D2D2"/>
          </w:tcPr>
          <w:p>
            <w:pPr/>
          </w:p>
        </w:tc>
        <w:tc>
          <w:tcPr>
            <w:tcW w:w="1376" w:type="dxa"/>
            <w:vMerge w:val="restart"/>
            <w:tcBorders>
              <w:top w:val="single" w:sz="4" w:space="0" w:color="000000"/>
              <w:left w:val="single" w:sz="4" w:space="0" w:color="000000"/>
              <w:right w:val="single" w:sz="4" w:space="0" w:color="000000"/>
            </w:tcBorders>
            <w:shd w:val="clear" w:color="auto" w:fill="D2D2D2"/>
          </w:tcPr>
          <w:p>
            <w:pPr/>
          </w:p>
        </w:tc>
        <w:tc>
          <w:tcPr>
            <w:tcW w:w="1376" w:type="dxa"/>
            <w:vMerge w:val="restart"/>
            <w:tcBorders>
              <w:top w:val="single" w:sz="4" w:space="0" w:color="000000"/>
              <w:left w:val="single" w:sz="4" w:space="0" w:color="000000"/>
              <w:right w:val="single" w:sz="4" w:space="0" w:color="000000"/>
            </w:tcBorders>
            <w:shd w:val="clear" w:color="auto" w:fill="D2D2D2"/>
          </w:tcPr>
          <w:p>
            <w:pPr/>
          </w:p>
        </w:tc>
      </w:tr>
      <w:tr>
        <w:trPr>
          <w:trHeight w:val="188" w:hRule="exact"/>
        </w:trPr>
        <w:tc>
          <w:tcPr>
            <w:tcW w:w="28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2" w:type="dxa"/>
            <w:vMerge/>
            <w:tcBorders>
              <w:left w:val="single" w:sz="4" w:space="0" w:color="000000"/>
              <w:bottom w:val="single" w:sz="14" w:space="0" w:color="FFFFFF"/>
              <w:right w:val="single" w:sz="4" w:space="0" w:color="000000"/>
            </w:tcBorders>
            <w:shd w:val="clear" w:color="auto" w:fill="D2D2D2"/>
          </w:tcPr>
          <w:p>
            <w:pPr/>
          </w:p>
        </w:tc>
        <w:tc>
          <w:tcPr>
            <w:tcW w:w="2200" w:type="dxa"/>
            <w:gridSpan w:val="3"/>
            <w:vMerge/>
            <w:tcBorders>
              <w:left w:val="single" w:sz="4" w:space="0" w:color="000000"/>
              <w:bottom w:val="single" w:sz="14" w:space="0" w:color="FFFFFF"/>
              <w:right w:val="single" w:sz="4" w:space="0" w:color="000000"/>
            </w:tcBorders>
            <w:shd w:val="clear" w:color="auto" w:fill="D2D2D2"/>
          </w:tcPr>
          <w:p>
            <w:pPr/>
          </w:p>
        </w:tc>
        <w:tc>
          <w:tcPr>
            <w:tcW w:w="1181" w:type="dxa"/>
            <w:vMerge/>
            <w:tcBorders>
              <w:left w:val="single" w:sz="4" w:space="0" w:color="000000"/>
              <w:bottom w:val="single" w:sz="14" w:space="0" w:color="FFFFFF"/>
              <w:right w:val="single" w:sz="4" w:space="0" w:color="000000"/>
            </w:tcBorders>
            <w:shd w:val="clear" w:color="auto" w:fill="D2D2D2"/>
          </w:tcPr>
          <w:p>
            <w:pPr/>
          </w:p>
        </w:tc>
        <w:tc>
          <w:tcPr>
            <w:tcW w:w="1151" w:type="dxa"/>
            <w:vMerge/>
            <w:tcBorders>
              <w:left w:val="single" w:sz="4" w:space="0" w:color="000000"/>
              <w:bottom w:val="single" w:sz="14" w:space="0" w:color="FFFFFF"/>
              <w:right w:val="single" w:sz="4" w:space="0" w:color="000000"/>
            </w:tcBorders>
            <w:shd w:val="clear" w:color="auto" w:fill="D2D2D2"/>
          </w:tcPr>
          <w:p>
            <w:pPr/>
          </w:p>
        </w:tc>
        <w:tc>
          <w:tcPr>
            <w:tcW w:w="91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73" w:right="9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64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26" w:right="47"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1" w:type="dxa"/>
            <w:vMerge/>
            <w:tcBorders>
              <w:left w:val="single" w:sz="4" w:space="0" w:color="000000"/>
              <w:bottom w:val="nil" w:sz="6" w:space="0" w:color="auto"/>
              <w:right w:val="single" w:sz="4" w:space="0" w:color="000000"/>
            </w:tcBorders>
            <w:shd w:val="clear" w:color="auto" w:fill="D2D2D2"/>
          </w:tcPr>
          <w:p>
            <w:pPr/>
          </w:p>
        </w:tc>
        <w:tc>
          <w:tcPr>
            <w:tcW w:w="1376" w:type="dxa"/>
            <w:vMerge/>
            <w:tcBorders>
              <w:left w:val="single" w:sz="4" w:space="0" w:color="000000"/>
              <w:bottom w:val="nil" w:sz="6" w:space="0" w:color="auto"/>
              <w:right w:val="single" w:sz="4" w:space="0" w:color="000000"/>
            </w:tcBorders>
            <w:shd w:val="clear" w:color="auto" w:fill="D2D2D2"/>
          </w:tcPr>
          <w:p>
            <w:pPr/>
          </w:p>
        </w:tc>
        <w:tc>
          <w:tcPr>
            <w:tcW w:w="1376" w:type="dxa"/>
            <w:vMerge/>
            <w:tcBorders>
              <w:left w:val="single" w:sz="4" w:space="0" w:color="000000"/>
              <w:bottom w:val="nil" w:sz="6" w:space="0" w:color="auto"/>
              <w:right w:val="single" w:sz="4" w:space="0" w:color="000000"/>
            </w:tcBorders>
            <w:shd w:val="clear" w:color="auto" w:fill="D2D2D2"/>
          </w:tcPr>
          <w:p>
            <w:pPr/>
          </w:p>
        </w:tc>
      </w:tr>
      <w:tr>
        <w:trPr>
          <w:trHeight w:val="187" w:hRule="exact"/>
        </w:trPr>
        <w:tc>
          <w:tcPr>
            <w:tcW w:w="2874" w:type="dxa"/>
            <w:vMerge/>
            <w:tcBorders>
              <w:left w:val="single" w:sz="4" w:space="0" w:color="000000"/>
              <w:bottom w:val="nil" w:sz="6" w:space="0" w:color="auto"/>
              <w:right w:val="single" w:sz="4" w:space="0" w:color="000000"/>
            </w:tcBorders>
            <w:shd w:val="clear" w:color="auto" w:fill="D2D2D2"/>
          </w:tcPr>
          <w:p>
            <w:pPr/>
          </w:p>
        </w:tc>
        <w:tc>
          <w:tcPr>
            <w:tcW w:w="1192"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5"/>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09"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9"/>
              <w:ind w:left="158" w:right="6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09"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9"/>
              <w:ind w:left="158" w:right="6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1182" w:type="dxa"/>
            <w:tcBorders>
              <w:top w:val="single" w:sz="14" w:space="0" w:color="FFFFFF"/>
              <w:left w:val="single" w:sz="4" w:space="0" w:color="000000"/>
              <w:bottom w:val="nil" w:sz="6" w:space="0" w:color="auto"/>
              <w:right w:val="single" w:sz="4" w:space="0" w:color="000000"/>
            </w:tcBorders>
            <w:shd w:val="clear" w:color="auto" w:fill="D2D2D2"/>
          </w:tcPr>
          <w:p>
            <w:pPr/>
          </w:p>
        </w:tc>
        <w:tc>
          <w:tcPr>
            <w:tcW w:w="1181"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5"/>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51"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5"/>
              <w:ind w:left="119"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17" w:type="dxa"/>
            <w:vMerge/>
            <w:tcBorders>
              <w:left w:val="single" w:sz="4" w:space="0" w:color="000000"/>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23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5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6" w:hRule="exact"/>
        </w:trPr>
        <w:tc>
          <w:tcPr>
            <w:tcW w:w="2874" w:type="dxa"/>
            <w:vMerge w:val="restart"/>
            <w:tcBorders>
              <w:top w:val="nil" w:sz="6" w:space="0" w:color="auto"/>
              <w:left w:val="single" w:sz="4" w:space="0" w:color="000000"/>
              <w:right w:val="single" w:sz="4" w:space="0" w:color="000000"/>
            </w:tcBorders>
            <w:shd w:val="clear" w:color="auto" w:fill="D2D2D2"/>
          </w:tcPr>
          <w:p>
            <w:pPr/>
          </w:p>
        </w:tc>
        <w:tc>
          <w:tcPr>
            <w:tcW w:w="1192" w:type="dxa"/>
            <w:vMerge/>
            <w:tcBorders>
              <w:left w:val="single" w:sz="4" w:space="0" w:color="000000"/>
              <w:bottom w:val="nil" w:sz="6" w:space="0" w:color="auto"/>
              <w:right w:val="single" w:sz="4" w:space="0" w:color="000000"/>
            </w:tcBorders>
            <w:shd w:val="clear" w:color="auto" w:fill="D2D2D2"/>
          </w:tcPr>
          <w:p>
            <w:pPr/>
          </w:p>
        </w:tc>
        <w:tc>
          <w:tcPr>
            <w:tcW w:w="509" w:type="dxa"/>
            <w:vMerge/>
            <w:tcBorders>
              <w:left w:val="single" w:sz="4" w:space="0" w:color="000000"/>
              <w:right w:val="single" w:sz="4" w:space="0" w:color="000000"/>
            </w:tcBorders>
            <w:shd w:val="clear" w:color="auto" w:fill="D2D2D2"/>
          </w:tcPr>
          <w:p>
            <w:pPr/>
          </w:p>
        </w:tc>
        <w:tc>
          <w:tcPr>
            <w:tcW w:w="509" w:type="dxa"/>
            <w:vMerge/>
            <w:tcBorders>
              <w:left w:val="single" w:sz="4" w:space="0" w:color="000000"/>
              <w:right w:val="single" w:sz="4" w:space="0" w:color="000000"/>
            </w:tcBorders>
            <w:shd w:val="clear" w:color="auto" w:fill="D2D2D2"/>
          </w:tcPr>
          <w:p>
            <w:pPr/>
          </w:p>
        </w:tc>
        <w:tc>
          <w:tcPr>
            <w:tcW w:w="11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nil" w:sz="6" w:space="0" w:color="auto"/>
              <w:right w:val="single" w:sz="4" w:space="0" w:color="000000"/>
            </w:tcBorders>
            <w:shd w:val="clear" w:color="auto" w:fill="D2D2D2"/>
          </w:tcPr>
          <w:p>
            <w:pPr/>
          </w:p>
        </w:tc>
        <w:tc>
          <w:tcPr>
            <w:tcW w:w="1151" w:type="dxa"/>
            <w:vMerge/>
            <w:tcBorders>
              <w:left w:val="single" w:sz="4" w:space="0" w:color="000000"/>
              <w:bottom w:val="nil" w:sz="6" w:space="0" w:color="auto"/>
              <w:right w:val="single" w:sz="4" w:space="0" w:color="000000"/>
            </w:tcBorders>
            <w:shd w:val="clear" w:color="auto" w:fill="D2D2D2"/>
          </w:tcPr>
          <w:p>
            <w:pPr/>
          </w:p>
        </w:tc>
        <w:tc>
          <w:tcPr>
            <w:tcW w:w="917" w:type="dxa"/>
            <w:vMerge/>
            <w:tcBorders>
              <w:left w:val="single" w:sz="4" w:space="0" w:color="000000"/>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376" w:type="dxa"/>
            <w:vMerge/>
            <w:tcBorders>
              <w:left w:val="single" w:sz="4" w:space="0" w:color="000000"/>
              <w:bottom w:val="nil" w:sz="6" w:space="0" w:color="auto"/>
              <w:right w:val="single" w:sz="4" w:space="0" w:color="000000"/>
            </w:tcBorders>
            <w:shd w:val="clear" w:color="auto" w:fill="D2D2D2"/>
          </w:tcPr>
          <w:p>
            <w:pPr/>
          </w:p>
        </w:tc>
        <w:tc>
          <w:tcPr>
            <w:tcW w:w="1376"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2874" w:type="dxa"/>
            <w:vMerge/>
            <w:tcBorders>
              <w:left w:val="single" w:sz="4" w:space="0" w:color="000000"/>
              <w:right w:val="single" w:sz="4" w:space="0" w:color="000000"/>
            </w:tcBorders>
            <w:shd w:val="clear" w:color="auto" w:fill="D2D2D2"/>
          </w:tcPr>
          <w:p>
            <w:pPr/>
          </w:p>
        </w:tc>
        <w:tc>
          <w:tcPr>
            <w:tcW w:w="1192" w:type="dxa"/>
            <w:vMerge w:val="restart"/>
            <w:tcBorders>
              <w:top w:val="nil" w:sz="6" w:space="0" w:color="auto"/>
              <w:left w:val="single" w:sz="4" w:space="0" w:color="000000"/>
              <w:right w:val="single" w:sz="4" w:space="0" w:color="000000"/>
            </w:tcBorders>
            <w:shd w:val="clear" w:color="auto" w:fill="D2D2D2"/>
          </w:tcPr>
          <w:p>
            <w:pPr/>
          </w:p>
        </w:tc>
        <w:tc>
          <w:tcPr>
            <w:tcW w:w="509" w:type="dxa"/>
            <w:vMerge/>
            <w:tcBorders>
              <w:left w:val="single" w:sz="4" w:space="0" w:color="000000"/>
              <w:right w:val="single" w:sz="4" w:space="0" w:color="000000"/>
            </w:tcBorders>
            <w:shd w:val="clear" w:color="auto" w:fill="D2D2D2"/>
          </w:tcPr>
          <w:p>
            <w:pPr/>
          </w:p>
        </w:tc>
        <w:tc>
          <w:tcPr>
            <w:tcW w:w="509" w:type="dxa"/>
            <w:vMerge/>
            <w:tcBorders>
              <w:left w:val="single" w:sz="4" w:space="0" w:color="000000"/>
              <w:right w:val="single" w:sz="4" w:space="0" w:color="000000"/>
            </w:tcBorders>
            <w:shd w:val="clear" w:color="auto" w:fill="D2D2D2"/>
          </w:tcPr>
          <w:p>
            <w:pPr/>
          </w:p>
        </w:tc>
        <w:tc>
          <w:tcPr>
            <w:tcW w:w="1182"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151" w:type="dxa"/>
            <w:vMerge w:val="restart"/>
            <w:tcBorders>
              <w:top w:val="nil" w:sz="6" w:space="0" w:color="auto"/>
              <w:left w:val="single" w:sz="4" w:space="0" w:color="000000"/>
              <w:right w:val="single" w:sz="4" w:space="0" w:color="000000"/>
            </w:tcBorders>
            <w:shd w:val="clear" w:color="auto" w:fill="D2D2D2"/>
          </w:tcPr>
          <w:p>
            <w:pPr/>
          </w:p>
        </w:tc>
        <w:tc>
          <w:tcPr>
            <w:tcW w:w="917" w:type="dxa"/>
            <w:vMerge/>
            <w:tcBorders>
              <w:left w:val="single" w:sz="4" w:space="0" w:color="000000"/>
              <w:bottom w:val="nil" w:sz="6" w:space="0" w:color="auto"/>
              <w:right w:val="single" w:sz="4" w:space="0" w:color="000000"/>
            </w:tcBorders>
            <w:shd w:val="clear" w:color="auto" w:fill="D2D2D2"/>
          </w:tcPr>
          <w:p>
            <w:pPr/>
          </w:p>
        </w:tc>
        <w:tc>
          <w:tcPr>
            <w:tcW w:w="646" w:type="dxa"/>
            <w:vMerge/>
            <w:tcBorders>
              <w:left w:val="single" w:sz="4" w:space="0" w:color="000000"/>
              <w:bottom w:val="nil" w:sz="6" w:space="0" w:color="auto"/>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c>
          <w:tcPr>
            <w:tcW w:w="1376" w:type="dxa"/>
            <w:vMerge w:val="restart"/>
            <w:tcBorders>
              <w:top w:val="nil" w:sz="6" w:space="0" w:color="auto"/>
              <w:left w:val="single" w:sz="4" w:space="0" w:color="000000"/>
              <w:right w:val="single" w:sz="4" w:space="0" w:color="000000"/>
            </w:tcBorders>
            <w:shd w:val="clear" w:color="auto" w:fill="D2D2D2"/>
          </w:tcPr>
          <w:p>
            <w:pPr/>
          </w:p>
        </w:tc>
        <w:tc>
          <w:tcPr>
            <w:tcW w:w="1376" w:type="dxa"/>
            <w:vMerge w:val="restart"/>
            <w:tcBorders>
              <w:top w:val="nil" w:sz="6" w:space="0" w:color="auto"/>
              <w:left w:val="single" w:sz="4" w:space="0" w:color="000000"/>
              <w:right w:val="single" w:sz="4" w:space="0" w:color="000000"/>
            </w:tcBorders>
            <w:shd w:val="clear" w:color="auto" w:fill="D2D2D2"/>
          </w:tcPr>
          <w:p>
            <w:pPr/>
          </w:p>
        </w:tc>
      </w:tr>
      <w:tr>
        <w:trPr>
          <w:trHeight w:val="184" w:hRule="exact"/>
        </w:trPr>
        <w:tc>
          <w:tcPr>
            <w:tcW w:w="2874" w:type="dxa"/>
            <w:vMerge/>
            <w:tcBorders>
              <w:left w:val="single" w:sz="4" w:space="0" w:color="000000"/>
              <w:bottom w:val="single" w:sz="4" w:space="0" w:color="000000"/>
              <w:right w:val="single" w:sz="4" w:space="0" w:color="000000"/>
            </w:tcBorders>
            <w:shd w:val="clear" w:color="auto" w:fill="D2D2D2"/>
          </w:tcPr>
          <w:p>
            <w:pPr/>
          </w:p>
        </w:tc>
        <w:tc>
          <w:tcPr>
            <w:tcW w:w="1192" w:type="dxa"/>
            <w:vMerge/>
            <w:tcBorders>
              <w:left w:val="single" w:sz="4" w:space="0" w:color="000000"/>
              <w:bottom w:val="single" w:sz="4" w:space="0" w:color="000000"/>
              <w:right w:val="single" w:sz="4" w:space="0" w:color="000000"/>
            </w:tcBorders>
            <w:shd w:val="clear" w:color="auto" w:fill="D2D2D2"/>
          </w:tcPr>
          <w:p>
            <w:pPr/>
          </w:p>
        </w:tc>
        <w:tc>
          <w:tcPr>
            <w:tcW w:w="509" w:type="dxa"/>
            <w:vMerge/>
            <w:tcBorders>
              <w:left w:val="single" w:sz="4" w:space="0" w:color="000000"/>
              <w:bottom w:val="single" w:sz="4" w:space="0" w:color="000000"/>
              <w:right w:val="single" w:sz="4" w:space="0" w:color="000000"/>
            </w:tcBorders>
            <w:shd w:val="clear" w:color="auto" w:fill="D2D2D2"/>
          </w:tcPr>
          <w:p>
            <w:pPr/>
          </w:p>
        </w:tc>
        <w:tc>
          <w:tcPr>
            <w:tcW w:w="509" w:type="dxa"/>
            <w:vMerge/>
            <w:tcBorders>
              <w:left w:val="single" w:sz="4" w:space="0" w:color="000000"/>
              <w:bottom w:val="single" w:sz="4" w:space="0" w:color="000000"/>
              <w:right w:val="single" w:sz="4" w:space="0" w:color="000000"/>
            </w:tcBorders>
            <w:shd w:val="clear" w:color="auto" w:fill="D2D2D2"/>
          </w:tcPr>
          <w:p>
            <w:pPr/>
          </w:p>
        </w:tc>
        <w:tc>
          <w:tcPr>
            <w:tcW w:w="11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51" w:type="dxa"/>
            <w:vMerge/>
            <w:tcBorders>
              <w:left w:val="single" w:sz="4" w:space="0" w:color="000000"/>
              <w:bottom w:val="single" w:sz="4" w:space="0" w:color="000000"/>
              <w:right w:val="single" w:sz="4" w:space="0" w:color="000000"/>
            </w:tcBorders>
            <w:shd w:val="clear" w:color="auto" w:fill="D2D2D2"/>
          </w:tcPr>
          <w:p>
            <w:pPr/>
          </w:p>
        </w:tc>
        <w:tc>
          <w:tcPr>
            <w:tcW w:w="917"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1376" w:type="dxa"/>
            <w:vMerge/>
            <w:tcBorders>
              <w:left w:val="single" w:sz="4" w:space="0" w:color="000000"/>
              <w:bottom w:val="single" w:sz="4" w:space="0" w:color="000000"/>
              <w:right w:val="single" w:sz="4" w:space="0" w:color="000000"/>
            </w:tcBorders>
            <w:shd w:val="clear" w:color="auto" w:fill="D2D2D2"/>
          </w:tcPr>
          <w:p>
            <w:pPr/>
          </w:p>
        </w:tc>
        <w:tc>
          <w:tcPr>
            <w:tcW w:w="137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7,834.00</w:t>
            </w: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-20,038.72</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94,956.00</w:t>
            </w:r>
          </w:p>
        </w:tc>
        <w:tc>
          <w:tcPr>
            <w:tcW w:w="115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82,751.28</w:t>
            </w:r>
          </w:p>
        </w:tc>
      </w:tr>
      <w:tr>
        <w:trPr>
          <w:trHeight w:val="402" w:hRule="exact"/>
        </w:trPr>
        <w:tc>
          <w:tcPr>
            <w:tcW w:w="2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25,190,584.50</w:t>
            </w:r>
          </w:p>
        </w:tc>
        <w:tc>
          <w:tcPr>
            <w:tcW w:w="115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25,190,584.50</w:t>
            </w:r>
          </w:p>
        </w:tc>
      </w:tr>
      <w:tr>
        <w:trPr>
          <w:trHeight w:val="402" w:hRule="exact"/>
        </w:trPr>
        <w:tc>
          <w:tcPr>
            <w:tcW w:w="2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-298,673.00</w:t>
            </w:r>
            <w:r>
              <w:rPr>
                <w:rFonts w:ascii="Times New Roman"/>
                <w:sz w:val="18"/>
              </w:rPr>
            </w: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-408,928.00</w:t>
            </w:r>
            <w:r>
              <w:rPr>
                <w:rFonts w:ascii="Times New Roman"/>
                <w:sz w:val="18"/>
              </w:rPr>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-13,257,856.00</w:t>
            </w:r>
          </w:p>
        </w:tc>
        <w:tc>
          <w:tcPr>
            <w:tcW w:w="91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12,550,255.00</w:t>
            </w:r>
          </w:p>
        </w:tc>
      </w:tr>
      <w:tr>
        <w:trPr>
          <w:trHeight w:val="402" w:hRule="exact"/>
        </w:trPr>
        <w:tc>
          <w:tcPr>
            <w:tcW w:w="2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-21,313,097.34</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-21,313,097.34</w:t>
            </w:r>
          </w:p>
        </w:tc>
      </w:tr>
      <w:tr>
        <w:trPr>
          <w:trHeight w:val="402" w:hRule="exact"/>
        </w:trPr>
        <w:tc>
          <w:tcPr>
            <w:tcW w:w="2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-21,313,097.34</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-21,313,097.34</w:t>
            </w:r>
          </w:p>
        </w:tc>
      </w:tr>
      <w:tr>
        <w:trPr>
          <w:trHeight w:val="402" w:hRule="exact"/>
        </w:trPr>
        <w:tc>
          <w:tcPr>
            <w:tcW w:w="2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．设定受益计划变动额结转留存收 益</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711,226,578.00</w:t>
            </w: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154,587,824.25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922,044,987.85</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29,874,024.00</w:t>
            </w:r>
          </w:p>
        </w:tc>
        <w:tc>
          <w:tcPr>
            <w:tcW w:w="91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72,495,704.44</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-705,853,759.19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1,124,627,311.35</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20"/>
        <w:ind w:left="140" w:right="0"/>
        <w:jc w:val="left"/>
      </w:pPr>
      <w:r>
        <w:rPr/>
        <w:t>上期金额</w:t>
      </w:r>
    </w:p>
    <w:p>
      <w:pPr>
        <w:pStyle w:val="BodyText"/>
        <w:spacing w:line="240" w:lineRule="auto" w:before="116"/>
        <w:ind w:left="0" w:right="136"/>
        <w:jc w:val="right"/>
      </w:pPr>
      <w:r>
        <w:rPr/>
        <w:t>单位：元</w:t>
      </w:r>
    </w:p>
    <w:p>
      <w:pPr>
        <w:spacing w:line="240" w:lineRule="auto" w:before="1"/>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979"/>
        <w:gridCol w:w="1193"/>
        <w:gridCol w:w="521"/>
        <w:gridCol w:w="521"/>
        <w:gridCol w:w="1181"/>
        <w:gridCol w:w="1317"/>
        <w:gridCol w:w="1091"/>
        <w:gridCol w:w="949"/>
        <w:gridCol w:w="664"/>
        <w:gridCol w:w="1091"/>
        <w:gridCol w:w="1181"/>
        <w:gridCol w:w="1316"/>
      </w:tblGrid>
      <w:tr>
        <w:trPr>
          <w:trHeight w:val="397" w:hRule="exact"/>
        </w:trPr>
        <w:tc>
          <w:tcPr>
            <w:tcW w:w="2979" w:type="dxa"/>
            <w:vMerge w:val="restart"/>
            <w:tcBorders>
              <w:top w:val="single" w:sz="4" w:space="0" w:color="000000"/>
              <w:left w:val="single" w:sz="4" w:space="0" w:color="000000"/>
              <w:right w:val="single" w:sz="4" w:space="0" w:color="000000"/>
            </w:tcBorders>
            <w:shd w:val="clear" w:color="auto" w:fill="D2D2D2"/>
          </w:tcPr>
          <w:p>
            <w:pPr/>
          </w:p>
        </w:tc>
        <w:tc>
          <w:tcPr>
            <w:tcW w:w="1102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88" w:hRule="exact"/>
        </w:trPr>
        <w:tc>
          <w:tcPr>
            <w:tcW w:w="2979" w:type="dxa"/>
            <w:vMerge/>
            <w:tcBorders>
              <w:left w:val="single" w:sz="4" w:space="0" w:color="000000"/>
              <w:bottom w:val="nil" w:sz="6" w:space="0" w:color="auto"/>
              <w:right w:val="single" w:sz="4" w:space="0" w:color="000000"/>
            </w:tcBorders>
            <w:shd w:val="clear" w:color="auto" w:fill="D2D2D2"/>
          </w:tcPr>
          <w:p>
            <w:pPr/>
          </w:p>
        </w:tc>
        <w:tc>
          <w:tcPr>
            <w:tcW w:w="1193" w:type="dxa"/>
            <w:vMerge w:val="restart"/>
            <w:tcBorders>
              <w:top w:val="single" w:sz="4" w:space="0" w:color="000000"/>
              <w:left w:val="single" w:sz="4" w:space="0" w:color="000000"/>
              <w:right w:val="single" w:sz="4" w:space="0" w:color="000000"/>
            </w:tcBorders>
            <w:shd w:val="clear" w:color="auto" w:fill="D2D2D2"/>
          </w:tcPr>
          <w:p>
            <w:pPr/>
          </w:p>
        </w:tc>
        <w:tc>
          <w:tcPr>
            <w:tcW w:w="222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7" w:type="dxa"/>
            <w:vMerge w:val="restart"/>
            <w:tcBorders>
              <w:top w:val="single" w:sz="4" w:space="0" w:color="000000"/>
              <w:left w:val="single" w:sz="4" w:space="0" w:color="000000"/>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000000"/>
            </w:tcBorders>
            <w:shd w:val="clear" w:color="auto" w:fill="D2D2D2"/>
          </w:tcPr>
          <w:p>
            <w:pPr/>
          </w:p>
        </w:tc>
        <w:tc>
          <w:tcPr>
            <w:tcW w:w="949"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316" w:type="dxa"/>
            <w:vMerge w:val="restart"/>
            <w:tcBorders>
              <w:top w:val="single" w:sz="4" w:space="0" w:color="000000"/>
              <w:left w:val="single" w:sz="4" w:space="0" w:color="000000"/>
              <w:right w:val="single" w:sz="4" w:space="0" w:color="000000"/>
            </w:tcBorders>
            <w:shd w:val="clear" w:color="auto" w:fill="D2D2D2"/>
          </w:tcPr>
          <w:p>
            <w:pPr/>
          </w:p>
        </w:tc>
      </w:tr>
      <w:tr>
        <w:trPr>
          <w:trHeight w:val="187" w:hRule="exact"/>
        </w:trPr>
        <w:tc>
          <w:tcPr>
            <w:tcW w:w="29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vMerge/>
            <w:tcBorders>
              <w:left w:val="single" w:sz="4" w:space="0" w:color="000000"/>
              <w:bottom w:val="single" w:sz="14" w:space="0" w:color="FFFFFF"/>
              <w:right w:val="single" w:sz="4" w:space="0" w:color="000000"/>
            </w:tcBorders>
            <w:shd w:val="clear" w:color="auto" w:fill="D2D2D2"/>
          </w:tcPr>
          <w:p>
            <w:pPr/>
          </w:p>
        </w:tc>
        <w:tc>
          <w:tcPr>
            <w:tcW w:w="2222" w:type="dxa"/>
            <w:gridSpan w:val="3"/>
            <w:vMerge/>
            <w:tcBorders>
              <w:left w:val="single" w:sz="4" w:space="0" w:color="000000"/>
              <w:bottom w:val="single" w:sz="14" w:space="0" w:color="FFFFFF"/>
              <w:right w:val="single" w:sz="4" w:space="0" w:color="000000"/>
            </w:tcBorders>
            <w:shd w:val="clear" w:color="auto" w:fill="D2D2D2"/>
          </w:tcPr>
          <w:p>
            <w:pPr/>
          </w:p>
        </w:tc>
        <w:tc>
          <w:tcPr>
            <w:tcW w:w="1317" w:type="dxa"/>
            <w:vMerge/>
            <w:tcBorders>
              <w:left w:val="single" w:sz="4" w:space="0" w:color="000000"/>
              <w:bottom w:val="single" w:sz="14" w:space="0" w:color="FFFFFF"/>
              <w:right w:val="single" w:sz="4" w:space="0" w:color="000000"/>
            </w:tcBorders>
            <w:shd w:val="clear" w:color="auto" w:fill="D2D2D2"/>
          </w:tcPr>
          <w:p>
            <w:pPr/>
          </w:p>
        </w:tc>
        <w:tc>
          <w:tcPr>
            <w:tcW w:w="1091" w:type="dxa"/>
            <w:vMerge/>
            <w:tcBorders>
              <w:left w:val="single" w:sz="4" w:space="0" w:color="000000"/>
              <w:bottom w:val="single" w:sz="14" w:space="0" w:color="FFFFFF"/>
              <w:right w:val="single" w:sz="4" w:space="0" w:color="000000"/>
            </w:tcBorders>
            <w:shd w:val="clear" w:color="auto" w:fill="D2D2D2"/>
          </w:tcPr>
          <w:p>
            <w:pPr/>
          </w:p>
        </w:tc>
        <w:tc>
          <w:tcPr>
            <w:tcW w:w="94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289" w:right="108"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236"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1"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88" w:hRule="exact"/>
        </w:trPr>
        <w:tc>
          <w:tcPr>
            <w:tcW w:w="2979" w:type="dxa"/>
            <w:vMerge/>
            <w:tcBorders>
              <w:left w:val="single" w:sz="4" w:space="0" w:color="000000"/>
              <w:bottom w:val="nil" w:sz="6" w:space="0" w:color="auto"/>
              <w:right w:val="single" w:sz="4" w:space="0" w:color="000000"/>
            </w:tcBorders>
            <w:shd w:val="clear" w:color="auto" w:fill="D2D2D2"/>
          </w:tcPr>
          <w:p>
            <w:pPr/>
          </w:p>
        </w:tc>
        <w:tc>
          <w:tcPr>
            <w:tcW w:w="1193"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4"/>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21"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70"/>
              <w:ind w:left="165" w:right="73"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21"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70"/>
              <w:ind w:left="165" w:right="73"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1181" w:type="dxa"/>
            <w:tcBorders>
              <w:top w:val="single" w:sz="14" w:space="0" w:color="FFFFFF"/>
              <w:left w:val="single" w:sz="4" w:space="0" w:color="000000"/>
              <w:bottom w:val="nil" w:sz="6" w:space="0" w:color="auto"/>
              <w:right w:val="single" w:sz="4" w:space="0" w:color="000000"/>
            </w:tcBorders>
            <w:shd w:val="clear" w:color="auto" w:fill="D2D2D2"/>
          </w:tcPr>
          <w:p>
            <w:pPr/>
          </w:p>
        </w:tc>
        <w:tc>
          <w:tcPr>
            <w:tcW w:w="1317"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4"/>
              <w:ind w:left="2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91"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4"/>
              <w:ind w:left="89"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49"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6" w:hRule="exact"/>
        </w:trPr>
        <w:tc>
          <w:tcPr>
            <w:tcW w:w="2979" w:type="dxa"/>
            <w:vMerge w:val="restart"/>
            <w:tcBorders>
              <w:top w:val="nil" w:sz="6" w:space="0" w:color="auto"/>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521" w:type="dxa"/>
            <w:vMerge/>
            <w:tcBorders>
              <w:left w:val="single" w:sz="4" w:space="0" w:color="000000"/>
              <w:right w:val="single" w:sz="4" w:space="0" w:color="000000"/>
            </w:tcBorders>
            <w:shd w:val="clear" w:color="auto" w:fill="D2D2D2"/>
          </w:tcPr>
          <w:p>
            <w:pPr/>
          </w:p>
        </w:tc>
        <w:tc>
          <w:tcPr>
            <w:tcW w:w="521"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17"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949"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2979"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
        </w:tc>
        <w:tc>
          <w:tcPr>
            <w:tcW w:w="521" w:type="dxa"/>
            <w:vMerge/>
            <w:tcBorders>
              <w:left w:val="single" w:sz="4" w:space="0" w:color="000000"/>
              <w:right w:val="single" w:sz="4" w:space="0" w:color="000000"/>
            </w:tcBorders>
            <w:shd w:val="clear" w:color="auto" w:fill="D2D2D2"/>
          </w:tcPr>
          <w:p>
            <w:pPr/>
          </w:p>
        </w:tc>
        <w:tc>
          <w:tcPr>
            <w:tcW w:w="52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7" w:type="dxa"/>
            <w:vMerge w:val="restart"/>
            <w:tcBorders>
              <w:top w:val="nil" w:sz="6" w:space="0" w:color="auto"/>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c>
          <w:tcPr>
            <w:tcW w:w="949"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r>
      <w:tr>
        <w:trPr>
          <w:trHeight w:val="184" w:hRule="exact"/>
        </w:trPr>
        <w:tc>
          <w:tcPr>
            <w:tcW w:w="2979"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521" w:type="dxa"/>
            <w:vMerge/>
            <w:tcBorders>
              <w:left w:val="single" w:sz="4" w:space="0" w:color="000000"/>
              <w:bottom w:val="single" w:sz="4" w:space="0" w:color="000000"/>
              <w:right w:val="single" w:sz="4" w:space="0" w:color="000000"/>
            </w:tcBorders>
            <w:shd w:val="clear" w:color="auto" w:fill="D2D2D2"/>
          </w:tcPr>
          <w:p>
            <w:pPr/>
          </w:p>
        </w:tc>
        <w:tc>
          <w:tcPr>
            <w:tcW w:w="521"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7"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949"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541,491,950.00</w:t>
            </w: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1,012,874,910.87</w:t>
            </w:r>
          </w:p>
        </w:tc>
        <w:tc>
          <w:tcPr>
            <w:tcW w:w="10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61,567,741.04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323,701,828.80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1,939,636,430.71</w:t>
            </w: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541,491,950.00</w:t>
            </w: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1,012,874,910.87</w:t>
            </w:r>
          </w:p>
        </w:tc>
        <w:tc>
          <w:tcPr>
            <w:tcW w:w="10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61,567,741.04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323,701,828.80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1,939,636,430.71</w:t>
            </w:r>
          </w:p>
        </w:tc>
      </w:tr>
      <w:tr>
        <w:trPr>
          <w:trHeight w:val="714"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6"/>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169,235,467.00</w:t>
            </w: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154,607,862.97</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-118,866,535.52</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43,131,880.00</w:t>
            </w: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10,927,963.40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z w:val="18"/>
              </w:rPr>
              <w:t>82,113,497.63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254,886,375.48</w:t>
            </w: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109,279,633.99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109,279,633.99</w:t>
            </w: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6,853,738.00</w:t>
            </w: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154,607,862.97</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43,515,193.48</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43,131,880.00</w:t>
            </w: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161,844,914.45</w:t>
            </w: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6,853,738.00</w:t>
            </w: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36,276,461.98</w:t>
            </w:r>
          </w:p>
        </w:tc>
        <w:tc>
          <w:tcPr>
            <w:tcW w:w="10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43,130,199.98</w:t>
            </w: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154,607,862.97</w:t>
            </w: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154,607,862.97</w:t>
            </w: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7,238,731.50</w:t>
            </w:r>
          </w:p>
        </w:tc>
        <w:tc>
          <w:tcPr>
            <w:tcW w:w="10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7,238,731.50</w:t>
            </w: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43,131,880.00</w:t>
            </w: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-43,131,880.00</w:t>
            </w: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10,927,963.40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-27,166,136.36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-16,238,172.96</w:t>
            </w: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10,927,963.40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-10,927,963.40</w:t>
            </w: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-16,238,172.96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-16,238,172.96</w:t>
            </w: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162,381,729.00</w:t>
            </w: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-162,381,729.00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2979"/>
        <w:gridCol w:w="1193"/>
        <w:gridCol w:w="521"/>
        <w:gridCol w:w="521"/>
        <w:gridCol w:w="1181"/>
        <w:gridCol w:w="1317"/>
        <w:gridCol w:w="1091"/>
        <w:gridCol w:w="949"/>
        <w:gridCol w:w="664"/>
        <w:gridCol w:w="1091"/>
        <w:gridCol w:w="1181"/>
        <w:gridCol w:w="1316"/>
      </w:tblGrid>
      <w:tr>
        <w:trPr>
          <w:trHeight w:val="412" w:hRule="exact"/>
        </w:trPr>
        <w:tc>
          <w:tcPr>
            <w:tcW w:w="2979" w:type="dxa"/>
            <w:vMerge w:val="restart"/>
            <w:tcBorders>
              <w:top w:val="single" w:sz="15" w:space="0" w:color="000000"/>
              <w:left w:val="single" w:sz="4" w:space="0" w:color="000000"/>
              <w:right w:val="single" w:sz="4" w:space="0" w:color="000000"/>
            </w:tcBorders>
            <w:shd w:val="clear" w:color="auto" w:fill="D2D2D2"/>
          </w:tcPr>
          <w:p>
            <w:pPr/>
          </w:p>
        </w:tc>
        <w:tc>
          <w:tcPr>
            <w:tcW w:w="11025" w:type="dxa"/>
            <w:gridSpan w:val="11"/>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89" w:hRule="exact"/>
        </w:trPr>
        <w:tc>
          <w:tcPr>
            <w:tcW w:w="2979" w:type="dxa"/>
            <w:vMerge/>
            <w:tcBorders>
              <w:left w:val="single" w:sz="4" w:space="0" w:color="000000"/>
              <w:bottom w:val="nil" w:sz="6" w:space="0" w:color="auto"/>
              <w:right w:val="single" w:sz="4" w:space="0" w:color="000000"/>
            </w:tcBorders>
            <w:shd w:val="clear" w:color="auto" w:fill="D2D2D2"/>
          </w:tcPr>
          <w:p>
            <w:pPr/>
          </w:p>
        </w:tc>
        <w:tc>
          <w:tcPr>
            <w:tcW w:w="1193" w:type="dxa"/>
            <w:vMerge w:val="restart"/>
            <w:tcBorders>
              <w:top w:val="single" w:sz="4" w:space="0" w:color="000000"/>
              <w:left w:val="single" w:sz="4" w:space="0" w:color="000000"/>
              <w:right w:val="single" w:sz="4" w:space="0" w:color="000000"/>
            </w:tcBorders>
            <w:shd w:val="clear" w:color="auto" w:fill="D2D2D2"/>
          </w:tcPr>
          <w:p>
            <w:pPr/>
          </w:p>
        </w:tc>
        <w:tc>
          <w:tcPr>
            <w:tcW w:w="222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7" w:type="dxa"/>
            <w:vMerge w:val="restart"/>
            <w:tcBorders>
              <w:top w:val="single" w:sz="4" w:space="0" w:color="000000"/>
              <w:left w:val="single" w:sz="4" w:space="0" w:color="000000"/>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000000"/>
            </w:tcBorders>
            <w:shd w:val="clear" w:color="auto" w:fill="D2D2D2"/>
          </w:tcPr>
          <w:p>
            <w:pPr/>
          </w:p>
        </w:tc>
        <w:tc>
          <w:tcPr>
            <w:tcW w:w="949"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316" w:type="dxa"/>
            <w:vMerge w:val="restart"/>
            <w:tcBorders>
              <w:top w:val="single" w:sz="4" w:space="0" w:color="000000"/>
              <w:left w:val="single" w:sz="4" w:space="0" w:color="000000"/>
              <w:right w:val="single" w:sz="4" w:space="0" w:color="000000"/>
            </w:tcBorders>
            <w:shd w:val="clear" w:color="auto" w:fill="D2D2D2"/>
          </w:tcPr>
          <w:p>
            <w:pPr/>
          </w:p>
        </w:tc>
      </w:tr>
      <w:tr>
        <w:trPr>
          <w:trHeight w:val="188" w:hRule="exact"/>
        </w:trPr>
        <w:tc>
          <w:tcPr>
            <w:tcW w:w="29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vMerge/>
            <w:tcBorders>
              <w:left w:val="single" w:sz="4" w:space="0" w:color="000000"/>
              <w:bottom w:val="single" w:sz="14" w:space="0" w:color="FFFFFF"/>
              <w:right w:val="single" w:sz="4" w:space="0" w:color="000000"/>
            </w:tcBorders>
            <w:shd w:val="clear" w:color="auto" w:fill="D2D2D2"/>
          </w:tcPr>
          <w:p>
            <w:pPr/>
          </w:p>
        </w:tc>
        <w:tc>
          <w:tcPr>
            <w:tcW w:w="2222" w:type="dxa"/>
            <w:gridSpan w:val="3"/>
            <w:vMerge/>
            <w:tcBorders>
              <w:left w:val="single" w:sz="4" w:space="0" w:color="000000"/>
              <w:bottom w:val="single" w:sz="14" w:space="0" w:color="FFFFFF"/>
              <w:right w:val="single" w:sz="4" w:space="0" w:color="000000"/>
            </w:tcBorders>
            <w:shd w:val="clear" w:color="auto" w:fill="D2D2D2"/>
          </w:tcPr>
          <w:p>
            <w:pPr/>
          </w:p>
        </w:tc>
        <w:tc>
          <w:tcPr>
            <w:tcW w:w="1317" w:type="dxa"/>
            <w:vMerge/>
            <w:tcBorders>
              <w:left w:val="single" w:sz="4" w:space="0" w:color="000000"/>
              <w:bottom w:val="single" w:sz="14" w:space="0" w:color="FFFFFF"/>
              <w:right w:val="single" w:sz="4" w:space="0" w:color="000000"/>
            </w:tcBorders>
            <w:shd w:val="clear" w:color="auto" w:fill="D2D2D2"/>
          </w:tcPr>
          <w:p>
            <w:pPr/>
          </w:p>
        </w:tc>
        <w:tc>
          <w:tcPr>
            <w:tcW w:w="1091" w:type="dxa"/>
            <w:vMerge/>
            <w:tcBorders>
              <w:left w:val="single" w:sz="4" w:space="0" w:color="000000"/>
              <w:bottom w:val="single" w:sz="14" w:space="0" w:color="FFFFFF"/>
              <w:right w:val="single" w:sz="4" w:space="0" w:color="000000"/>
            </w:tcBorders>
            <w:shd w:val="clear" w:color="auto" w:fill="D2D2D2"/>
          </w:tcPr>
          <w:p>
            <w:pPr/>
          </w:p>
        </w:tc>
        <w:tc>
          <w:tcPr>
            <w:tcW w:w="94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9" w:right="108"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36"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1"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87" w:hRule="exact"/>
        </w:trPr>
        <w:tc>
          <w:tcPr>
            <w:tcW w:w="2979" w:type="dxa"/>
            <w:vMerge/>
            <w:tcBorders>
              <w:left w:val="single" w:sz="4" w:space="0" w:color="000000"/>
              <w:bottom w:val="nil" w:sz="6" w:space="0" w:color="auto"/>
              <w:right w:val="single" w:sz="4" w:space="0" w:color="000000"/>
            </w:tcBorders>
            <w:shd w:val="clear" w:color="auto" w:fill="D2D2D2"/>
          </w:tcPr>
          <w:p>
            <w:pPr/>
          </w:p>
        </w:tc>
        <w:tc>
          <w:tcPr>
            <w:tcW w:w="1193"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5"/>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21"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9"/>
              <w:ind w:left="165" w:right="73"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21"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9"/>
              <w:ind w:left="165" w:right="73"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1181" w:type="dxa"/>
            <w:tcBorders>
              <w:top w:val="single" w:sz="14" w:space="0" w:color="FFFFFF"/>
              <w:left w:val="single" w:sz="4" w:space="0" w:color="000000"/>
              <w:bottom w:val="nil" w:sz="6" w:space="0" w:color="auto"/>
              <w:right w:val="single" w:sz="4" w:space="0" w:color="000000"/>
            </w:tcBorders>
            <w:shd w:val="clear" w:color="auto" w:fill="D2D2D2"/>
          </w:tcPr>
          <w:p>
            <w:pPr/>
          </w:p>
        </w:tc>
        <w:tc>
          <w:tcPr>
            <w:tcW w:w="1317"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5"/>
              <w:ind w:left="2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91"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5"/>
              <w:ind w:left="89"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49"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6" w:hRule="exact"/>
        </w:trPr>
        <w:tc>
          <w:tcPr>
            <w:tcW w:w="2979" w:type="dxa"/>
            <w:vMerge w:val="restart"/>
            <w:tcBorders>
              <w:top w:val="nil" w:sz="6" w:space="0" w:color="auto"/>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521" w:type="dxa"/>
            <w:vMerge/>
            <w:tcBorders>
              <w:left w:val="single" w:sz="4" w:space="0" w:color="000000"/>
              <w:right w:val="single" w:sz="4" w:space="0" w:color="000000"/>
            </w:tcBorders>
            <w:shd w:val="clear" w:color="auto" w:fill="D2D2D2"/>
          </w:tcPr>
          <w:p>
            <w:pPr/>
          </w:p>
        </w:tc>
        <w:tc>
          <w:tcPr>
            <w:tcW w:w="521"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17"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949"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2979"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
        </w:tc>
        <w:tc>
          <w:tcPr>
            <w:tcW w:w="521" w:type="dxa"/>
            <w:vMerge/>
            <w:tcBorders>
              <w:left w:val="single" w:sz="4" w:space="0" w:color="000000"/>
              <w:right w:val="single" w:sz="4" w:space="0" w:color="000000"/>
            </w:tcBorders>
            <w:shd w:val="clear" w:color="auto" w:fill="D2D2D2"/>
          </w:tcPr>
          <w:p>
            <w:pPr/>
          </w:p>
        </w:tc>
        <w:tc>
          <w:tcPr>
            <w:tcW w:w="52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7" w:type="dxa"/>
            <w:vMerge w:val="restart"/>
            <w:tcBorders>
              <w:top w:val="nil" w:sz="6" w:space="0" w:color="auto"/>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c>
          <w:tcPr>
            <w:tcW w:w="949"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r>
      <w:tr>
        <w:trPr>
          <w:trHeight w:val="184" w:hRule="exact"/>
        </w:trPr>
        <w:tc>
          <w:tcPr>
            <w:tcW w:w="2979"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521" w:type="dxa"/>
            <w:vMerge/>
            <w:tcBorders>
              <w:left w:val="single" w:sz="4" w:space="0" w:color="000000"/>
              <w:bottom w:val="single" w:sz="4" w:space="0" w:color="000000"/>
              <w:right w:val="single" w:sz="4" w:space="0" w:color="000000"/>
            </w:tcBorders>
            <w:shd w:val="clear" w:color="auto" w:fill="D2D2D2"/>
          </w:tcPr>
          <w:p>
            <w:pPr/>
          </w:p>
        </w:tc>
        <w:tc>
          <w:tcPr>
            <w:tcW w:w="521"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7"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949"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162,381,729.00</w:t>
            </w: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-162,381,729.00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．设定受益计划变动额结转留存收益</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710,727,417.00</w:t>
            </w: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154,607,862.97</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894,008,375.35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43,131,880.00</w:t>
            </w: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72,495,704.44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405,815,326.43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2,194,522,806.19</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79" w:top="1060" w:bottom="1160" w:left="1300" w:right="130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0"/>
        <w:jc w:val="left"/>
        <w:rPr>
          <w:b w:val="0"/>
          <w:bCs w:val="0"/>
        </w:rPr>
      </w:pPr>
      <w:bookmarkStart w:name="三、公司基本情况" w:id="180"/>
      <w:bookmarkEnd w:id="180"/>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2" w:lineRule="auto"/>
        <w:ind w:right="1117"/>
        <w:jc w:val="left"/>
      </w:pPr>
      <w:r>
        <w:rPr/>
        <w:t>（一）公司概况 </w:t>
      </w:r>
      <w:r>
        <w:rPr>
          <w:spacing w:val="-3"/>
        </w:rPr>
        <w:t>北京久其软件股份有限公司（以下简称</w:t>
      </w:r>
      <w:r>
        <w:rPr>
          <w:rFonts w:ascii="Times New Roman" w:hAnsi="Times New Roman" w:cs="Times New Roman" w:eastAsia="Times New Roman" w:hint="default"/>
          <w:spacing w:val="-3"/>
        </w:rPr>
        <w:t>“</w:t>
      </w:r>
      <w:r>
        <w:rPr>
          <w:spacing w:val="-3"/>
        </w:rPr>
        <w:t>公司</w:t>
      </w:r>
      <w:r>
        <w:rPr>
          <w:rFonts w:ascii="Times New Roman" w:hAnsi="Times New Roman" w:cs="Times New Roman" w:eastAsia="Times New Roman" w:hint="default"/>
          <w:spacing w:val="-3"/>
        </w:rPr>
        <w:t>”</w:t>
      </w:r>
      <w:r>
        <w:rPr>
          <w:spacing w:val="-3"/>
        </w:rPr>
        <w:t>或</w:t>
      </w:r>
      <w:r>
        <w:rPr>
          <w:rFonts w:ascii="Times New Roman" w:hAnsi="Times New Roman" w:cs="Times New Roman" w:eastAsia="Times New Roman" w:hint="default"/>
          <w:spacing w:val="-3"/>
        </w:rPr>
        <w:t>“</w:t>
      </w:r>
      <w:r>
        <w:rPr>
          <w:spacing w:val="-3"/>
        </w:rPr>
        <w:t>本公司</w:t>
      </w:r>
      <w:r>
        <w:rPr>
          <w:rFonts w:ascii="Times New Roman" w:hAnsi="Times New Roman" w:cs="Times New Roman" w:eastAsia="Times New Roman" w:hint="default"/>
          <w:spacing w:val="-3"/>
        </w:rPr>
        <w:t>”</w:t>
      </w:r>
      <w:r>
        <w:rPr>
          <w:spacing w:val="-3"/>
        </w:rPr>
        <w:t>）成立于</w:t>
      </w:r>
      <w:r>
        <w:rPr>
          <w:rFonts w:ascii="Times New Roman" w:hAnsi="Times New Roman" w:cs="Times New Roman" w:eastAsia="Times New Roman" w:hint="default"/>
          <w:spacing w:val="-3"/>
        </w:rPr>
        <w:t>1999</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16</w:t>
      </w:r>
      <w:r>
        <w:rPr>
          <w:spacing w:val="-3"/>
        </w:rPr>
        <w:t>日，原名为北京久其北方软件技术有限公司，</w:t>
      </w:r>
      <w:r>
        <w:rPr>
          <w:spacing w:val="-46"/>
        </w:rPr>
        <w:t> </w:t>
      </w:r>
      <w:r>
        <w:rPr>
          <w:spacing w:val="-46"/>
        </w:rPr>
      </w:r>
      <w:r>
        <w:rPr/>
        <w:t>是经北京市工商行政管理局批准，由自然人董泰湘出资</w:t>
      </w:r>
      <w:r>
        <w:rPr>
          <w:rFonts w:ascii="Times New Roman" w:hAnsi="Times New Roman" w:cs="Times New Roman" w:eastAsia="Times New Roman" w:hint="default"/>
        </w:rPr>
        <w:t>25</w:t>
      </w:r>
      <w:r>
        <w:rPr/>
        <w:t>万元，自然人赵福君出资</w:t>
      </w:r>
      <w:r>
        <w:rPr>
          <w:rFonts w:ascii="Times New Roman" w:hAnsi="Times New Roman" w:cs="Times New Roman" w:eastAsia="Times New Roman" w:hint="default"/>
        </w:rPr>
        <w:t>20</w:t>
      </w:r>
      <w:r>
        <w:rPr/>
        <w:t>万元，自然人欧阳曜出资</w:t>
      </w:r>
      <w:r>
        <w:rPr>
          <w:rFonts w:ascii="Times New Roman" w:hAnsi="Times New Roman" w:cs="Times New Roman" w:eastAsia="Times New Roman" w:hint="default"/>
        </w:rPr>
        <w:t>5</w:t>
      </w:r>
      <w:r>
        <w:rPr/>
        <w:t>万元设立的</w:t>
      </w:r>
      <w:r>
        <w:rPr>
          <w:spacing w:val="-82"/>
        </w:rPr>
        <w:t> </w:t>
      </w:r>
      <w:r>
        <w:rPr>
          <w:spacing w:val="-82"/>
        </w:rPr>
      </w:r>
      <w:r>
        <w:rPr/>
        <w:t>有限责任公司。上述出资业经北京中之光会计师事务所审验，并出具（</w:t>
      </w:r>
      <w:r>
        <w:rPr>
          <w:rFonts w:ascii="Times New Roman" w:hAnsi="Times New Roman" w:cs="Times New Roman" w:eastAsia="Times New Roman" w:hint="default"/>
        </w:rPr>
        <w:t>99</w:t>
      </w:r>
      <w:r>
        <w:rPr/>
        <w:t>）京之验字第</w:t>
      </w:r>
      <w:r>
        <w:rPr>
          <w:rFonts w:ascii="Times New Roman" w:hAnsi="Times New Roman" w:cs="Times New Roman" w:eastAsia="Times New Roman" w:hint="default"/>
        </w:rPr>
        <w:t>606</w:t>
      </w:r>
      <w:r>
        <w:rPr/>
        <w:t>号验资报告予以验证。 </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日，公司增加注册资本</w:t>
      </w:r>
      <w:r>
        <w:rPr>
          <w:rFonts w:ascii="Times New Roman" w:hAnsi="Times New Roman" w:cs="Times New Roman" w:eastAsia="Times New Roman" w:hint="default"/>
        </w:rPr>
        <w:t>450</w:t>
      </w:r>
      <w:r>
        <w:rPr/>
        <w:t>万元，分别由原股东董泰湘以货币形式追加投资</w:t>
      </w:r>
      <w:r>
        <w:rPr>
          <w:rFonts w:ascii="Times New Roman" w:hAnsi="Times New Roman" w:cs="Times New Roman" w:eastAsia="Times New Roman" w:hint="default"/>
        </w:rPr>
        <w:t>225</w:t>
      </w:r>
      <w:r>
        <w:rPr/>
        <w:t>万元，原股东赵福君以货币形式</w:t>
      </w:r>
      <w:r>
        <w:rPr>
          <w:spacing w:val="-83"/>
        </w:rPr>
        <w:t> </w:t>
      </w:r>
      <w:r>
        <w:rPr>
          <w:spacing w:val="-83"/>
        </w:rPr>
      </w:r>
      <w:r>
        <w:rPr/>
        <w:t>追加投资</w:t>
      </w:r>
      <w:r>
        <w:rPr>
          <w:rFonts w:ascii="Times New Roman" w:hAnsi="Times New Roman" w:cs="Times New Roman" w:eastAsia="Times New Roman" w:hint="default"/>
        </w:rPr>
        <w:t>160</w:t>
      </w:r>
      <w:r>
        <w:rPr/>
        <w:t>万元，原股东欧阳曜以货币形式追加投资</w:t>
      </w:r>
      <w:r>
        <w:rPr>
          <w:rFonts w:ascii="Times New Roman" w:hAnsi="Times New Roman" w:cs="Times New Roman" w:eastAsia="Times New Roman" w:hint="default"/>
        </w:rPr>
        <w:t>45</w:t>
      </w:r>
      <w:r>
        <w:rPr/>
        <w:t>万元，新股东李坤奇以货币形式投资</w:t>
      </w:r>
      <w:r>
        <w:rPr>
          <w:rFonts w:ascii="Times New Roman" w:hAnsi="Times New Roman" w:cs="Times New Roman" w:eastAsia="Times New Roman" w:hint="default"/>
        </w:rPr>
        <w:t>10</w:t>
      </w:r>
      <w:r>
        <w:rPr/>
        <w:t>万元，新股东施瑞丰以货币</w:t>
      </w:r>
      <w:r>
        <w:rPr>
          <w:spacing w:val="-83"/>
        </w:rPr>
        <w:t> </w:t>
      </w:r>
      <w:r>
        <w:rPr>
          <w:spacing w:val="-83"/>
        </w:rPr>
      </w:r>
      <w:r>
        <w:rPr/>
        <w:t>形式投资</w:t>
      </w:r>
      <w:r>
        <w:rPr>
          <w:rFonts w:ascii="Times New Roman" w:hAnsi="Times New Roman" w:cs="Times New Roman" w:eastAsia="Times New Roman" w:hint="default"/>
        </w:rPr>
        <w:t>10</w:t>
      </w:r>
      <w:r>
        <w:rPr/>
        <w:t>万元，公司的注册资本由</w:t>
      </w:r>
      <w:r>
        <w:rPr>
          <w:rFonts w:ascii="Times New Roman" w:hAnsi="Times New Roman" w:cs="Times New Roman" w:eastAsia="Times New Roman" w:hint="default"/>
        </w:rPr>
        <w:t>50</w:t>
      </w:r>
      <w:r>
        <w:rPr/>
        <w:t>万元变更为</w:t>
      </w:r>
      <w:r>
        <w:rPr>
          <w:rFonts w:ascii="Times New Roman" w:hAnsi="Times New Roman" w:cs="Times New Roman" w:eastAsia="Times New Roman" w:hint="default"/>
        </w:rPr>
        <w:t>500</w:t>
      </w:r>
      <w:r>
        <w:rPr/>
        <w:t>万元。上述出资业经中科华会计师事务所有限公司审验，并出具中科</w:t>
      </w:r>
      <w:r>
        <w:rPr>
          <w:spacing w:val="-83"/>
        </w:rPr>
        <w:t> </w:t>
      </w:r>
      <w:r>
        <w:rPr>
          <w:spacing w:val="-83"/>
        </w:rPr>
      </w:r>
      <w:r>
        <w:rPr/>
        <w:t>华验字（</w:t>
      </w:r>
      <w:r>
        <w:rPr>
          <w:rFonts w:ascii="Times New Roman" w:hAnsi="Times New Roman" w:cs="Times New Roman" w:eastAsia="Times New Roman" w:hint="default"/>
        </w:rPr>
        <w:t>2001</w:t>
      </w:r>
      <w:r>
        <w:rPr/>
        <w:t>）第</w:t>
      </w:r>
      <w:r>
        <w:rPr>
          <w:rFonts w:ascii="Times New Roman" w:hAnsi="Times New Roman" w:cs="Times New Roman" w:eastAsia="Times New Roman" w:hint="default"/>
        </w:rPr>
        <w:t>1420</w:t>
      </w:r>
      <w:r>
        <w:rPr/>
        <w:t>号验资报告予以验证。 </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日，公司再次增加注册资金，新增的</w:t>
      </w:r>
      <w:r>
        <w:rPr>
          <w:rFonts w:ascii="Times New Roman" w:hAnsi="Times New Roman" w:cs="Times New Roman" w:eastAsia="Times New Roman" w:hint="default"/>
        </w:rPr>
        <w:t>260</w:t>
      </w:r>
      <w:r>
        <w:rPr/>
        <w:t>万元，全部由新股东北京久其科技投资有限公司以无形资产（非专利</w:t>
      </w:r>
      <w:r>
        <w:rPr>
          <w:spacing w:val="-83"/>
        </w:rPr>
        <w:t> </w:t>
      </w:r>
      <w:r>
        <w:rPr>
          <w:spacing w:val="-83"/>
        </w:rPr>
      </w:r>
      <w:r>
        <w:rPr>
          <w:spacing w:val="-1"/>
        </w:rPr>
        <w:t>技术）</w:t>
      </w:r>
      <w:r>
        <w:rPr>
          <w:rFonts w:ascii="Times New Roman" w:hAnsi="Times New Roman" w:cs="Times New Roman" w:eastAsia="Times New Roman" w:hint="default"/>
          <w:spacing w:val="-1"/>
        </w:rPr>
        <w:t>——“</w:t>
      </w:r>
      <w:r>
        <w:rPr>
          <w:spacing w:val="-1"/>
        </w:rPr>
        <w:t>久其报表数据管理系统</w:t>
      </w:r>
      <w:r>
        <w:rPr>
          <w:rFonts w:ascii="Times New Roman" w:hAnsi="Times New Roman" w:cs="Times New Roman" w:eastAsia="Times New Roman" w:hint="default"/>
          <w:spacing w:val="-1"/>
        </w:rPr>
        <w:t>V2.0”</w:t>
      </w:r>
      <w:r>
        <w:rPr>
          <w:spacing w:val="-1"/>
        </w:rPr>
        <w:t>软件技术的形式追加投入。公司的注册资本由原来的</w:t>
      </w:r>
      <w:r>
        <w:rPr>
          <w:rFonts w:ascii="Times New Roman" w:hAnsi="Times New Roman" w:cs="Times New Roman" w:eastAsia="Times New Roman" w:hint="default"/>
          <w:spacing w:val="-1"/>
        </w:rPr>
        <w:t>500</w:t>
      </w:r>
      <w:r>
        <w:rPr>
          <w:spacing w:val="-1"/>
        </w:rPr>
        <w:t>万元变更为</w:t>
      </w:r>
      <w:r>
        <w:rPr>
          <w:rFonts w:ascii="Times New Roman" w:hAnsi="Times New Roman" w:cs="Times New Roman" w:eastAsia="Times New Roman" w:hint="default"/>
          <w:spacing w:val="-1"/>
        </w:rPr>
        <w:t>760</w:t>
      </w:r>
      <w:r>
        <w:rPr>
          <w:spacing w:val="-1"/>
        </w:rPr>
        <w:t>万元。上述</w:t>
      </w:r>
      <w:r>
        <w:rPr/>
        <w:t> 增资业经中鸿信建元会计师事务所有限公司审验，并出具中鸿信建元验字（</w:t>
      </w:r>
      <w:r>
        <w:rPr>
          <w:rFonts w:ascii="Times New Roman" w:hAnsi="Times New Roman" w:cs="Times New Roman" w:eastAsia="Times New Roman" w:hint="default"/>
        </w:rPr>
        <w:t>2001</w:t>
      </w:r>
      <w:r>
        <w:rPr/>
        <w:t>）第</w:t>
      </w:r>
      <w:r>
        <w:rPr>
          <w:rFonts w:ascii="Times New Roman" w:hAnsi="Times New Roman" w:cs="Times New Roman" w:eastAsia="Times New Roman" w:hint="default"/>
        </w:rPr>
        <w:t>56</w:t>
      </w:r>
      <w:r>
        <w:rPr/>
        <w:t>号验资报告予以验证。 </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18</w:t>
      </w:r>
      <w:r>
        <w:rPr>
          <w:spacing w:val="-1"/>
        </w:rPr>
        <w:t>日，经京政体改股函</w:t>
      </w:r>
      <w:r>
        <w:rPr>
          <w:rFonts w:ascii="Times New Roman" w:hAnsi="Times New Roman" w:cs="Times New Roman" w:eastAsia="Times New Roman" w:hint="default"/>
          <w:spacing w:val="-1"/>
        </w:rPr>
        <w:t>[2001]65</w:t>
      </w:r>
      <w:r>
        <w:rPr>
          <w:spacing w:val="-1"/>
        </w:rPr>
        <w:t>号文批准，公司整体改制为北京久其软件股份有限公司，并以截至</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30</w:t>
      </w:r>
      <w:r>
        <w:rPr>
          <w:rFonts w:ascii="Times New Roman" w:hAnsi="Times New Roman" w:cs="Times New Roman" w:eastAsia="Times New Roman" w:hint="default"/>
          <w:spacing w:val="-4"/>
        </w:rPr>
        <w:t> </w:t>
      </w:r>
      <w:r>
        <w:rPr>
          <w:spacing w:val="2"/>
        </w:rPr>
        <w:t>日止经中鸿信建元会计师事务所有限公司审计的净资产</w:t>
      </w:r>
      <w:r>
        <w:rPr>
          <w:rFonts w:ascii="Times New Roman" w:hAnsi="Times New Roman" w:cs="Times New Roman" w:eastAsia="Times New Roman" w:hint="default"/>
          <w:spacing w:val="2"/>
        </w:rPr>
        <w:t>45,740,037.00</w:t>
      </w:r>
      <w:r>
        <w:rPr>
          <w:spacing w:val="2"/>
        </w:rPr>
        <w:t>元为基准，按</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1</w:t>
      </w:r>
      <w:r>
        <w:rPr>
          <w:spacing w:val="2"/>
        </w:rPr>
        <w:t>的比例折股，改制后公司注册资本</w:t>
      </w:r>
      <w:r>
        <w:rPr/>
        <w:t> </w:t>
      </w:r>
      <w:r>
        <w:rPr>
          <w:rFonts w:ascii="Times New Roman" w:hAnsi="Times New Roman" w:cs="Times New Roman" w:eastAsia="Times New Roman" w:hint="default"/>
          <w:spacing w:val="2"/>
        </w:rPr>
        <w:t>45,740,037.00</w:t>
      </w:r>
      <w:r>
        <w:rPr>
          <w:spacing w:val="2"/>
        </w:rPr>
        <w:t>元，其中北京久其科技投资有限公司出资人民币</w:t>
      </w:r>
      <w:r>
        <w:rPr>
          <w:rFonts w:ascii="Times New Roman" w:hAnsi="Times New Roman" w:cs="Times New Roman" w:eastAsia="Times New Roman" w:hint="default"/>
          <w:spacing w:val="2"/>
        </w:rPr>
        <w:t>15,643,093.00</w:t>
      </w:r>
      <w:r>
        <w:rPr>
          <w:spacing w:val="2"/>
        </w:rPr>
        <w:t>元，占注册资本的</w:t>
      </w:r>
      <w:r>
        <w:rPr>
          <w:rFonts w:ascii="Times New Roman" w:hAnsi="Times New Roman" w:cs="Times New Roman" w:eastAsia="Times New Roman" w:hint="default"/>
          <w:spacing w:val="2"/>
        </w:rPr>
        <w:t>34.20%</w:t>
      </w:r>
      <w:r>
        <w:rPr>
          <w:spacing w:val="2"/>
        </w:rPr>
        <w:t>；董泰湘出资人民币</w:t>
      </w:r>
    </w:p>
    <w:p>
      <w:pPr>
        <w:pStyle w:val="BodyText"/>
        <w:spacing w:line="240" w:lineRule="auto" w:before="11"/>
        <w:ind w:right="0"/>
        <w:jc w:val="left"/>
      </w:pPr>
      <w:r>
        <w:rPr>
          <w:rFonts w:ascii="Times New Roman" w:hAnsi="Times New Roman" w:cs="Times New Roman" w:eastAsia="Times New Roman" w:hint="default"/>
          <w:spacing w:val="4"/>
        </w:rPr>
        <w:t>15,048,472.00</w:t>
      </w:r>
      <w:r>
        <w:rPr>
          <w:spacing w:val="4"/>
        </w:rPr>
        <w:t>元，占注册资本的</w:t>
      </w:r>
      <w:r>
        <w:rPr>
          <w:rFonts w:ascii="Times New Roman" w:hAnsi="Times New Roman" w:cs="Times New Roman" w:eastAsia="Times New Roman" w:hint="default"/>
          <w:spacing w:val="4"/>
        </w:rPr>
        <w:t>32.90%</w:t>
      </w:r>
      <w:r>
        <w:rPr>
          <w:spacing w:val="4"/>
        </w:rPr>
        <w:t>；赵福君出资人民币</w:t>
      </w:r>
      <w:r>
        <w:rPr>
          <w:rFonts w:ascii="Times New Roman" w:hAnsi="Times New Roman" w:cs="Times New Roman" w:eastAsia="Times New Roman" w:hint="default"/>
          <w:spacing w:val="4"/>
        </w:rPr>
        <w:t>10,840,390.00</w:t>
      </w:r>
      <w:r>
        <w:rPr>
          <w:spacing w:val="4"/>
        </w:rPr>
        <w:t>元，占注册资本的</w:t>
      </w:r>
      <w:r>
        <w:rPr>
          <w:rFonts w:ascii="Times New Roman" w:hAnsi="Times New Roman" w:cs="Times New Roman" w:eastAsia="Times New Roman" w:hint="default"/>
          <w:spacing w:val="4"/>
        </w:rPr>
        <w:t>23.70%</w:t>
      </w:r>
      <w:r>
        <w:rPr>
          <w:spacing w:val="4"/>
        </w:rPr>
        <w:t>；欧阳曜出资人民币</w:t>
      </w:r>
    </w:p>
    <w:p>
      <w:pPr>
        <w:pStyle w:val="BodyText"/>
        <w:spacing w:line="302" w:lineRule="auto" w:before="63"/>
        <w:ind w:right="1129"/>
        <w:jc w:val="left"/>
      </w:pPr>
      <w:r>
        <w:rPr>
          <w:rFonts w:ascii="Times New Roman" w:hAnsi="Times New Roman" w:cs="Times New Roman" w:eastAsia="Times New Roman" w:hint="default"/>
        </w:rPr>
        <w:t>3,018,842.00</w:t>
      </w:r>
      <w:r>
        <w:rPr/>
        <w:t>元，占注册资本的</w:t>
      </w:r>
      <w:r>
        <w:rPr>
          <w:rFonts w:ascii="Times New Roman" w:hAnsi="Times New Roman" w:cs="Times New Roman" w:eastAsia="Times New Roman" w:hint="default"/>
        </w:rPr>
        <w:t>6.60%</w:t>
      </w:r>
      <w:r>
        <w:rPr/>
        <w:t>；李坤奇出资人民币</w:t>
      </w:r>
      <w:r>
        <w:rPr>
          <w:rFonts w:ascii="Times New Roman" w:hAnsi="Times New Roman" w:cs="Times New Roman" w:eastAsia="Times New Roman" w:hint="default"/>
        </w:rPr>
        <w:t>594,620.00</w:t>
      </w:r>
      <w:r>
        <w:rPr/>
        <w:t>元，占注册资本的</w:t>
      </w:r>
      <w:r>
        <w:rPr>
          <w:rFonts w:ascii="Times New Roman" w:hAnsi="Times New Roman" w:cs="Times New Roman" w:eastAsia="Times New Roman" w:hint="default"/>
        </w:rPr>
        <w:t>1.30%</w:t>
      </w:r>
      <w:r>
        <w:rPr/>
        <w:t>；施瑞丰出资人民币</w:t>
      </w:r>
      <w:r>
        <w:rPr>
          <w:rFonts w:ascii="Times New Roman" w:hAnsi="Times New Roman" w:cs="Times New Roman" w:eastAsia="Times New Roman" w:hint="default"/>
        </w:rPr>
        <w:t>594,620.00</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t>元，占注册资本的</w:t>
      </w:r>
      <w:r>
        <w:rPr>
          <w:rFonts w:ascii="Times New Roman" w:hAnsi="Times New Roman" w:cs="Times New Roman" w:eastAsia="Times New Roman" w:hint="default"/>
        </w:rPr>
        <w:t>1.30%</w:t>
      </w:r>
      <w:r>
        <w:rPr/>
        <w:t>。上述行为业经中鸿信建元会计师事务所有限责任公司审验，并出具中鸿信建元验字</w:t>
      </w:r>
      <w:r>
        <w:rPr>
          <w:rFonts w:ascii="Times New Roman" w:hAnsi="Times New Roman" w:cs="Times New Roman" w:eastAsia="Times New Roman" w:hint="default"/>
        </w:rPr>
        <w:t>[2001]</w:t>
      </w:r>
      <w:r>
        <w:rPr/>
        <w:t>第</w:t>
      </w:r>
      <w:r>
        <w:rPr>
          <w:rFonts w:ascii="Times New Roman" w:hAnsi="Times New Roman" w:cs="Times New Roman" w:eastAsia="Times New Roman" w:hint="default"/>
        </w:rPr>
        <w:t>61</w:t>
      </w:r>
      <w:r>
        <w:rPr/>
        <w:t>号</w:t>
      </w:r>
      <w:r>
        <w:rPr>
          <w:spacing w:val="-46"/>
        </w:rPr>
        <w:t> </w:t>
      </w:r>
      <w:r>
        <w:rPr/>
        <w:t>验资报告予以验证。 </w:t>
      </w:r>
      <w:r>
        <w:rPr>
          <w:spacing w:val="2"/>
        </w:rPr>
        <w:t>根据本公司</w:t>
      </w:r>
      <w:r>
        <w:rPr>
          <w:rFonts w:ascii="Times New Roman" w:hAnsi="Times New Roman" w:cs="Times New Roman" w:eastAsia="Times New Roman" w:hint="default"/>
          <w:spacing w:val="2"/>
        </w:rPr>
        <w:t>2007</w:t>
      </w:r>
      <w:r>
        <w:rPr>
          <w:spacing w:val="2"/>
        </w:rPr>
        <w:t>年度和</w:t>
      </w:r>
      <w:r>
        <w:rPr>
          <w:rFonts w:ascii="Times New Roman" w:hAnsi="Times New Roman" w:cs="Times New Roman" w:eastAsia="Times New Roman" w:hint="default"/>
          <w:spacing w:val="2"/>
        </w:rPr>
        <w:t>2008</w:t>
      </w:r>
      <w:r>
        <w:rPr>
          <w:spacing w:val="2"/>
        </w:rPr>
        <w:t>年度股东大会决议和中国证券监督管理委员会证监许可</w:t>
      </w:r>
      <w:r>
        <w:rPr>
          <w:rFonts w:ascii="Times New Roman" w:hAnsi="Times New Roman" w:cs="Times New Roman" w:eastAsia="Times New Roman" w:hint="default"/>
          <w:spacing w:val="2"/>
        </w:rPr>
        <w:t>[2009]671</w:t>
      </w:r>
      <w:r>
        <w:rPr>
          <w:spacing w:val="2"/>
        </w:rPr>
        <w:t>号</w:t>
      </w:r>
      <w:r>
        <w:rPr>
          <w:rFonts w:ascii="Times New Roman" w:hAnsi="Times New Roman" w:cs="Times New Roman" w:eastAsia="Times New Roman" w:hint="default"/>
          <w:spacing w:val="2"/>
        </w:rPr>
        <w:t>“</w:t>
      </w:r>
      <w:r>
        <w:rPr>
          <w:spacing w:val="2"/>
        </w:rPr>
        <w:t>关于核准北京久其软件股</w:t>
      </w:r>
      <w:r>
        <w:rPr>
          <w:spacing w:val="-73"/>
        </w:rPr>
        <w:t> </w:t>
      </w:r>
      <w:r>
        <w:rPr>
          <w:spacing w:val="-73"/>
        </w:rPr>
      </w:r>
      <w:r>
        <w:rPr/>
        <w:t>份有限公司首次公开发行股票的批复</w:t>
      </w:r>
      <w:r>
        <w:rPr>
          <w:rFonts w:ascii="Times New Roman" w:hAnsi="Times New Roman" w:cs="Times New Roman" w:eastAsia="Times New Roman" w:hint="default"/>
        </w:rPr>
        <w:t>”</w:t>
      </w:r>
      <w:r>
        <w:rPr/>
        <w:t>规定，本公司于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4</w:t>
      </w:r>
      <w:r>
        <w:rPr/>
        <w:t>日前向不特定对象公开募集股份（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1,530</w:t>
      </w:r>
      <w:r>
        <w:rPr/>
        <w:t>万股，增加</w:t>
      </w:r>
      <w:r>
        <w:rPr>
          <w:spacing w:val="-74"/>
        </w:rPr>
        <w:t> </w:t>
      </w:r>
      <w:r>
        <w:rPr>
          <w:spacing w:val="-74"/>
        </w:rPr>
      </w:r>
      <w:r>
        <w:rPr>
          <w:spacing w:val="-1"/>
        </w:rPr>
        <w:t>注册资本</w:t>
      </w:r>
      <w:r>
        <w:rPr>
          <w:rFonts w:ascii="Times New Roman" w:hAnsi="Times New Roman" w:cs="Times New Roman" w:eastAsia="Times New Roman" w:hint="default"/>
          <w:spacing w:val="-1"/>
        </w:rPr>
        <w:t>1,530</w:t>
      </w:r>
      <w:r>
        <w:rPr>
          <w:spacing w:val="-1"/>
        </w:rPr>
        <w:t>万元，变更后的注册资本为人民币</w:t>
      </w:r>
      <w:r>
        <w:rPr>
          <w:rFonts w:ascii="Times New Roman" w:hAnsi="Times New Roman" w:cs="Times New Roman" w:eastAsia="Times New Roman" w:hint="default"/>
          <w:spacing w:val="-1"/>
        </w:rPr>
        <w:t>6,104.0037</w:t>
      </w:r>
      <w:r>
        <w:rPr>
          <w:spacing w:val="-1"/>
        </w:rPr>
        <w:t>万元，上述募集资金到位情况业经大信会计师事务有限公司予以</w:t>
      </w:r>
      <w:r>
        <w:rPr>
          <w:spacing w:val="-67"/>
        </w:rPr>
        <w:t> </w:t>
      </w:r>
      <w:r>
        <w:rPr>
          <w:spacing w:val="-67"/>
        </w:rPr>
      </w:r>
      <w:r>
        <w:rPr/>
        <w:t>验证，并出具大信验字</w:t>
      </w:r>
      <w:r>
        <w:rPr>
          <w:rFonts w:ascii="Times New Roman" w:hAnsi="Times New Roman" w:cs="Times New Roman" w:eastAsia="Times New Roman" w:hint="default"/>
        </w:rPr>
        <w:t>[2009]</w:t>
      </w:r>
      <w:r>
        <w:rPr/>
        <w:t>第</w:t>
      </w:r>
      <w:r>
        <w:rPr>
          <w:rFonts w:ascii="Times New Roman" w:hAnsi="Times New Roman" w:cs="Times New Roman" w:eastAsia="Times New Roman" w:hint="default"/>
        </w:rPr>
        <w:t>1-0021</w:t>
      </w:r>
      <w:r>
        <w:rPr/>
        <w:t>号《验资报告》。 </w:t>
      </w:r>
      <w:r>
        <w:rPr>
          <w:rFonts w:ascii="Times New Roman" w:hAnsi="Times New Roman" w:cs="Times New Roman" w:eastAsia="Times New Roman" w:hint="default"/>
          <w:spacing w:val="-7"/>
        </w:rPr>
        <w:t>2010</w:t>
      </w:r>
      <w:r>
        <w:rPr>
          <w:spacing w:val="-7"/>
        </w:rPr>
        <w:t>年</w:t>
      </w:r>
      <w:r>
        <w:rPr>
          <w:rFonts w:ascii="Times New Roman" w:hAnsi="Times New Roman" w:cs="Times New Roman" w:eastAsia="Times New Roman" w:hint="default"/>
          <w:spacing w:val="-7"/>
        </w:rPr>
        <w:t>5</w:t>
      </w:r>
      <w:r>
        <w:rPr>
          <w:spacing w:val="-7"/>
        </w:rPr>
        <w:t>月，根据</w:t>
      </w:r>
      <w:r>
        <w:rPr>
          <w:rFonts w:ascii="Times New Roman" w:hAnsi="Times New Roman" w:cs="Times New Roman" w:eastAsia="Times New Roman" w:hint="default"/>
          <w:spacing w:val="-7"/>
        </w:rPr>
        <w:t>2009</w:t>
      </w:r>
      <w:r>
        <w:rPr>
          <w:spacing w:val="-7"/>
        </w:rPr>
        <w:t>年度股东大会通过的有关决议，公司以</w:t>
      </w:r>
      <w:r>
        <w:rPr>
          <w:rFonts w:ascii="Times New Roman" w:hAnsi="Times New Roman" w:cs="Times New Roman" w:eastAsia="Times New Roman" w:hint="default"/>
          <w:spacing w:val="-7"/>
        </w:rPr>
        <w:t>2009</w:t>
      </w:r>
      <w:r>
        <w:rPr>
          <w:spacing w:val="-7"/>
        </w:rPr>
        <w:t>年</w:t>
      </w:r>
      <w:r>
        <w:rPr>
          <w:rFonts w:ascii="Times New Roman" w:hAnsi="Times New Roman" w:cs="Times New Roman" w:eastAsia="Times New Roman" w:hint="default"/>
          <w:spacing w:val="-7"/>
        </w:rPr>
        <w:t>12</w:t>
      </w:r>
      <w:r>
        <w:rPr>
          <w:spacing w:val="-7"/>
        </w:rPr>
        <w:t>月</w:t>
      </w:r>
      <w:r>
        <w:rPr>
          <w:rFonts w:ascii="Times New Roman" w:hAnsi="Times New Roman" w:cs="Times New Roman" w:eastAsia="Times New Roman" w:hint="default"/>
          <w:spacing w:val="-7"/>
        </w:rPr>
        <w:t>31</w:t>
      </w:r>
      <w:r>
        <w:rPr>
          <w:spacing w:val="-7"/>
        </w:rPr>
        <w:t>日总股本为基数，每</w:t>
      </w:r>
      <w:r>
        <w:rPr>
          <w:rFonts w:ascii="Times New Roman" w:hAnsi="Times New Roman" w:cs="Times New Roman" w:eastAsia="Times New Roman" w:hint="default"/>
          <w:spacing w:val="-7"/>
        </w:rPr>
        <w:t>10</w:t>
      </w:r>
      <w:r>
        <w:rPr>
          <w:spacing w:val="-7"/>
        </w:rPr>
        <w:t>股派发现金股利</w:t>
      </w:r>
      <w:r>
        <w:rPr>
          <w:rFonts w:ascii="Times New Roman" w:hAnsi="Times New Roman" w:cs="Times New Roman" w:eastAsia="Times New Roman" w:hint="default"/>
          <w:spacing w:val="-7"/>
        </w:rPr>
        <w:t>5</w:t>
      </w:r>
      <w:r>
        <w:rPr>
          <w:spacing w:val="-7"/>
        </w:rPr>
        <w:t>元（含税），</w:t>
      </w:r>
      <w:r>
        <w:rPr>
          <w:spacing w:val="-73"/>
        </w:rPr>
        <w:t> </w:t>
      </w:r>
      <w:r>
        <w:rPr>
          <w:spacing w:val="-73"/>
        </w:rPr>
      </w:r>
      <w:r>
        <w:rPr>
          <w:spacing w:val="-2"/>
        </w:rPr>
        <w:t>共计派送现金</w:t>
      </w:r>
      <w:r>
        <w:rPr>
          <w:rFonts w:ascii="Times New Roman" w:hAnsi="Times New Roman" w:cs="Times New Roman" w:eastAsia="Times New Roman" w:hint="default"/>
          <w:spacing w:val="-2"/>
        </w:rPr>
        <w:t>30,520,018.50</w:t>
      </w:r>
      <w:r>
        <w:rPr>
          <w:spacing w:val="-2"/>
        </w:rPr>
        <w:t>元；并以资本公积向全体股东每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8</w:t>
      </w:r>
      <w:r>
        <w:rPr>
          <w:spacing w:val="-2"/>
        </w:rPr>
        <w:t>股，共计转增</w:t>
      </w:r>
      <w:r>
        <w:rPr>
          <w:rFonts w:ascii="Times New Roman" w:hAnsi="Times New Roman" w:cs="Times New Roman" w:eastAsia="Times New Roman" w:hint="default"/>
          <w:spacing w:val="-2"/>
        </w:rPr>
        <w:t>48,832,029.00</w:t>
      </w:r>
      <w:r>
        <w:rPr>
          <w:spacing w:val="-2"/>
        </w:rPr>
        <w:t>股，转增后公司注册资本变</w:t>
      </w:r>
      <w:r>
        <w:rPr>
          <w:spacing w:val="-39"/>
        </w:rPr>
        <w:t> </w:t>
      </w:r>
      <w:r>
        <w:rPr>
          <w:spacing w:val="-39"/>
        </w:rPr>
      </w:r>
      <w:r>
        <w:rPr/>
        <w:t>更为</w:t>
      </w:r>
      <w:r>
        <w:rPr>
          <w:rFonts w:ascii="Times New Roman" w:hAnsi="Times New Roman" w:cs="Times New Roman" w:eastAsia="Times New Roman" w:hint="default"/>
        </w:rPr>
        <w:t>10,987.2066</w:t>
      </w:r>
      <w:r>
        <w:rPr/>
        <w:t>万元，上述变更业经大信会计师事务有限公司出具大信验资</w:t>
      </w:r>
      <w:r>
        <w:rPr>
          <w:rFonts w:ascii="Times New Roman" w:hAnsi="Times New Roman" w:cs="Times New Roman" w:eastAsia="Times New Roman" w:hint="default"/>
        </w:rPr>
        <w:t>[2010]</w:t>
      </w:r>
      <w:r>
        <w:rPr/>
        <w:t>第</w:t>
      </w:r>
      <w:r>
        <w:rPr>
          <w:rFonts w:ascii="Times New Roman" w:hAnsi="Times New Roman" w:cs="Times New Roman" w:eastAsia="Times New Roman" w:hint="default"/>
        </w:rPr>
        <w:t>1-0030</w:t>
      </w:r>
      <w:r>
        <w:rPr/>
        <w:t>号验资报告予以验证。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月，根据</w:t>
      </w:r>
      <w:r>
        <w:rPr>
          <w:rFonts w:ascii="Times New Roman" w:hAnsi="Times New Roman" w:cs="Times New Roman" w:eastAsia="Times New Roman" w:hint="default"/>
        </w:rPr>
        <w:t>2011</w:t>
      </w:r>
      <w:r>
        <w:rPr/>
        <w:t>年度股东大会通过的有关决议，公司以</w:t>
      </w:r>
      <w:r>
        <w:rPr>
          <w:rFonts w:ascii="Times New Roman" w:hAnsi="Times New Roman" w:cs="Times New Roman" w:eastAsia="Times New Roman" w:hint="default"/>
        </w:rPr>
        <w:t>2011</w:t>
      </w:r>
      <w:r>
        <w:rPr/>
        <w:t>年末总股本</w:t>
      </w:r>
      <w:r>
        <w:rPr>
          <w:rFonts w:ascii="Times New Roman" w:hAnsi="Times New Roman" w:cs="Times New Roman" w:eastAsia="Times New Roman" w:hint="default"/>
        </w:rPr>
        <w:t>109,872,066.00</w:t>
      </w:r>
      <w:r>
        <w:rPr/>
        <w:t>股为基数，每</w:t>
      </w:r>
      <w:r>
        <w:rPr>
          <w:rFonts w:ascii="Times New Roman" w:hAnsi="Times New Roman" w:cs="Times New Roman" w:eastAsia="Times New Roman" w:hint="default"/>
        </w:rPr>
        <w:t>10</w:t>
      </w:r>
      <w:r>
        <w:rPr>
          <w:rFonts w:ascii="Times New Roman" w:hAnsi="Times New Roman" w:cs="Times New Roman" w:eastAsia="Times New Roman" w:hint="default"/>
          <w:spacing w:val="29"/>
        </w:rPr>
        <w:t> </w:t>
      </w:r>
      <w:r>
        <w:rPr/>
        <w:t>股派发现金股</w:t>
      </w:r>
      <w:r>
        <w:rPr>
          <w:spacing w:val="-78"/>
        </w:rPr>
        <w:t> </w:t>
      </w:r>
      <w:r>
        <w:rPr>
          <w:spacing w:val="-78"/>
        </w:rPr>
      </w:r>
      <w:r>
        <w:rPr/>
        <w:t>利</w:t>
      </w:r>
      <w:r>
        <w:rPr>
          <w:rFonts w:ascii="Times New Roman" w:hAnsi="Times New Roman" w:cs="Times New Roman" w:eastAsia="Times New Roman" w:hint="default"/>
        </w:rPr>
        <w:t>2</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，共计派发现金股利</w:t>
      </w:r>
      <w:r>
        <w:rPr>
          <w:rFonts w:ascii="Times New Roman" w:hAnsi="Times New Roman" w:cs="Times New Roman" w:eastAsia="Times New Roman" w:hint="default"/>
        </w:rPr>
        <w:t>21,974,413.20</w:t>
      </w:r>
      <w:r>
        <w:rPr/>
        <w:t>元；并以资本公积向全体股东每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股，共计转增</w:t>
      </w:r>
      <w:r>
        <w:rPr>
          <w:rFonts w:ascii="Times New Roman" w:hAnsi="Times New Roman" w:cs="Times New Roman" w:eastAsia="Times New Roman" w:hint="default"/>
        </w:rPr>
        <w:t>65,923,239.00</w:t>
      </w:r>
      <w:r>
        <w:rPr/>
        <w:t>股，经</w:t>
      </w:r>
      <w:r>
        <w:rPr>
          <w:spacing w:val="-33"/>
        </w:rPr>
        <w:t> </w:t>
      </w:r>
      <w:r>
        <w:rPr>
          <w:spacing w:val="-33"/>
        </w:rPr>
      </w:r>
      <w:r>
        <w:rPr>
          <w:spacing w:val="-2"/>
        </w:rPr>
        <w:t>转增后，公司的注册资本由原来的</w:t>
      </w:r>
      <w:r>
        <w:rPr>
          <w:rFonts w:ascii="Times New Roman" w:hAnsi="Times New Roman" w:cs="Times New Roman" w:eastAsia="Times New Roman" w:hint="default"/>
          <w:spacing w:val="-2"/>
        </w:rPr>
        <w:t>10,987.2066</w:t>
      </w:r>
      <w:r>
        <w:rPr>
          <w:spacing w:val="-2"/>
        </w:rPr>
        <w:t>万元变更为</w:t>
      </w:r>
      <w:r>
        <w:rPr>
          <w:rFonts w:ascii="Times New Roman" w:hAnsi="Times New Roman" w:cs="Times New Roman" w:eastAsia="Times New Roman" w:hint="default"/>
          <w:spacing w:val="-2"/>
        </w:rPr>
        <w:t>17,579.5305</w:t>
      </w:r>
      <w:r>
        <w:rPr>
          <w:spacing w:val="-2"/>
        </w:rPr>
        <w:t>万元，上述变更业经大信会计师事务有限公司出具大信</w:t>
      </w:r>
      <w:r>
        <w:rPr>
          <w:spacing w:val="-44"/>
        </w:rPr>
        <w:t> </w:t>
      </w:r>
      <w:r>
        <w:rPr>
          <w:spacing w:val="-44"/>
        </w:rPr>
      </w:r>
      <w:r>
        <w:rPr/>
        <w:t>验字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1-0056</w:t>
      </w:r>
      <w:r>
        <w:rPr/>
        <w:t>号验资报告予以验证。 </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月，根据</w:t>
      </w:r>
      <w:r>
        <w:rPr>
          <w:rFonts w:ascii="Times New Roman" w:hAnsi="Times New Roman" w:cs="Times New Roman" w:eastAsia="Times New Roman" w:hint="default"/>
          <w:spacing w:val="-2"/>
        </w:rPr>
        <w:t>2014</w:t>
      </w:r>
      <w:r>
        <w:rPr>
          <w:spacing w:val="-2"/>
        </w:rPr>
        <w:t>年度第二次临时股东大会有关决议、中国证券监督管理委员会证监许可〔</w:t>
      </w:r>
      <w:r>
        <w:rPr>
          <w:rFonts w:ascii="Times New Roman" w:hAnsi="Times New Roman" w:cs="Times New Roman" w:eastAsia="Times New Roman" w:hint="default"/>
          <w:spacing w:val="-2"/>
        </w:rPr>
        <w:t>2014</w:t>
      </w:r>
      <w:r>
        <w:rPr>
          <w:spacing w:val="-2"/>
        </w:rPr>
        <w:t>〕</w:t>
      </w:r>
      <w:r>
        <w:rPr>
          <w:rFonts w:ascii="Times New Roman" w:hAnsi="Times New Roman" w:cs="Times New Roman" w:eastAsia="Times New Roman" w:hint="default"/>
          <w:spacing w:val="-2"/>
        </w:rPr>
        <w:t>1400</w:t>
      </w:r>
      <w:r>
        <w:rPr>
          <w:rFonts w:ascii="Times New Roman" w:hAnsi="Times New Roman" w:cs="Times New Roman" w:eastAsia="Times New Roman" w:hint="default"/>
          <w:spacing w:val="27"/>
        </w:rPr>
        <w:t> </w:t>
      </w:r>
      <w:r>
        <w:rPr>
          <w:spacing w:val="-2"/>
        </w:rPr>
        <w:t>号《关于核准北</w:t>
      </w:r>
      <w:r>
        <w:rPr>
          <w:spacing w:val="-81"/>
        </w:rPr>
        <w:t> </w:t>
      </w:r>
      <w:r>
        <w:rPr>
          <w:spacing w:val="-81"/>
        </w:rPr>
      </w:r>
      <w:r>
        <w:rPr>
          <w:spacing w:val="-3"/>
        </w:rPr>
        <w:t>京久其软件股份有限公司向王新等发行股份购买资产并募集配套资金的批复》核准，公司增加注册资本人民币</w:t>
      </w:r>
      <w:r>
        <w:rPr>
          <w:rFonts w:ascii="Times New Roman" w:hAnsi="Times New Roman" w:cs="Times New Roman" w:eastAsia="Times New Roman" w:hint="default"/>
          <w:spacing w:val="-3"/>
        </w:rPr>
        <w:t>22,403,432</w:t>
      </w:r>
      <w:r>
        <w:rPr>
          <w:spacing w:val="-3"/>
        </w:rPr>
        <w:t>元，</w:t>
      </w:r>
      <w:r>
        <w:rPr>
          <w:spacing w:val="-84"/>
        </w:rPr>
        <w:t> </w:t>
      </w:r>
      <w:r>
        <w:rPr>
          <w:spacing w:val="-1"/>
        </w:rPr>
        <w:t>变更后注册资本为人民币</w:t>
      </w:r>
      <w:r>
        <w:rPr>
          <w:rFonts w:ascii="Times New Roman" w:hAnsi="Times New Roman" w:cs="Times New Roman" w:eastAsia="Times New Roman" w:hint="default"/>
          <w:spacing w:val="-1"/>
        </w:rPr>
        <w:t>198,198,737</w:t>
      </w:r>
      <w:r>
        <w:rPr>
          <w:spacing w:val="-1"/>
        </w:rPr>
        <w:t>元。上述变更业经立信会计师事务所（特殊普通合伙）出具信会师报字</w:t>
      </w:r>
      <w:r>
        <w:rPr>
          <w:rFonts w:ascii="Times New Roman" w:hAnsi="Times New Roman" w:cs="Times New Roman" w:eastAsia="Times New Roman" w:hint="default"/>
          <w:spacing w:val="-1"/>
        </w:rPr>
        <w:t>[2015]</w:t>
      </w:r>
      <w:r>
        <w:rPr>
          <w:spacing w:val="-1"/>
        </w:rPr>
        <w:t>第</w:t>
      </w:r>
      <w:r>
        <w:rPr>
          <w:rFonts w:ascii="Times New Roman" w:hAnsi="Times New Roman" w:cs="Times New Roman" w:eastAsia="Times New Roman" w:hint="default"/>
          <w:spacing w:val="-1"/>
        </w:rPr>
        <w:t>710009</w:t>
      </w:r>
      <w:r>
        <w:rPr>
          <w:rFonts w:ascii="Times New Roman" w:hAnsi="Times New Roman" w:cs="Times New Roman" w:eastAsia="Times New Roman" w:hint="default"/>
          <w:spacing w:val="-7"/>
        </w:rPr>
        <w:t> </w:t>
      </w:r>
      <w:r>
        <w:rPr/>
        <w:t>号验资报告予以验证。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月，经</w:t>
      </w:r>
      <w:r>
        <w:rPr>
          <w:rFonts w:ascii="Times New Roman" w:hAnsi="Times New Roman" w:cs="Times New Roman" w:eastAsia="Times New Roman" w:hint="default"/>
        </w:rPr>
        <w:t>2014</w:t>
      </w:r>
      <w:r>
        <w:rPr/>
        <w:t>年度股东大会决议通过《关于定向回购王新、李勇</w:t>
      </w:r>
      <w:r>
        <w:rPr>
          <w:rFonts w:ascii="Times New Roman" w:hAnsi="Times New Roman" w:cs="Times New Roman" w:eastAsia="Times New Roman" w:hint="default"/>
        </w:rPr>
        <w:t>2014</w:t>
      </w:r>
      <w:r>
        <w:rPr/>
        <w:t>年度应补偿股份的议案》，公司于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9</w:t>
      </w:r>
      <w:r>
        <w:rPr/>
        <w:t>日</w:t>
      </w:r>
      <w:r>
        <w:rPr>
          <w:spacing w:val="-83"/>
        </w:rPr>
        <w:t> </w:t>
      </w:r>
      <w:r>
        <w:rPr>
          <w:spacing w:val="-2"/>
        </w:rPr>
        <w:t>完成了对业绩补偿股份的定向回购和注销事宜，致使公司总股本减至</w:t>
      </w:r>
      <w:r>
        <w:rPr>
          <w:rFonts w:ascii="Times New Roman" w:hAnsi="Times New Roman" w:cs="Times New Roman" w:eastAsia="Times New Roman" w:hint="default"/>
          <w:spacing w:val="-2"/>
        </w:rPr>
        <w:t>197,810,840</w:t>
      </w:r>
      <w:r>
        <w:rPr>
          <w:spacing w:val="-2"/>
        </w:rPr>
        <w:t>股。上述变更业经立信会计师事务所（特殊</w:t>
      </w:r>
      <w:r>
        <w:rPr>
          <w:spacing w:val="-55"/>
        </w:rPr>
        <w:t> </w:t>
      </w:r>
      <w:r>
        <w:rPr>
          <w:spacing w:val="-55"/>
        </w:rPr>
      </w:r>
      <w:r>
        <w:rPr/>
        <w:t>普通合伙）出具信会师报字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711263</w:t>
      </w:r>
      <w:r>
        <w:rPr/>
        <w:t>号验资报告予以验证。 </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月，根据</w:t>
      </w:r>
      <w:r>
        <w:rPr>
          <w:rFonts w:ascii="Times New Roman" w:hAnsi="Times New Roman" w:cs="Times New Roman" w:eastAsia="Times New Roman" w:hint="default"/>
          <w:spacing w:val="-1"/>
        </w:rPr>
        <w:t>2015</w:t>
      </w:r>
      <w:r>
        <w:rPr>
          <w:spacing w:val="-1"/>
        </w:rPr>
        <w:t>年第二次临时股东大会有关决议、中国证监会证监许可</w:t>
      </w:r>
      <w:r>
        <w:rPr>
          <w:rFonts w:ascii="Times New Roman" w:hAnsi="Times New Roman" w:cs="Times New Roman" w:eastAsia="Times New Roman" w:hint="default"/>
          <w:spacing w:val="-1"/>
        </w:rPr>
        <w:t>[2015]2490</w:t>
      </w:r>
      <w:r>
        <w:rPr>
          <w:spacing w:val="-1"/>
        </w:rPr>
        <w:t>号《关于核准北京久其软件股份有</w:t>
      </w:r>
      <w:r>
        <w:rPr>
          <w:spacing w:val="-51"/>
        </w:rPr>
        <w:t> </w:t>
      </w:r>
      <w:r>
        <w:rPr>
          <w:spacing w:val="-51"/>
        </w:rPr>
      </w:r>
      <w:r>
        <w:rPr/>
        <w:t>限公司向栗军等发行股份购买资产并募集配套资金的批复》核准，公司增加注册资本人民币</w:t>
      </w:r>
      <w:r>
        <w:rPr>
          <w:rFonts w:ascii="Times New Roman" w:hAnsi="Times New Roman" w:cs="Times New Roman" w:eastAsia="Times New Roman" w:hint="default"/>
        </w:rPr>
        <w:t>18,785,940</w:t>
      </w:r>
      <w:r>
        <w:rPr/>
        <w:t>元，变更后的注册资</w:t>
      </w:r>
      <w:r>
        <w:rPr>
          <w:spacing w:val="-84"/>
        </w:rPr>
        <w:t> </w:t>
      </w:r>
      <w:r>
        <w:rPr>
          <w:spacing w:val="-1"/>
        </w:rPr>
        <w:t>本为人民币</w:t>
      </w:r>
      <w:r>
        <w:rPr>
          <w:rFonts w:ascii="Times New Roman" w:hAnsi="Times New Roman" w:cs="Times New Roman" w:eastAsia="Times New Roman" w:hint="default"/>
          <w:spacing w:val="-1"/>
        </w:rPr>
        <w:t>216,596,780</w:t>
      </w:r>
      <w:r>
        <w:rPr>
          <w:spacing w:val="-1"/>
        </w:rPr>
        <w:t>元。上述变更业经立信会计师事务所（特殊普通合伙）出具信会师报字</w:t>
      </w:r>
      <w:r>
        <w:rPr>
          <w:rFonts w:ascii="Times New Roman" w:hAnsi="Times New Roman" w:cs="Times New Roman" w:eastAsia="Times New Roman" w:hint="default"/>
          <w:spacing w:val="-1"/>
        </w:rPr>
        <w:t>[2015]</w:t>
      </w:r>
      <w:r>
        <w:rPr>
          <w:spacing w:val="-1"/>
        </w:rPr>
        <w:t>第</w:t>
      </w:r>
      <w:r>
        <w:rPr>
          <w:rFonts w:ascii="Times New Roman" w:hAnsi="Times New Roman" w:cs="Times New Roman" w:eastAsia="Times New Roman" w:hint="default"/>
          <w:spacing w:val="-1"/>
        </w:rPr>
        <w:t>711575</w:t>
      </w:r>
      <w:r>
        <w:rPr>
          <w:spacing w:val="-1"/>
        </w:rPr>
        <w:t>号验资报告予</w:t>
      </w:r>
      <w:r>
        <w:rPr>
          <w:spacing w:val="-52"/>
        </w:rPr>
        <w:t> </w:t>
      </w:r>
      <w:r>
        <w:rPr/>
        <w:t>以验证。 </w:t>
      </w:r>
      <w:r>
        <w:rPr>
          <w:rFonts w:ascii="Times New Roman" w:hAnsi="Times New Roman" w:cs="Times New Roman" w:eastAsia="Times New Roman" w:hint="default"/>
          <w:spacing w:val="-7"/>
        </w:rPr>
        <w:t>2016</w:t>
      </w:r>
      <w:r>
        <w:rPr>
          <w:spacing w:val="-7"/>
        </w:rPr>
        <w:t>年</w:t>
      </w:r>
      <w:r>
        <w:rPr>
          <w:rFonts w:ascii="Times New Roman" w:hAnsi="Times New Roman" w:cs="Times New Roman" w:eastAsia="Times New Roman" w:hint="default"/>
          <w:spacing w:val="-7"/>
        </w:rPr>
        <w:t>5</w:t>
      </w:r>
      <w:r>
        <w:rPr>
          <w:spacing w:val="-7"/>
        </w:rPr>
        <w:t>月，根据</w:t>
      </w:r>
      <w:r>
        <w:rPr>
          <w:rFonts w:ascii="Times New Roman" w:hAnsi="Times New Roman" w:cs="Times New Roman" w:eastAsia="Times New Roman" w:hint="default"/>
          <w:spacing w:val="-7"/>
        </w:rPr>
        <w:t>2015</w:t>
      </w:r>
      <w:r>
        <w:rPr>
          <w:spacing w:val="-7"/>
        </w:rPr>
        <w:t>年度股东大会通过的有关决议，公司以</w:t>
      </w:r>
      <w:r>
        <w:rPr>
          <w:rFonts w:ascii="Times New Roman" w:hAnsi="Times New Roman" w:cs="Times New Roman" w:eastAsia="Times New Roman" w:hint="default"/>
          <w:spacing w:val="-7"/>
        </w:rPr>
        <w:t>2015</w:t>
      </w:r>
      <w:r>
        <w:rPr>
          <w:spacing w:val="-7"/>
        </w:rPr>
        <w:t>年</w:t>
      </w:r>
      <w:r>
        <w:rPr>
          <w:rFonts w:ascii="Times New Roman" w:hAnsi="Times New Roman" w:cs="Times New Roman" w:eastAsia="Times New Roman" w:hint="default"/>
          <w:spacing w:val="-7"/>
        </w:rPr>
        <w:t>12</w:t>
      </w:r>
      <w:r>
        <w:rPr>
          <w:spacing w:val="-7"/>
        </w:rPr>
        <w:t>月</w:t>
      </w:r>
      <w:r>
        <w:rPr>
          <w:rFonts w:ascii="Times New Roman" w:hAnsi="Times New Roman" w:cs="Times New Roman" w:eastAsia="Times New Roman" w:hint="default"/>
          <w:spacing w:val="-7"/>
        </w:rPr>
        <w:t>31</w:t>
      </w:r>
      <w:r>
        <w:rPr>
          <w:spacing w:val="-7"/>
        </w:rPr>
        <w:t>日总股本为基数，每</w:t>
      </w:r>
      <w:r>
        <w:rPr>
          <w:rFonts w:ascii="Times New Roman" w:hAnsi="Times New Roman" w:cs="Times New Roman" w:eastAsia="Times New Roman" w:hint="default"/>
          <w:spacing w:val="-7"/>
        </w:rPr>
        <w:t>10</w:t>
      </w:r>
      <w:r>
        <w:rPr>
          <w:spacing w:val="-7"/>
        </w:rPr>
        <w:t>股派发现金股利</w:t>
      </w:r>
      <w:r>
        <w:rPr>
          <w:rFonts w:ascii="Times New Roman" w:hAnsi="Times New Roman" w:cs="Times New Roman" w:eastAsia="Times New Roman" w:hint="default"/>
          <w:spacing w:val="-7"/>
        </w:rPr>
        <w:t>1</w:t>
      </w:r>
      <w:r>
        <w:rPr>
          <w:spacing w:val="-7"/>
        </w:rPr>
        <w:t>元（含税），</w:t>
      </w:r>
      <w:r>
        <w:rPr>
          <w:spacing w:val="-73"/>
        </w:rPr>
        <w:t> </w:t>
      </w:r>
      <w:r>
        <w:rPr>
          <w:spacing w:val="-73"/>
        </w:rPr>
      </w:r>
      <w:r>
        <w:rPr/>
        <w:t>共计派送现金</w:t>
      </w:r>
      <w:r>
        <w:rPr>
          <w:rFonts w:ascii="Times New Roman" w:hAnsi="Times New Roman" w:cs="Times New Roman" w:eastAsia="Times New Roman" w:hint="default"/>
        </w:rPr>
        <w:t>21,659,678.00</w:t>
      </w:r>
      <w:r>
        <w:rPr/>
        <w:t>元；并以资本公积向全体股东每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15</w:t>
      </w:r>
      <w:r>
        <w:rPr/>
        <w:t>股，转增后公司注册资本变更为</w:t>
      </w:r>
      <w:r>
        <w:rPr>
          <w:rFonts w:ascii="Times New Roman" w:hAnsi="Times New Roman" w:cs="Times New Roman" w:eastAsia="Times New Roman" w:hint="default"/>
        </w:rPr>
        <w:t>541,491,950.00</w:t>
      </w:r>
      <w:r>
        <w:rPr/>
        <w:t>元。</w:t>
      </w:r>
    </w:p>
    <w:p>
      <w:pPr>
        <w:spacing w:after="0" w:line="302" w:lineRule="auto"/>
        <w:jc w:val="left"/>
        <w:sectPr>
          <w:headerReference w:type="default" r:id="rId26"/>
          <w:footerReference w:type="default" r:id="rId27"/>
          <w:pgSz w:w="11910" w:h="16840"/>
          <w:pgMar w:header="877" w:footer="979" w:top="1100" w:bottom="1160" w:left="980" w:right="0"/>
          <w:pgNumType w:start="109"/>
        </w:sectPr>
      </w:pPr>
    </w:p>
    <w:p>
      <w:pPr>
        <w:spacing w:line="240" w:lineRule="auto" w:before="12"/>
        <w:rPr>
          <w:rFonts w:ascii="宋体" w:hAnsi="宋体" w:cs="宋体" w:eastAsia="宋体" w:hint="default"/>
          <w:sz w:val="21"/>
          <w:szCs w:val="21"/>
        </w:rPr>
      </w:pPr>
    </w:p>
    <w:p>
      <w:pPr>
        <w:pStyle w:val="BodyText"/>
        <w:spacing w:line="300" w:lineRule="auto" w:before="44"/>
        <w:ind w:right="1122"/>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月，根据</w:t>
      </w:r>
      <w:r>
        <w:rPr>
          <w:rFonts w:ascii="Times New Roman" w:hAnsi="Times New Roman" w:cs="Times New Roman" w:eastAsia="Times New Roman" w:hint="default"/>
        </w:rPr>
        <w:t>2016</w:t>
      </w:r>
      <w:r>
        <w:rPr/>
        <w:t>年度股东大会决议通过的《关于定向回购王新、李勇</w:t>
      </w:r>
      <w:r>
        <w:rPr>
          <w:rFonts w:ascii="Times New Roman" w:hAnsi="Times New Roman" w:cs="Times New Roman" w:eastAsia="Times New Roman" w:hint="default"/>
        </w:rPr>
        <w:t>2016</w:t>
      </w:r>
      <w:r>
        <w:rPr/>
        <w:t>年度应补偿股份暨关联交易的议案》，公司</w:t>
      </w:r>
      <w:r>
        <w:rPr>
          <w:spacing w:val="-83"/>
        </w:rPr>
        <w:t> </w:t>
      </w:r>
      <w:r>
        <w:rPr>
          <w:spacing w:val="-83"/>
        </w:rPr>
      </w:r>
      <w:r>
        <w:rPr>
          <w:spacing w:val="-2"/>
        </w:rPr>
        <w:t>以</w:t>
      </w:r>
      <w:r>
        <w:rPr>
          <w:rFonts w:ascii="Times New Roman" w:hAnsi="Times New Roman" w:cs="Times New Roman" w:eastAsia="Times New Roman" w:hint="default"/>
          <w:spacing w:val="-2"/>
        </w:rPr>
        <w:t>1</w:t>
      </w:r>
      <w:r>
        <w:rPr>
          <w:spacing w:val="-2"/>
        </w:rPr>
        <w:t>元总价回购股东王新</w:t>
      </w:r>
      <w:r>
        <w:rPr>
          <w:rFonts w:ascii="Times New Roman" w:hAnsi="Times New Roman" w:cs="Times New Roman" w:eastAsia="Times New Roman" w:hint="default"/>
          <w:spacing w:val="-2"/>
        </w:rPr>
        <w:t>125,125</w:t>
      </w:r>
      <w:r>
        <w:rPr>
          <w:spacing w:val="-2"/>
        </w:rPr>
        <w:t>股，股东李勇</w:t>
      </w:r>
      <w:r>
        <w:rPr>
          <w:rFonts w:ascii="Times New Roman" w:hAnsi="Times New Roman" w:cs="Times New Roman" w:eastAsia="Times New Roman" w:hint="default"/>
          <w:spacing w:val="-2"/>
        </w:rPr>
        <w:t>94,393</w:t>
      </w:r>
      <w:r>
        <w:rPr>
          <w:spacing w:val="-2"/>
        </w:rPr>
        <w:t>股并予以注销，本次回购的股份已于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27</w:t>
      </w:r>
      <w:r>
        <w:rPr>
          <w:spacing w:val="-2"/>
        </w:rPr>
        <w:t>日在中国证券登记结算</w:t>
      </w:r>
      <w:r>
        <w:rPr>
          <w:spacing w:val="-46"/>
        </w:rPr>
        <w:t> </w:t>
      </w:r>
      <w:r>
        <w:rPr/>
        <w:t>有限责任公司深圳分公司完成注销手续，回购后公司注册资本变更为</w:t>
      </w:r>
      <w:r>
        <w:rPr>
          <w:rFonts w:ascii="Times New Roman" w:hAnsi="Times New Roman" w:cs="Times New Roman" w:eastAsia="Times New Roman" w:hint="default"/>
        </w:rPr>
        <w:t>541,272,432.00</w:t>
      </w:r>
      <w:r>
        <w:rPr/>
        <w:t>元。</w:t>
      </w:r>
      <w:r>
        <w:rPr>
          <w:spacing w:val="-2"/>
        </w:rPr>
        <w:t> </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月，根据</w:t>
      </w:r>
      <w:r>
        <w:rPr>
          <w:rFonts w:ascii="Times New Roman" w:hAnsi="Times New Roman" w:cs="Times New Roman" w:eastAsia="Times New Roman" w:hint="default"/>
          <w:spacing w:val="-1"/>
        </w:rPr>
        <w:t>2016</w:t>
      </w:r>
      <w:r>
        <w:rPr>
          <w:spacing w:val="-1"/>
        </w:rPr>
        <w:t>年度股东大会通过的有关决议，公司以</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10</w:t>
      </w:r>
      <w:r>
        <w:rPr>
          <w:spacing w:val="-1"/>
        </w:rPr>
        <w:t>日总股本为基数，每</w:t>
      </w:r>
      <w:r>
        <w:rPr>
          <w:rFonts w:ascii="Times New Roman" w:hAnsi="Times New Roman" w:cs="Times New Roman" w:eastAsia="Times New Roman" w:hint="default"/>
          <w:spacing w:val="-1"/>
        </w:rPr>
        <w:t>10</w:t>
      </w:r>
      <w:r>
        <w:rPr>
          <w:spacing w:val="-1"/>
        </w:rPr>
        <w:t>股派发现金股利</w:t>
      </w:r>
      <w:r>
        <w:rPr>
          <w:rFonts w:ascii="Times New Roman" w:hAnsi="Times New Roman" w:cs="Times New Roman" w:eastAsia="Times New Roman" w:hint="default"/>
          <w:spacing w:val="-1"/>
        </w:rPr>
        <w:t>0.30</w:t>
      </w:r>
      <w:r>
        <w:rPr>
          <w:spacing w:val="-1"/>
        </w:rPr>
        <w:t>元（含</w:t>
      </w:r>
      <w:r>
        <w:rPr>
          <w:spacing w:val="-67"/>
        </w:rPr>
        <w:t> </w:t>
      </w:r>
      <w:r>
        <w:rPr>
          <w:spacing w:val="-67"/>
        </w:rPr>
      </w:r>
      <w:r>
        <w:rPr/>
        <w:t>税），共计派送现金</w:t>
      </w:r>
      <w:r>
        <w:rPr>
          <w:rFonts w:ascii="Times New Roman" w:hAnsi="Times New Roman" w:cs="Times New Roman" w:eastAsia="Times New Roman" w:hint="default"/>
        </w:rPr>
        <w:t>16,238,172.96</w:t>
      </w:r>
      <w:r>
        <w:rPr/>
        <w:t>元；并以资本公积向全体股东每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股，转增后公司注册资本变更为</w:t>
      </w:r>
      <w:r>
        <w:rPr>
          <w:rFonts w:ascii="Times New Roman" w:hAnsi="Times New Roman" w:cs="Times New Roman" w:eastAsia="Times New Roman" w:hint="default"/>
        </w:rPr>
        <w:t>703,654,161.00</w:t>
      </w:r>
      <w:r>
        <w:rPr>
          <w:rFonts w:ascii="Times New Roman" w:hAnsi="Times New Roman" w:cs="Times New Roman" w:eastAsia="Times New Roman" w:hint="default"/>
          <w:spacing w:val="-42"/>
        </w:rPr>
        <w:t> </w:t>
      </w:r>
      <w:r>
        <w:rPr/>
        <w:t>元。</w:t>
      </w:r>
    </w:p>
    <w:p>
      <w:pPr>
        <w:pStyle w:val="BodyText"/>
        <w:spacing w:line="240" w:lineRule="auto" w:before="31"/>
        <w:ind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月，公司召开的第六届董事会第十四次会议审议通过了《关于向公司 </w:t>
      </w:r>
      <w:r>
        <w:rPr>
          <w:rFonts w:ascii="Times New Roman" w:hAnsi="Times New Roman" w:cs="Times New Roman" w:eastAsia="Times New Roman" w:hint="default"/>
        </w:rPr>
        <w:t>2017 </w:t>
      </w:r>
      <w:r>
        <w:rPr>
          <w:rFonts w:ascii="Times New Roman" w:hAnsi="Times New Roman" w:cs="Times New Roman" w:eastAsia="Times New Roman" w:hint="default"/>
          <w:spacing w:val="3"/>
        </w:rPr>
        <w:t> </w:t>
      </w:r>
      <w:r>
        <w:rPr/>
        <w:t>年度限制性股票激励计划激励对象首次</w:t>
      </w:r>
    </w:p>
    <w:p>
      <w:pPr>
        <w:pStyle w:val="BodyText"/>
        <w:spacing w:line="240" w:lineRule="auto" w:before="63"/>
        <w:ind w:right="0"/>
        <w:jc w:val="left"/>
      </w:pPr>
      <w:r>
        <w:rPr/>
        <w:t>授予限制性股票的议案》，授予日为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11 </w:t>
      </w:r>
      <w:r>
        <w:rPr/>
        <w:t>日，授予 </w:t>
      </w:r>
      <w:r>
        <w:rPr>
          <w:rFonts w:ascii="Times New Roman" w:hAnsi="Times New Roman" w:cs="Times New Roman" w:eastAsia="Times New Roman" w:hint="default"/>
        </w:rPr>
        <w:t>347 </w:t>
      </w:r>
      <w:r>
        <w:rPr/>
        <w:t>名激励对象 </w:t>
      </w:r>
      <w:r>
        <w:rPr>
          <w:rFonts w:ascii="Times New Roman" w:hAnsi="Times New Roman" w:cs="Times New Roman" w:eastAsia="Times New Roman" w:hint="default"/>
        </w:rPr>
        <w:t>720 </w:t>
      </w:r>
      <w:r>
        <w:rPr>
          <w:rFonts w:ascii="Times New Roman" w:hAnsi="Times New Roman" w:cs="Times New Roman" w:eastAsia="Times New Roman" w:hint="default"/>
          <w:spacing w:val="6"/>
        </w:rPr>
        <w:t> </w:t>
      </w:r>
      <w:r>
        <w:rPr/>
        <w:t>万股限制性股票，在资金缴纳、股份</w:t>
      </w:r>
    </w:p>
    <w:p>
      <w:pPr>
        <w:pStyle w:val="BodyText"/>
        <w:spacing w:line="300" w:lineRule="auto" w:before="63"/>
        <w:ind w:right="1117"/>
        <w:jc w:val="left"/>
      </w:pPr>
      <w:r>
        <w:rPr/>
        <w:t>登记过程中，有 </w:t>
      </w:r>
      <w:r>
        <w:rPr>
          <w:rFonts w:ascii="Times New Roman" w:hAnsi="Times New Roman" w:cs="Times New Roman" w:eastAsia="Times New Roman" w:hint="default"/>
        </w:rPr>
        <w:t>21 </w:t>
      </w:r>
      <w:r>
        <w:rPr/>
        <w:t>名激励对象因个人原因放弃认购，因此，公司激励计划实际授予 </w:t>
      </w:r>
      <w:r>
        <w:rPr>
          <w:rFonts w:ascii="Times New Roman" w:hAnsi="Times New Roman" w:cs="Times New Roman" w:eastAsia="Times New Roman" w:hint="default"/>
        </w:rPr>
        <w:t>326 </w:t>
      </w:r>
      <w:r>
        <w:rPr/>
        <w:t>名激励对象共计 </w:t>
      </w:r>
      <w:r>
        <w:rPr>
          <w:rFonts w:ascii="Times New Roman" w:hAnsi="Times New Roman" w:cs="Times New Roman" w:eastAsia="Times New Roman" w:hint="default"/>
        </w:rPr>
        <w:t>707.08</w:t>
      </w:r>
      <w:r>
        <w:rPr>
          <w:rFonts w:ascii="Times New Roman" w:hAnsi="Times New Roman" w:cs="Times New Roman" w:eastAsia="Times New Roman" w:hint="default"/>
          <w:spacing w:val="2"/>
        </w:rPr>
        <w:t> </w:t>
      </w:r>
      <w:r>
        <w:rPr/>
        <w:t>万股限制 </w:t>
      </w:r>
      <w:r>
        <w:rPr>
          <w:spacing w:val="-3"/>
        </w:rPr>
        <w:t>性股票，本次激励计划授予完成后，公司增加注册资本人民币</w:t>
      </w:r>
      <w:r>
        <w:rPr>
          <w:rFonts w:ascii="Times New Roman" w:hAnsi="Times New Roman" w:cs="Times New Roman" w:eastAsia="Times New Roman" w:hint="default"/>
          <w:spacing w:val="-3"/>
        </w:rPr>
        <w:t>7,070,800.00</w:t>
      </w:r>
      <w:r>
        <w:rPr>
          <w:spacing w:val="-3"/>
        </w:rPr>
        <w:t>元，变更后的注册资本为人民币</w:t>
      </w:r>
      <w:r>
        <w:rPr>
          <w:rFonts w:ascii="Times New Roman" w:hAnsi="Times New Roman" w:cs="Times New Roman" w:eastAsia="Times New Roman" w:hint="default"/>
          <w:spacing w:val="-3"/>
        </w:rPr>
        <w:t>710,724,961.00</w:t>
      </w:r>
      <w:r>
        <w:rPr>
          <w:spacing w:val="-3"/>
        </w:rPr>
        <w:t>元。</w:t>
      </w:r>
      <w:r>
        <w:rPr>
          <w:spacing w:val="-62"/>
        </w:rPr>
        <w:t> </w:t>
      </w:r>
      <w:r>
        <w:rPr/>
        <w:t>上述变更经立信会计师事务所（特殊普通合伙）出具信会师报字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ZG12200</w:t>
      </w:r>
      <w:r>
        <w:rPr/>
        <w:t>号验资报告予以验证。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月，久其转债因转股减少 </w:t>
      </w:r>
      <w:r>
        <w:rPr>
          <w:rFonts w:ascii="Times New Roman" w:hAnsi="Times New Roman" w:cs="Times New Roman" w:eastAsia="Times New Roman" w:hint="default"/>
        </w:rPr>
        <w:t>31,700 </w:t>
      </w:r>
      <w:r>
        <w:rPr/>
        <w:t>元（</w:t>
      </w:r>
      <w:r>
        <w:rPr>
          <w:rFonts w:ascii="Times New Roman" w:hAnsi="Times New Roman" w:cs="Times New Roman" w:eastAsia="Times New Roman" w:hint="default"/>
        </w:rPr>
        <w:t>317</w:t>
      </w:r>
      <w:r>
        <w:rPr>
          <w:rFonts w:ascii="Times New Roman" w:hAnsi="Times New Roman" w:cs="Times New Roman" w:eastAsia="Times New Roman" w:hint="default"/>
          <w:spacing w:val="5"/>
        </w:rPr>
        <w:t> </w:t>
      </w:r>
      <w:r>
        <w:rPr/>
        <w:t>张），转股数量为</w:t>
      </w:r>
      <w:r>
        <w:rPr>
          <w:rFonts w:ascii="Times New Roman" w:hAnsi="Times New Roman" w:cs="Times New Roman" w:eastAsia="Times New Roman" w:hint="default"/>
        </w:rPr>
        <w:t>2,456</w:t>
      </w:r>
      <w:r>
        <w:rPr/>
        <w:t>股，可转债公司债券转股后，公司注册资本变更 为</w:t>
      </w:r>
      <w:r>
        <w:rPr>
          <w:rFonts w:ascii="Times New Roman" w:hAnsi="Times New Roman" w:cs="Times New Roman" w:eastAsia="Times New Roman" w:hint="default"/>
        </w:rPr>
        <w:t>710,727,417.00</w:t>
      </w:r>
      <w:r>
        <w:rPr/>
        <w:t>元，尚未完成注册资本的工商变更登记手续。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4</w:t>
      </w:r>
      <w:r>
        <w:rPr/>
        <w:t>月，可转债转股后，久其转债因转股减少</w:t>
      </w:r>
      <w:r>
        <w:rPr>
          <w:rFonts w:ascii="Times New Roman" w:hAnsi="Times New Roman" w:cs="Times New Roman" w:eastAsia="Times New Roman" w:hint="default"/>
        </w:rPr>
        <w:t>101,100</w:t>
      </w:r>
      <w:r>
        <w:rPr/>
        <w:t>元（</w:t>
      </w:r>
      <w:r>
        <w:rPr>
          <w:rFonts w:ascii="Times New Roman" w:hAnsi="Times New Roman" w:cs="Times New Roman" w:eastAsia="Times New Roman" w:hint="default"/>
        </w:rPr>
        <w:t>1,011</w:t>
      </w:r>
      <w:r>
        <w:rPr/>
        <w:t>张），转股数量为</w:t>
      </w:r>
      <w:r>
        <w:rPr>
          <w:rFonts w:ascii="Times New Roman" w:hAnsi="Times New Roman" w:cs="Times New Roman" w:eastAsia="Times New Roman" w:hint="default"/>
        </w:rPr>
        <w:t>7,834</w:t>
      </w:r>
      <w:r>
        <w:rPr/>
        <w:t>股。公司实收资本变更为</w:t>
      </w:r>
    </w:p>
    <w:p>
      <w:pPr>
        <w:pStyle w:val="BodyText"/>
        <w:spacing w:line="240" w:lineRule="auto" w:before="13"/>
        <w:ind w:right="0"/>
        <w:jc w:val="left"/>
      </w:pPr>
      <w:r>
        <w:rPr>
          <w:rFonts w:ascii="Times New Roman" w:hAnsi="Times New Roman" w:cs="Times New Roman" w:eastAsia="Times New Roman" w:hint="default"/>
        </w:rPr>
        <w:t>710,735,251</w:t>
      </w:r>
      <w:r>
        <w:rPr/>
        <w:t>元。</w:t>
      </w:r>
    </w:p>
    <w:p>
      <w:pPr>
        <w:pStyle w:val="BodyText"/>
        <w:spacing w:line="300" w:lineRule="auto" w:before="63"/>
        <w:ind w:right="1122"/>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月，根据</w:t>
      </w:r>
      <w:r>
        <w:rPr>
          <w:rFonts w:ascii="Times New Roman" w:hAnsi="Times New Roman" w:cs="Times New Roman" w:eastAsia="Times New Roman" w:hint="default"/>
        </w:rPr>
        <w:t>2017</w:t>
      </w:r>
      <w:r>
        <w:rPr/>
        <w:t>年度股东大会决议通过的《关于定向回购王新、李勇</w:t>
      </w:r>
      <w:r>
        <w:rPr>
          <w:rFonts w:ascii="Times New Roman" w:hAnsi="Times New Roman" w:cs="Times New Roman" w:eastAsia="Times New Roman" w:hint="default"/>
        </w:rPr>
        <w:t>2017</w:t>
      </w:r>
      <w:r>
        <w:rPr/>
        <w:t>年度应补偿股份暨关联交易的议案》及《关</w:t>
      </w:r>
      <w:r>
        <w:rPr>
          <w:spacing w:val="-83"/>
        </w:rPr>
        <w:t> </w:t>
      </w:r>
      <w:r>
        <w:rPr>
          <w:spacing w:val="-83"/>
        </w:rPr>
      </w:r>
      <w:r>
        <w:rPr/>
        <w:t>于回购注销部分激励对象已获授但尚未解锁的限制性股票的议案》，公司以</w:t>
      </w:r>
      <w:r>
        <w:rPr>
          <w:rFonts w:ascii="Times New Roman" w:hAnsi="Times New Roman" w:cs="Times New Roman" w:eastAsia="Times New Roman" w:hint="default"/>
        </w:rPr>
        <w:t>1</w:t>
      </w:r>
      <w:r>
        <w:rPr/>
        <w:t>元总价回购股东王新</w:t>
      </w:r>
      <w:r>
        <w:rPr>
          <w:rFonts w:ascii="Times New Roman" w:hAnsi="Times New Roman" w:cs="Times New Roman" w:eastAsia="Times New Roman" w:hint="default"/>
        </w:rPr>
        <w:t>104,124.00</w:t>
      </w:r>
      <w:r>
        <w:rPr/>
        <w:t>股及股东李勇</w:t>
      </w:r>
      <w:r>
        <w:rPr>
          <w:spacing w:val="-1"/>
        </w:rPr>
        <w:t> </w:t>
      </w:r>
      <w:r>
        <w:rPr>
          <w:spacing w:val="-1"/>
        </w:rPr>
      </w:r>
      <w:r>
        <w:rPr>
          <w:rFonts w:ascii="Times New Roman" w:hAnsi="Times New Roman" w:cs="Times New Roman" w:eastAsia="Times New Roman" w:hint="default"/>
        </w:rPr>
        <w:t>78,549.00</w:t>
      </w:r>
      <w:r>
        <w:rPr/>
        <w:t>股并予以注销，本次回购注销股份小计</w:t>
      </w:r>
      <w:r>
        <w:rPr>
          <w:rFonts w:ascii="Times New Roman" w:hAnsi="Times New Roman" w:cs="Times New Roman" w:eastAsia="Times New Roman" w:hint="default"/>
        </w:rPr>
        <w:t>182,673.00</w:t>
      </w:r>
      <w:r>
        <w:rPr/>
        <w:t>股；公司对</w:t>
      </w:r>
      <w:r>
        <w:rPr>
          <w:rFonts w:ascii="Times New Roman" w:hAnsi="Times New Roman" w:cs="Times New Roman" w:eastAsia="Times New Roman" w:hint="default"/>
        </w:rPr>
        <w:t>10</w:t>
      </w:r>
      <w:r>
        <w:rPr/>
        <w:t>名已离职或未达到个人绩效考核标准的激励对象持</w:t>
      </w:r>
      <w:r>
        <w:rPr>
          <w:spacing w:val="-87"/>
        </w:rPr>
        <w:t> </w:t>
      </w:r>
      <w:r>
        <w:rPr>
          <w:spacing w:val="-87"/>
        </w:rPr>
      </w:r>
      <w:r>
        <w:rPr>
          <w:spacing w:val="-2"/>
        </w:rPr>
        <w:t>有的</w:t>
      </w:r>
      <w:r>
        <w:rPr>
          <w:rFonts w:ascii="Times New Roman" w:hAnsi="Times New Roman" w:cs="Times New Roman" w:eastAsia="Times New Roman" w:hint="default"/>
          <w:spacing w:val="-2"/>
        </w:rPr>
        <w:t>116,000.00</w:t>
      </w:r>
      <w:r>
        <w:rPr>
          <w:spacing w:val="-2"/>
        </w:rPr>
        <w:t>股限制性股票予以回购注销，本次回购的股份已于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19</w:t>
      </w:r>
      <w:r>
        <w:rPr>
          <w:spacing w:val="-2"/>
        </w:rPr>
        <w:t>日在中国证券登记结算有限责任公司深圳分公</w:t>
      </w:r>
      <w:r>
        <w:rPr>
          <w:spacing w:val="-47"/>
        </w:rPr>
        <w:t> </w:t>
      </w:r>
      <w:r>
        <w:rPr/>
        <w:t>司完成注销手续，注销回购股权后，公司注册资本变更为</w:t>
      </w:r>
      <w:r>
        <w:rPr>
          <w:rFonts w:ascii="Times New Roman" w:hAnsi="Times New Roman" w:cs="Times New Roman" w:eastAsia="Times New Roman" w:hint="default"/>
        </w:rPr>
        <w:t>710,436,578.00</w:t>
      </w:r>
      <w:r>
        <w:rPr/>
        <w:t>元。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月，公司第六届董事会第二十八次（临时）会议和第六届监事会第十六次（临时）会议分别审议通过了《关于向公</w:t>
      </w:r>
      <w:r>
        <w:rPr>
          <w:spacing w:val="-83"/>
        </w:rPr>
        <w:t> </w:t>
      </w:r>
      <w:r>
        <w:rPr>
          <w:spacing w:val="-83"/>
        </w:rPr>
      </w:r>
      <w:r>
        <w:rPr>
          <w:spacing w:val="2"/>
        </w:rPr>
        <w:t>司</w:t>
      </w:r>
      <w:r>
        <w:rPr>
          <w:rFonts w:ascii="Times New Roman" w:hAnsi="Times New Roman" w:cs="Times New Roman" w:eastAsia="Times New Roman" w:hint="default"/>
          <w:spacing w:val="2"/>
        </w:rPr>
        <w:t>2017</w:t>
      </w:r>
      <w:r>
        <w:rPr>
          <w:spacing w:val="2"/>
        </w:rPr>
        <w:t>年度限制性股票激励计划激励对象授予预留限制性股票的议案》，授予日为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6</w:t>
      </w:r>
      <w:r>
        <w:rPr>
          <w:spacing w:val="2"/>
        </w:rPr>
        <w:t>日，授予 </w:t>
      </w:r>
      <w:r>
        <w:rPr>
          <w:rFonts w:ascii="Times New Roman" w:hAnsi="Times New Roman" w:cs="Times New Roman" w:eastAsia="Times New Roman" w:hint="default"/>
        </w:rPr>
        <w:t>41</w:t>
      </w:r>
      <w:r>
        <w:rPr>
          <w:rFonts w:ascii="Times New Roman" w:hAnsi="Times New Roman" w:cs="Times New Roman" w:eastAsia="Times New Roman" w:hint="default"/>
          <w:spacing w:val="25"/>
        </w:rPr>
        <w:t> </w:t>
      </w:r>
      <w:r>
        <w:rPr/>
        <w:t>名激励对象</w:t>
      </w:r>
      <w:r>
        <w:rPr>
          <w:rFonts w:ascii="Times New Roman" w:hAnsi="Times New Roman" w:cs="Times New Roman" w:eastAsia="Times New Roman" w:hint="default"/>
        </w:rPr>
        <w:t>80 </w:t>
      </w:r>
      <w:r>
        <w:rPr/>
        <w:t>万股限制性股票，在预留限制性股票授予过程中，</w:t>
      </w:r>
      <w:r>
        <w:rPr>
          <w:rFonts w:ascii="Times New Roman" w:hAnsi="Times New Roman" w:cs="Times New Roman" w:eastAsia="Times New Roman" w:hint="default"/>
        </w:rPr>
        <w:t>3</w:t>
      </w:r>
      <w:r>
        <w:rPr/>
        <w:t>名激励对象由于个人原因自愿放弃认购。因此，公司激励计划实际授予</w:t>
      </w:r>
      <w:r>
        <w:rPr>
          <w:spacing w:val="-82"/>
        </w:rPr>
        <w:t> </w:t>
      </w:r>
      <w:r>
        <w:rPr>
          <w:spacing w:val="-82"/>
        </w:rPr>
      </w:r>
      <w:r>
        <w:rPr>
          <w:rFonts w:ascii="Times New Roman" w:hAnsi="Times New Roman" w:cs="Times New Roman" w:eastAsia="Times New Roman" w:hint="default"/>
        </w:rPr>
        <w:t>38</w:t>
      </w:r>
      <w:r>
        <w:rPr/>
        <w:t>名激励对象共计</w:t>
      </w:r>
      <w:r>
        <w:rPr>
          <w:rFonts w:ascii="Times New Roman" w:hAnsi="Times New Roman" w:cs="Times New Roman" w:eastAsia="Times New Roman" w:hint="default"/>
        </w:rPr>
        <w:t>79</w:t>
      </w:r>
      <w:r>
        <w:rPr/>
        <w:t>万股限制性股票</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本次激励计划授予完成后，公司增加注册资本人民币</w:t>
      </w:r>
      <w:r>
        <w:rPr>
          <w:rFonts w:ascii="Times New Roman" w:hAnsi="Times New Roman" w:cs="Times New Roman" w:eastAsia="Times New Roman" w:hint="default"/>
        </w:rPr>
        <w:t>790,000.00</w:t>
      </w:r>
      <w:r>
        <w:rPr/>
        <w:t>元，变更后的注册资</w:t>
      </w:r>
      <w:r>
        <w:rPr>
          <w:spacing w:val="-79"/>
        </w:rPr>
        <w:t> </w:t>
      </w:r>
      <w:r>
        <w:rPr>
          <w:spacing w:val="-79"/>
        </w:rPr>
      </w:r>
      <w:r>
        <w:rPr/>
        <w:t>本为人民币</w:t>
      </w:r>
      <w:r>
        <w:rPr>
          <w:rFonts w:ascii="Times New Roman" w:hAnsi="Times New Roman" w:cs="Times New Roman" w:eastAsia="Times New Roman" w:hint="default"/>
        </w:rPr>
        <w:t>711,226,578.00</w:t>
      </w:r>
      <w:r>
        <w:rPr/>
        <w:t>元。</w:t>
      </w:r>
    </w:p>
    <w:p>
      <w:pPr>
        <w:pStyle w:val="BodyText"/>
        <w:spacing w:line="240" w:lineRule="auto" w:before="13"/>
        <w:ind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日，本公司的股本结构如下：</w:t>
      </w:r>
    </w:p>
    <w:p>
      <w:pPr>
        <w:spacing w:line="240" w:lineRule="auto" w:before="13"/>
        <w:rPr>
          <w:rFonts w:ascii="宋体" w:hAnsi="宋体" w:cs="宋体" w:eastAsia="宋体" w:hint="default"/>
          <w:sz w:val="3"/>
          <w:szCs w:val="3"/>
        </w:rPr>
      </w:pPr>
    </w:p>
    <w:tbl>
      <w:tblPr>
        <w:tblW w:w="0" w:type="auto"/>
        <w:jc w:val="left"/>
        <w:tblInd w:w="139" w:type="dxa"/>
        <w:tblLayout w:type="fixed"/>
        <w:tblCellMar>
          <w:top w:w="0" w:type="dxa"/>
          <w:left w:w="0" w:type="dxa"/>
          <w:bottom w:w="0" w:type="dxa"/>
          <w:right w:w="0" w:type="dxa"/>
        </w:tblCellMar>
        <w:tblLook w:val="01E0"/>
      </w:tblPr>
      <w:tblGrid>
        <w:gridCol w:w="4494"/>
        <w:gridCol w:w="2459"/>
        <w:gridCol w:w="2706"/>
      </w:tblGrid>
      <w:tr>
        <w:trPr>
          <w:trHeight w:val="342" w:hRule="exact"/>
        </w:trPr>
        <w:tc>
          <w:tcPr>
            <w:tcW w:w="4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股东名称</w:t>
            </w:r>
          </w:p>
        </w:tc>
        <w:tc>
          <w:tcPr>
            <w:tcW w:w="24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6"/>
              <w:ind w:left="744" w:right="0"/>
              <w:jc w:val="left"/>
              <w:rPr>
                <w:rFonts w:ascii="宋体" w:hAnsi="宋体" w:cs="宋体" w:eastAsia="宋体" w:hint="default"/>
                <w:sz w:val="16"/>
                <w:szCs w:val="16"/>
              </w:rPr>
            </w:pPr>
            <w:r>
              <w:rPr>
                <w:rFonts w:ascii="宋体" w:hAnsi="宋体" w:cs="宋体" w:eastAsia="宋体" w:hint="default"/>
                <w:sz w:val="16"/>
                <w:szCs w:val="16"/>
              </w:rPr>
              <w:t>持股数（股）</w:t>
            </w:r>
          </w:p>
        </w:tc>
        <w:tc>
          <w:tcPr>
            <w:tcW w:w="27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6"/>
              <w:ind w:left="800" w:right="0"/>
              <w:jc w:val="left"/>
              <w:rPr>
                <w:rFonts w:ascii="宋体" w:hAnsi="宋体" w:cs="宋体" w:eastAsia="宋体" w:hint="default"/>
                <w:sz w:val="16"/>
                <w:szCs w:val="16"/>
              </w:rPr>
            </w:pPr>
            <w:r>
              <w:rPr>
                <w:rFonts w:ascii="宋体" w:hAnsi="宋体" w:cs="宋体" w:eastAsia="宋体" w:hint="default"/>
                <w:sz w:val="16"/>
                <w:szCs w:val="16"/>
              </w:rPr>
              <w:t>持股比例（</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r>
      <w:tr>
        <w:trPr>
          <w:trHeight w:val="342" w:hRule="exact"/>
        </w:trPr>
        <w:tc>
          <w:tcPr>
            <w:tcW w:w="4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北京久其科技投资有限公司</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4"/>
              <w:jc w:val="right"/>
              <w:rPr>
                <w:rFonts w:ascii="Times New Roman" w:hAnsi="Times New Roman" w:cs="Times New Roman" w:eastAsia="Times New Roman" w:hint="default"/>
                <w:sz w:val="16"/>
                <w:szCs w:val="16"/>
              </w:rPr>
            </w:pPr>
            <w:r>
              <w:rPr>
                <w:rFonts w:ascii="Times New Roman"/>
                <w:spacing w:val="-1"/>
                <w:sz w:val="16"/>
              </w:rPr>
              <w:t>164,527,890.00</w:t>
            </w:r>
          </w:p>
        </w:tc>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
              <w:jc w:val="right"/>
              <w:rPr>
                <w:rFonts w:ascii="Times New Roman" w:hAnsi="Times New Roman" w:cs="Times New Roman" w:eastAsia="Times New Roman" w:hint="default"/>
                <w:sz w:val="16"/>
                <w:szCs w:val="16"/>
              </w:rPr>
            </w:pPr>
            <w:r>
              <w:rPr>
                <w:rFonts w:ascii="Times New Roman"/>
                <w:w w:val="95"/>
                <w:sz w:val="16"/>
              </w:rPr>
              <w:t>23.13</w:t>
            </w:r>
            <w:r>
              <w:rPr>
                <w:rFonts w:ascii="Times New Roman"/>
                <w:sz w:val="16"/>
              </w:rPr>
            </w:r>
          </w:p>
        </w:tc>
      </w:tr>
      <w:tr>
        <w:trPr>
          <w:trHeight w:val="342" w:hRule="exact"/>
        </w:trPr>
        <w:tc>
          <w:tcPr>
            <w:tcW w:w="4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董泰湘</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
              <w:jc w:val="right"/>
              <w:rPr>
                <w:rFonts w:ascii="Times New Roman" w:hAnsi="Times New Roman" w:cs="Times New Roman" w:eastAsia="Times New Roman" w:hint="default"/>
                <w:sz w:val="16"/>
                <w:szCs w:val="16"/>
              </w:rPr>
            </w:pPr>
            <w:r>
              <w:rPr>
                <w:rFonts w:ascii="Times New Roman"/>
                <w:spacing w:val="-1"/>
                <w:sz w:val="16"/>
              </w:rPr>
              <w:t>107,610,093.00</w:t>
            </w:r>
          </w:p>
        </w:tc>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
              <w:jc w:val="right"/>
              <w:rPr>
                <w:rFonts w:ascii="Times New Roman" w:hAnsi="Times New Roman" w:cs="Times New Roman" w:eastAsia="Times New Roman" w:hint="default"/>
                <w:sz w:val="16"/>
                <w:szCs w:val="16"/>
              </w:rPr>
            </w:pPr>
            <w:r>
              <w:rPr>
                <w:rFonts w:ascii="Times New Roman"/>
                <w:w w:val="95"/>
                <w:sz w:val="16"/>
              </w:rPr>
              <w:t>15.13</w:t>
            </w:r>
            <w:r>
              <w:rPr>
                <w:rFonts w:ascii="Times New Roman"/>
                <w:sz w:val="16"/>
              </w:rPr>
            </w:r>
          </w:p>
        </w:tc>
      </w:tr>
      <w:tr>
        <w:trPr>
          <w:trHeight w:val="342" w:hRule="exact"/>
        </w:trPr>
        <w:tc>
          <w:tcPr>
            <w:tcW w:w="4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赵福君</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
              <w:jc w:val="right"/>
              <w:rPr>
                <w:rFonts w:ascii="Times New Roman" w:hAnsi="Times New Roman" w:cs="Times New Roman" w:eastAsia="Times New Roman" w:hint="default"/>
                <w:sz w:val="16"/>
                <w:szCs w:val="16"/>
              </w:rPr>
            </w:pPr>
            <w:r>
              <w:rPr>
                <w:rFonts w:ascii="Times New Roman"/>
                <w:w w:val="95"/>
                <w:sz w:val="16"/>
              </w:rPr>
              <w:t>78,265,507.00</w:t>
            </w:r>
            <w:r>
              <w:rPr>
                <w:rFonts w:ascii="Times New Roman"/>
                <w:sz w:val="16"/>
              </w:rPr>
            </w:r>
          </w:p>
        </w:tc>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
              <w:jc w:val="right"/>
              <w:rPr>
                <w:rFonts w:ascii="Times New Roman" w:hAnsi="Times New Roman" w:cs="Times New Roman" w:eastAsia="Times New Roman" w:hint="default"/>
                <w:sz w:val="16"/>
                <w:szCs w:val="16"/>
              </w:rPr>
            </w:pPr>
            <w:r>
              <w:rPr>
                <w:rFonts w:ascii="Times New Roman"/>
                <w:w w:val="95"/>
                <w:sz w:val="16"/>
              </w:rPr>
              <w:t>11.00</w:t>
            </w:r>
            <w:r>
              <w:rPr>
                <w:rFonts w:ascii="Times New Roman"/>
                <w:sz w:val="16"/>
              </w:rPr>
            </w:r>
          </w:p>
        </w:tc>
      </w:tr>
      <w:tr>
        <w:trPr>
          <w:trHeight w:val="342" w:hRule="exact"/>
        </w:trPr>
        <w:tc>
          <w:tcPr>
            <w:tcW w:w="4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欧阳曜</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
              <w:jc w:val="right"/>
              <w:rPr>
                <w:rFonts w:ascii="Times New Roman" w:hAnsi="Times New Roman" w:cs="Times New Roman" w:eastAsia="Times New Roman" w:hint="default"/>
                <w:sz w:val="16"/>
                <w:szCs w:val="16"/>
              </w:rPr>
            </w:pPr>
            <w:r>
              <w:rPr>
                <w:rFonts w:ascii="Times New Roman"/>
                <w:w w:val="95"/>
                <w:sz w:val="16"/>
              </w:rPr>
              <w:t>17,783,301.00</w:t>
            </w:r>
            <w:r>
              <w:rPr>
                <w:rFonts w:ascii="Times New Roman"/>
                <w:sz w:val="16"/>
              </w:rPr>
            </w:r>
          </w:p>
        </w:tc>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
              <w:jc w:val="right"/>
              <w:rPr>
                <w:rFonts w:ascii="Times New Roman" w:hAnsi="Times New Roman" w:cs="Times New Roman" w:eastAsia="Times New Roman" w:hint="default"/>
                <w:sz w:val="16"/>
                <w:szCs w:val="16"/>
              </w:rPr>
            </w:pPr>
            <w:r>
              <w:rPr>
                <w:rFonts w:ascii="Times New Roman"/>
                <w:w w:val="95"/>
                <w:sz w:val="16"/>
              </w:rPr>
              <w:t>2.50</w:t>
            </w:r>
            <w:r>
              <w:rPr>
                <w:rFonts w:ascii="Times New Roman"/>
                <w:sz w:val="16"/>
              </w:rPr>
            </w:r>
          </w:p>
        </w:tc>
      </w:tr>
      <w:tr>
        <w:trPr>
          <w:trHeight w:val="342" w:hRule="exact"/>
        </w:trPr>
        <w:tc>
          <w:tcPr>
            <w:tcW w:w="4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王新</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
              <w:jc w:val="right"/>
              <w:rPr>
                <w:rFonts w:ascii="Times New Roman" w:hAnsi="Times New Roman" w:cs="Times New Roman" w:eastAsia="Times New Roman" w:hint="default"/>
                <w:sz w:val="16"/>
                <w:szCs w:val="16"/>
              </w:rPr>
            </w:pPr>
            <w:r>
              <w:rPr>
                <w:rFonts w:ascii="Times New Roman"/>
                <w:w w:val="95"/>
                <w:sz w:val="16"/>
              </w:rPr>
              <w:t>16,378,304.00</w:t>
            </w:r>
            <w:r>
              <w:rPr>
                <w:rFonts w:ascii="Times New Roman"/>
                <w:sz w:val="16"/>
              </w:rPr>
            </w:r>
          </w:p>
        </w:tc>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
              <w:jc w:val="right"/>
              <w:rPr>
                <w:rFonts w:ascii="Times New Roman" w:hAnsi="Times New Roman" w:cs="Times New Roman" w:eastAsia="Times New Roman" w:hint="default"/>
                <w:sz w:val="16"/>
                <w:szCs w:val="16"/>
              </w:rPr>
            </w:pPr>
            <w:r>
              <w:rPr>
                <w:rFonts w:ascii="Times New Roman"/>
                <w:w w:val="95"/>
                <w:sz w:val="16"/>
              </w:rPr>
              <w:t>2.30</w:t>
            </w:r>
            <w:r>
              <w:rPr>
                <w:rFonts w:ascii="Times New Roman"/>
                <w:sz w:val="16"/>
              </w:rPr>
            </w:r>
          </w:p>
        </w:tc>
      </w:tr>
      <w:tr>
        <w:trPr>
          <w:trHeight w:val="342" w:hRule="exact"/>
        </w:trPr>
        <w:tc>
          <w:tcPr>
            <w:tcW w:w="4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栗军</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
              <w:jc w:val="right"/>
              <w:rPr>
                <w:rFonts w:ascii="Times New Roman" w:hAnsi="Times New Roman" w:cs="Times New Roman" w:eastAsia="Times New Roman" w:hint="default"/>
                <w:sz w:val="16"/>
                <w:szCs w:val="16"/>
              </w:rPr>
            </w:pPr>
            <w:r>
              <w:rPr>
                <w:rFonts w:ascii="Times New Roman"/>
                <w:w w:val="95"/>
                <w:sz w:val="16"/>
              </w:rPr>
              <w:t>14,997,347.00</w:t>
            </w:r>
            <w:r>
              <w:rPr>
                <w:rFonts w:ascii="Times New Roman"/>
                <w:sz w:val="16"/>
              </w:rPr>
            </w:r>
          </w:p>
        </w:tc>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
              <w:jc w:val="right"/>
              <w:rPr>
                <w:rFonts w:ascii="Times New Roman" w:hAnsi="Times New Roman" w:cs="Times New Roman" w:eastAsia="Times New Roman" w:hint="default"/>
                <w:sz w:val="16"/>
                <w:szCs w:val="16"/>
              </w:rPr>
            </w:pPr>
            <w:r>
              <w:rPr>
                <w:rFonts w:ascii="Times New Roman"/>
                <w:w w:val="95"/>
                <w:sz w:val="16"/>
              </w:rPr>
              <w:t>2.11</w:t>
            </w:r>
            <w:r>
              <w:rPr>
                <w:rFonts w:ascii="Times New Roman"/>
                <w:sz w:val="16"/>
              </w:rPr>
            </w:r>
          </w:p>
        </w:tc>
      </w:tr>
      <w:tr>
        <w:trPr>
          <w:trHeight w:val="342" w:hRule="exact"/>
        </w:trPr>
        <w:tc>
          <w:tcPr>
            <w:tcW w:w="4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李勇</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
              <w:jc w:val="right"/>
              <w:rPr>
                <w:rFonts w:ascii="Times New Roman" w:hAnsi="Times New Roman" w:cs="Times New Roman" w:eastAsia="Times New Roman" w:hint="default"/>
                <w:sz w:val="16"/>
                <w:szCs w:val="16"/>
              </w:rPr>
            </w:pPr>
            <w:r>
              <w:rPr>
                <w:rFonts w:ascii="Times New Roman"/>
                <w:w w:val="95"/>
                <w:sz w:val="16"/>
              </w:rPr>
              <w:t>11,893,798.00</w:t>
            </w:r>
            <w:r>
              <w:rPr>
                <w:rFonts w:ascii="Times New Roman"/>
                <w:sz w:val="16"/>
              </w:rPr>
            </w:r>
          </w:p>
        </w:tc>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
              <w:jc w:val="right"/>
              <w:rPr>
                <w:rFonts w:ascii="Times New Roman" w:hAnsi="Times New Roman" w:cs="Times New Roman" w:eastAsia="Times New Roman" w:hint="default"/>
                <w:sz w:val="16"/>
                <w:szCs w:val="16"/>
              </w:rPr>
            </w:pPr>
            <w:r>
              <w:rPr>
                <w:rFonts w:ascii="Times New Roman"/>
                <w:w w:val="95"/>
                <w:sz w:val="16"/>
              </w:rPr>
              <w:t>1.67</w:t>
            </w:r>
            <w:r>
              <w:rPr>
                <w:rFonts w:ascii="Times New Roman"/>
                <w:sz w:val="16"/>
              </w:rPr>
            </w:r>
          </w:p>
        </w:tc>
      </w:tr>
      <w:tr>
        <w:trPr>
          <w:trHeight w:val="342" w:hRule="exact"/>
        </w:trPr>
        <w:tc>
          <w:tcPr>
            <w:tcW w:w="4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沈栋梁</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
              <w:jc w:val="right"/>
              <w:rPr>
                <w:rFonts w:ascii="Times New Roman" w:hAnsi="Times New Roman" w:cs="Times New Roman" w:eastAsia="Times New Roman" w:hint="default"/>
                <w:sz w:val="16"/>
                <w:szCs w:val="16"/>
              </w:rPr>
            </w:pPr>
            <w:r>
              <w:rPr>
                <w:rFonts w:ascii="Times New Roman"/>
                <w:spacing w:val="-1"/>
                <w:sz w:val="16"/>
              </w:rPr>
              <w:t>5,597,781.00</w:t>
            </w:r>
          </w:p>
        </w:tc>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
              <w:jc w:val="right"/>
              <w:rPr>
                <w:rFonts w:ascii="Times New Roman" w:hAnsi="Times New Roman" w:cs="Times New Roman" w:eastAsia="Times New Roman" w:hint="default"/>
                <w:sz w:val="16"/>
                <w:szCs w:val="16"/>
              </w:rPr>
            </w:pPr>
            <w:r>
              <w:rPr>
                <w:rFonts w:ascii="Times New Roman"/>
                <w:w w:val="95"/>
                <w:sz w:val="16"/>
              </w:rPr>
              <w:t>0.79</w:t>
            </w:r>
            <w:r>
              <w:rPr>
                <w:rFonts w:ascii="Times New Roman"/>
                <w:sz w:val="16"/>
              </w:rPr>
            </w:r>
          </w:p>
        </w:tc>
      </w:tr>
      <w:tr>
        <w:trPr>
          <w:trHeight w:val="342" w:hRule="exact"/>
        </w:trPr>
        <w:tc>
          <w:tcPr>
            <w:tcW w:w="4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深圳尚道众盈二号投资合伙企业（有限合伙）</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
              <w:jc w:val="right"/>
              <w:rPr>
                <w:rFonts w:ascii="Times New Roman" w:hAnsi="Times New Roman" w:cs="Times New Roman" w:eastAsia="Times New Roman" w:hint="default"/>
                <w:sz w:val="16"/>
                <w:szCs w:val="16"/>
              </w:rPr>
            </w:pPr>
            <w:r>
              <w:rPr>
                <w:rFonts w:ascii="Times New Roman"/>
                <w:spacing w:val="-1"/>
                <w:sz w:val="16"/>
              </w:rPr>
              <w:t>4,896,475.00</w:t>
            </w:r>
          </w:p>
        </w:tc>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
              <w:jc w:val="right"/>
              <w:rPr>
                <w:rFonts w:ascii="Times New Roman" w:hAnsi="Times New Roman" w:cs="Times New Roman" w:eastAsia="Times New Roman" w:hint="default"/>
                <w:sz w:val="16"/>
                <w:szCs w:val="16"/>
              </w:rPr>
            </w:pPr>
            <w:r>
              <w:rPr>
                <w:rFonts w:ascii="Times New Roman"/>
                <w:w w:val="95"/>
                <w:sz w:val="16"/>
              </w:rPr>
              <w:t>0.69</w:t>
            </w:r>
            <w:r>
              <w:rPr>
                <w:rFonts w:ascii="Times New Roman"/>
                <w:sz w:val="16"/>
              </w:rPr>
            </w:r>
          </w:p>
        </w:tc>
      </w:tr>
      <w:tr>
        <w:trPr>
          <w:trHeight w:val="342" w:hRule="exact"/>
        </w:trPr>
        <w:tc>
          <w:tcPr>
            <w:tcW w:w="4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其他社会公众股</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4"/>
              <w:jc w:val="right"/>
              <w:rPr>
                <w:rFonts w:ascii="Times New Roman" w:hAnsi="Times New Roman" w:cs="Times New Roman" w:eastAsia="Times New Roman" w:hint="default"/>
                <w:sz w:val="16"/>
                <w:szCs w:val="16"/>
              </w:rPr>
            </w:pPr>
            <w:r>
              <w:rPr>
                <w:rFonts w:ascii="Times New Roman"/>
                <w:spacing w:val="-1"/>
                <w:sz w:val="16"/>
              </w:rPr>
              <w:t>289,276,082.00</w:t>
            </w:r>
          </w:p>
        </w:tc>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
              <w:jc w:val="right"/>
              <w:rPr>
                <w:rFonts w:ascii="Times New Roman" w:hAnsi="Times New Roman" w:cs="Times New Roman" w:eastAsia="Times New Roman" w:hint="default"/>
                <w:sz w:val="16"/>
                <w:szCs w:val="16"/>
              </w:rPr>
            </w:pPr>
            <w:r>
              <w:rPr>
                <w:rFonts w:ascii="Times New Roman"/>
                <w:w w:val="95"/>
                <w:sz w:val="16"/>
              </w:rPr>
              <w:t>40.68</w:t>
            </w:r>
            <w:r>
              <w:rPr>
                <w:rFonts w:ascii="Times New Roman"/>
                <w:sz w:val="16"/>
              </w:rPr>
            </w:r>
          </w:p>
        </w:tc>
      </w:tr>
      <w:tr>
        <w:trPr>
          <w:trHeight w:val="342" w:hRule="exact"/>
        </w:trPr>
        <w:tc>
          <w:tcPr>
            <w:tcW w:w="4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24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2"/>
              <w:ind w:right="4"/>
              <w:jc w:val="right"/>
              <w:rPr>
                <w:rFonts w:ascii="Times New Roman" w:hAnsi="Times New Roman" w:cs="Times New Roman" w:eastAsia="Times New Roman" w:hint="default"/>
                <w:sz w:val="16"/>
                <w:szCs w:val="16"/>
              </w:rPr>
            </w:pPr>
            <w:r>
              <w:rPr>
                <w:rFonts w:ascii="Times New Roman"/>
                <w:spacing w:val="-1"/>
                <w:sz w:val="16"/>
              </w:rPr>
              <w:t>711,226,578.00</w:t>
            </w:r>
          </w:p>
        </w:tc>
        <w:tc>
          <w:tcPr>
            <w:tcW w:w="27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2"/>
              <w:ind w:right="4"/>
              <w:jc w:val="right"/>
              <w:rPr>
                <w:rFonts w:ascii="Times New Roman" w:hAnsi="Times New Roman" w:cs="Times New Roman" w:eastAsia="Times New Roman" w:hint="default"/>
                <w:sz w:val="16"/>
                <w:szCs w:val="16"/>
              </w:rPr>
            </w:pPr>
            <w:r>
              <w:rPr>
                <w:rFonts w:ascii="Times New Roman"/>
                <w:w w:val="95"/>
                <w:sz w:val="16"/>
              </w:rPr>
              <w:t>100.00</w:t>
            </w:r>
            <w:r>
              <w:rPr>
                <w:rFonts w:ascii="Times New Roman"/>
                <w:sz w:val="16"/>
              </w:rPr>
            </w:r>
          </w:p>
        </w:tc>
      </w:tr>
    </w:tbl>
    <w:p>
      <w:pPr>
        <w:pStyle w:val="BodyText"/>
        <w:spacing w:line="300" w:lineRule="auto" w:before="10"/>
        <w:ind w:right="6882"/>
        <w:jc w:val="left"/>
      </w:pPr>
      <w:r>
        <w:rPr/>
        <w:t>公司统一社会信用代码：</w:t>
      </w:r>
      <w:r>
        <w:rPr>
          <w:rFonts w:ascii="Times New Roman" w:hAnsi="Times New Roman" w:cs="Times New Roman" w:eastAsia="Times New Roman" w:hint="default"/>
        </w:rPr>
        <w:t>911100007177242684 </w:t>
      </w:r>
      <w:r>
        <w:rPr/>
        <w:t>公司注册地址：北京市海淀区文慧园甲</w:t>
      </w:r>
      <w:r>
        <w:rPr>
          <w:rFonts w:ascii="Times New Roman" w:hAnsi="Times New Roman" w:cs="Times New Roman" w:eastAsia="Times New Roman" w:hint="default"/>
        </w:rPr>
        <w:t>12</w:t>
      </w:r>
      <w:r>
        <w:rPr/>
        <w:t>号楼</w:t>
      </w:r>
      <w:r>
        <w:rPr>
          <w:rFonts w:ascii="Times New Roman" w:hAnsi="Times New Roman" w:cs="Times New Roman" w:eastAsia="Times New Roman" w:hint="default"/>
        </w:rPr>
        <w:t>1</w:t>
      </w:r>
      <w:r>
        <w:rPr/>
        <w:t>层 公司注册资本：</w:t>
      </w:r>
      <w:r>
        <w:rPr>
          <w:rFonts w:ascii="Times New Roman" w:hAnsi="Times New Roman" w:cs="Times New Roman" w:eastAsia="Times New Roman" w:hint="default"/>
        </w:rPr>
        <w:t>711,226,578.00</w:t>
      </w:r>
      <w:r>
        <w:rPr/>
        <w:t>元 公司法定代表人：赵福君</w:t>
      </w:r>
    </w:p>
    <w:p>
      <w:pPr>
        <w:pStyle w:val="BodyText"/>
        <w:spacing w:line="240" w:lineRule="auto" w:before="31"/>
        <w:ind w:right="0"/>
        <w:jc w:val="left"/>
      </w:pPr>
      <w:r>
        <w:rPr/>
        <w:t>公司行业性质：公司隶属于软件和信息技术服务业，主要从事电子政务、集团管控和数字传播领域的软件研发和管理咨询服</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1032"/>
        <w:jc w:val="left"/>
      </w:pPr>
      <w:r>
        <w:rPr/>
        <w:t>务，利用大数据技术和资源为客户创造价值。 </w:t>
      </w:r>
      <w:r>
        <w:rPr>
          <w:spacing w:val="-5"/>
        </w:rPr>
        <w:t>公司经营范围：电子计算机软件、硬件及外部设备的技术开发、技术咨询、技术转让、技术服务、技术培训；经济贸易咨询、</w:t>
      </w:r>
      <w:r>
        <w:rPr>
          <w:spacing w:val="-81"/>
        </w:rPr>
        <w:t> </w:t>
      </w:r>
      <w:r>
        <w:rPr>
          <w:spacing w:val="-81"/>
        </w:rPr>
      </w:r>
      <w:r>
        <w:rPr>
          <w:spacing w:val="-2"/>
        </w:rPr>
        <w:t>企业管理咨询；计算机系统服务；销售（含网上销售）电子计算机软硬件及外部设备、打印纸及计算机耗材；计算机及外部</w:t>
      </w:r>
      <w:r>
        <w:rPr>
          <w:spacing w:val="-68"/>
        </w:rPr>
        <w:t> </w:t>
      </w:r>
      <w:r>
        <w:rPr>
          <w:spacing w:val="-68"/>
        </w:rPr>
      </w:r>
      <w:r>
        <w:rPr/>
        <w:t>设备租赁；技术进出口、货物进出口、代理进出口；互联网信息服务业务；第一类增值电信业务中的因特网数据中心业务。</w:t>
      </w:r>
    </w:p>
    <w:p>
      <w:pPr>
        <w:pStyle w:val="BodyText"/>
        <w:spacing w:line="316" w:lineRule="auto" w:before="19"/>
        <w:ind w:right="1032"/>
        <w:jc w:val="left"/>
      </w:pPr>
      <w:r>
        <w:rPr/>
        <w:t>（第一类增值电信业务中的因特网数据中心业务以及依法须经批准的项目，经相关部门批准后依批准的内容开展经营活动；</w:t>
      </w:r>
      <w:r>
        <w:rPr>
          <w:spacing w:val="-85"/>
        </w:rPr>
        <w:t> </w:t>
      </w:r>
      <w:r>
        <w:rPr>
          <w:spacing w:val="-85"/>
        </w:rPr>
      </w:r>
      <w:r>
        <w:rPr/>
        <w:t>不得从事本市产业政策禁止和限制类项目的经营活动。）</w:t>
      </w:r>
    </w:p>
    <w:p>
      <w:pPr>
        <w:pStyle w:val="BodyText"/>
        <w:spacing w:line="240" w:lineRule="auto" w:before="19"/>
        <w:ind w:right="0"/>
        <w:jc w:val="left"/>
      </w:pPr>
      <w:r>
        <w:rPr/>
        <w:t>本财务报表业经公司董事会于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日批准报出。</w:t>
      </w:r>
    </w:p>
    <w:p>
      <w:pPr>
        <w:spacing w:line="240" w:lineRule="auto" w:before="0"/>
        <w:rPr>
          <w:rFonts w:ascii="宋体" w:hAnsi="宋体" w:cs="宋体" w:eastAsia="宋体" w:hint="default"/>
          <w:sz w:val="18"/>
          <w:szCs w:val="18"/>
        </w:rPr>
      </w:pPr>
    </w:p>
    <w:p>
      <w:pPr>
        <w:pStyle w:val="BodyText"/>
        <w:spacing w:line="316" w:lineRule="auto" w:before="139"/>
        <w:ind w:right="5532"/>
        <w:jc w:val="left"/>
      </w:pPr>
      <w:r>
        <w:rPr/>
        <w:t>（二）合并财务报表范围 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tbl>
      <w:tblPr>
        <w:tblW w:w="0" w:type="auto"/>
        <w:jc w:val="left"/>
        <w:tblInd w:w="139" w:type="dxa"/>
        <w:tblLayout w:type="fixed"/>
        <w:tblCellMar>
          <w:top w:w="0" w:type="dxa"/>
          <w:left w:w="0" w:type="dxa"/>
          <w:bottom w:w="0" w:type="dxa"/>
          <w:right w:w="0" w:type="dxa"/>
        </w:tblCellMar>
        <w:tblLook w:val="01E0"/>
      </w:tblPr>
      <w:tblGrid>
        <w:gridCol w:w="9659"/>
      </w:tblGrid>
      <w:tr>
        <w:trPr>
          <w:trHeight w:val="337" w:hRule="exact"/>
        </w:trPr>
        <w:tc>
          <w:tcPr>
            <w:tcW w:w="96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5"/>
              <w:ind w:left="-1" w:right="0"/>
              <w:jc w:val="center"/>
              <w:rPr>
                <w:rFonts w:ascii="宋体" w:hAnsi="宋体" w:cs="宋体" w:eastAsia="宋体" w:hint="default"/>
                <w:sz w:val="16"/>
                <w:szCs w:val="16"/>
              </w:rPr>
            </w:pPr>
            <w:r>
              <w:rPr>
                <w:rFonts w:ascii="宋体" w:hAnsi="宋体" w:cs="宋体" w:eastAsia="宋体" w:hint="default"/>
                <w:sz w:val="16"/>
                <w:szCs w:val="16"/>
              </w:rPr>
              <w:t>子公司名称</w:t>
            </w:r>
          </w:p>
        </w:tc>
      </w:tr>
      <w:tr>
        <w:trPr>
          <w:trHeight w:val="342" w:hRule="exact"/>
        </w:trPr>
        <w:tc>
          <w:tcPr>
            <w:tcW w:w="9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left"/>
              <w:rPr>
                <w:rFonts w:ascii="宋体" w:hAnsi="宋体" w:cs="宋体" w:eastAsia="宋体" w:hint="default"/>
                <w:sz w:val="16"/>
                <w:szCs w:val="16"/>
              </w:rPr>
            </w:pPr>
            <w:r>
              <w:rPr>
                <w:rFonts w:ascii="宋体" w:hAnsi="宋体" w:cs="宋体" w:eastAsia="宋体" w:hint="default"/>
                <w:sz w:val="16"/>
                <w:szCs w:val="16"/>
              </w:rPr>
              <w:t>西安久其软件有限公司</w:t>
            </w:r>
          </w:p>
        </w:tc>
      </w:tr>
      <w:tr>
        <w:trPr>
          <w:trHeight w:val="342" w:hRule="exact"/>
        </w:trPr>
        <w:tc>
          <w:tcPr>
            <w:tcW w:w="9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left"/>
              <w:rPr>
                <w:rFonts w:ascii="宋体" w:hAnsi="宋体" w:cs="宋体" w:eastAsia="宋体" w:hint="default"/>
                <w:sz w:val="16"/>
                <w:szCs w:val="16"/>
              </w:rPr>
            </w:pPr>
            <w:r>
              <w:rPr>
                <w:rFonts w:ascii="宋体" w:hAnsi="宋体" w:cs="宋体" w:eastAsia="宋体" w:hint="default"/>
                <w:sz w:val="16"/>
                <w:szCs w:val="16"/>
              </w:rPr>
              <w:t>上海久其软件有限公司</w:t>
            </w:r>
          </w:p>
        </w:tc>
      </w:tr>
      <w:tr>
        <w:trPr>
          <w:trHeight w:val="342" w:hRule="exact"/>
        </w:trPr>
        <w:tc>
          <w:tcPr>
            <w:tcW w:w="9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left"/>
              <w:rPr>
                <w:rFonts w:ascii="宋体" w:hAnsi="宋体" w:cs="宋体" w:eastAsia="宋体" w:hint="default"/>
                <w:sz w:val="16"/>
                <w:szCs w:val="16"/>
              </w:rPr>
            </w:pPr>
            <w:r>
              <w:rPr>
                <w:rFonts w:ascii="宋体" w:hAnsi="宋体" w:cs="宋体" w:eastAsia="宋体" w:hint="default"/>
                <w:sz w:val="16"/>
                <w:szCs w:val="16"/>
              </w:rPr>
              <w:t>成都久其软件有限公司</w:t>
            </w:r>
          </w:p>
        </w:tc>
      </w:tr>
      <w:tr>
        <w:trPr>
          <w:trHeight w:val="342" w:hRule="exact"/>
        </w:trPr>
        <w:tc>
          <w:tcPr>
            <w:tcW w:w="9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left"/>
              <w:rPr>
                <w:rFonts w:ascii="宋体" w:hAnsi="宋体" w:cs="宋体" w:eastAsia="宋体" w:hint="default"/>
                <w:sz w:val="16"/>
                <w:szCs w:val="16"/>
              </w:rPr>
            </w:pPr>
            <w:r>
              <w:rPr>
                <w:rFonts w:ascii="宋体" w:hAnsi="宋体" w:cs="宋体" w:eastAsia="宋体" w:hint="default"/>
                <w:sz w:val="16"/>
                <w:szCs w:val="16"/>
              </w:rPr>
              <w:t>广东久其软件有限公司</w:t>
            </w:r>
          </w:p>
        </w:tc>
      </w:tr>
      <w:tr>
        <w:trPr>
          <w:trHeight w:val="342" w:hRule="exact"/>
        </w:trPr>
        <w:tc>
          <w:tcPr>
            <w:tcW w:w="9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left"/>
              <w:rPr>
                <w:rFonts w:ascii="宋体" w:hAnsi="宋体" w:cs="宋体" w:eastAsia="宋体" w:hint="default"/>
                <w:sz w:val="16"/>
                <w:szCs w:val="16"/>
              </w:rPr>
            </w:pPr>
            <w:r>
              <w:rPr>
                <w:rFonts w:ascii="宋体" w:hAnsi="宋体" w:cs="宋体" w:eastAsia="宋体" w:hint="default"/>
                <w:sz w:val="16"/>
                <w:szCs w:val="16"/>
              </w:rPr>
              <w:t>北京久其政务软件股份有限公司</w:t>
            </w:r>
          </w:p>
        </w:tc>
      </w:tr>
      <w:tr>
        <w:trPr>
          <w:trHeight w:val="342" w:hRule="exact"/>
        </w:trPr>
        <w:tc>
          <w:tcPr>
            <w:tcW w:w="9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left"/>
              <w:rPr>
                <w:rFonts w:ascii="宋体" w:hAnsi="宋体" w:cs="宋体" w:eastAsia="宋体" w:hint="default"/>
                <w:sz w:val="16"/>
                <w:szCs w:val="16"/>
              </w:rPr>
            </w:pPr>
            <w:r>
              <w:rPr>
                <w:rFonts w:ascii="宋体" w:hAnsi="宋体" w:cs="宋体" w:eastAsia="宋体" w:hint="default"/>
                <w:sz w:val="16"/>
                <w:szCs w:val="16"/>
              </w:rPr>
              <w:t>新疆久其科技有限公司</w:t>
            </w:r>
          </w:p>
        </w:tc>
      </w:tr>
      <w:tr>
        <w:trPr>
          <w:trHeight w:val="342" w:hRule="exact"/>
        </w:trPr>
        <w:tc>
          <w:tcPr>
            <w:tcW w:w="9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left"/>
              <w:rPr>
                <w:rFonts w:ascii="宋体" w:hAnsi="宋体" w:cs="宋体" w:eastAsia="宋体" w:hint="default"/>
                <w:sz w:val="16"/>
                <w:szCs w:val="16"/>
              </w:rPr>
            </w:pPr>
            <w:r>
              <w:rPr>
                <w:rFonts w:ascii="宋体" w:hAnsi="宋体" w:cs="宋体" w:eastAsia="宋体" w:hint="default"/>
                <w:sz w:val="16"/>
                <w:szCs w:val="16"/>
              </w:rPr>
              <w:t>重庆久其软件有限公司</w:t>
            </w:r>
          </w:p>
        </w:tc>
      </w:tr>
      <w:tr>
        <w:trPr>
          <w:trHeight w:val="342" w:hRule="exact"/>
        </w:trPr>
        <w:tc>
          <w:tcPr>
            <w:tcW w:w="9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left"/>
              <w:rPr>
                <w:rFonts w:ascii="宋体" w:hAnsi="宋体" w:cs="宋体" w:eastAsia="宋体" w:hint="default"/>
                <w:sz w:val="16"/>
                <w:szCs w:val="16"/>
              </w:rPr>
            </w:pPr>
            <w:r>
              <w:rPr>
                <w:rFonts w:ascii="宋体" w:hAnsi="宋体" w:cs="宋体" w:eastAsia="宋体" w:hint="default"/>
                <w:sz w:val="16"/>
                <w:szCs w:val="16"/>
              </w:rPr>
              <w:t>海南久其云计算科技有限公司</w:t>
            </w:r>
          </w:p>
        </w:tc>
      </w:tr>
      <w:tr>
        <w:trPr>
          <w:trHeight w:val="342" w:hRule="exact"/>
        </w:trPr>
        <w:tc>
          <w:tcPr>
            <w:tcW w:w="9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left"/>
              <w:rPr>
                <w:rFonts w:ascii="宋体" w:hAnsi="宋体" w:cs="宋体" w:eastAsia="宋体" w:hint="default"/>
                <w:sz w:val="16"/>
                <w:szCs w:val="16"/>
              </w:rPr>
            </w:pPr>
            <w:r>
              <w:rPr>
                <w:rFonts w:ascii="宋体" w:hAnsi="宋体" w:cs="宋体" w:eastAsia="宋体" w:hint="default"/>
                <w:sz w:val="16"/>
                <w:szCs w:val="16"/>
              </w:rPr>
              <w:t>北京久其智通数据科技有限公司</w:t>
            </w:r>
          </w:p>
        </w:tc>
      </w:tr>
      <w:tr>
        <w:trPr>
          <w:trHeight w:val="342" w:hRule="exact"/>
        </w:trPr>
        <w:tc>
          <w:tcPr>
            <w:tcW w:w="9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left"/>
              <w:rPr>
                <w:rFonts w:ascii="宋体" w:hAnsi="宋体" w:cs="宋体" w:eastAsia="宋体" w:hint="default"/>
                <w:sz w:val="16"/>
                <w:szCs w:val="16"/>
              </w:rPr>
            </w:pPr>
            <w:r>
              <w:rPr>
                <w:rFonts w:ascii="宋体" w:hAnsi="宋体" w:cs="宋体" w:eastAsia="宋体" w:hint="default"/>
                <w:sz w:val="16"/>
                <w:szCs w:val="16"/>
              </w:rPr>
              <w:t>北京久其龙信数据科技有限公司</w:t>
            </w:r>
          </w:p>
        </w:tc>
      </w:tr>
      <w:tr>
        <w:trPr>
          <w:trHeight w:val="342" w:hRule="exact"/>
        </w:trPr>
        <w:tc>
          <w:tcPr>
            <w:tcW w:w="9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left"/>
              <w:rPr>
                <w:rFonts w:ascii="宋体" w:hAnsi="宋体" w:cs="宋体" w:eastAsia="宋体" w:hint="default"/>
                <w:sz w:val="16"/>
                <w:szCs w:val="16"/>
              </w:rPr>
            </w:pPr>
            <w:r>
              <w:rPr>
                <w:rFonts w:ascii="宋体" w:hAnsi="宋体" w:cs="宋体" w:eastAsia="宋体" w:hint="default"/>
                <w:sz w:val="16"/>
                <w:szCs w:val="16"/>
              </w:rPr>
              <w:t>北京久其互联网金融信息服务有限公司</w:t>
            </w:r>
          </w:p>
        </w:tc>
      </w:tr>
      <w:tr>
        <w:trPr>
          <w:trHeight w:val="342" w:hRule="exact"/>
        </w:trPr>
        <w:tc>
          <w:tcPr>
            <w:tcW w:w="9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left"/>
              <w:rPr>
                <w:rFonts w:ascii="宋体" w:hAnsi="宋体" w:cs="宋体" w:eastAsia="宋体" w:hint="default"/>
                <w:sz w:val="16"/>
                <w:szCs w:val="16"/>
              </w:rPr>
            </w:pPr>
            <w:r>
              <w:rPr>
                <w:rFonts w:ascii="宋体" w:hAnsi="宋体" w:cs="宋体" w:eastAsia="宋体" w:hint="default"/>
                <w:sz w:val="16"/>
                <w:szCs w:val="16"/>
              </w:rPr>
              <w:t>北京蜂语网络科技有限公司</w:t>
            </w:r>
          </w:p>
        </w:tc>
      </w:tr>
      <w:tr>
        <w:trPr>
          <w:trHeight w:val="342" w:hRule="exact"/>
        </w:trPr>
        <w:tc>
          <w:tcPr>
            <w:tcW w:w="9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left"/>
              <w:rPr>
                <w:rFonts w:ascii="宋体" w:hAnsi="宋体" w:cs="宋体" w:eastAsia="宋体" w:hint="default"/>
                <w:sz w:val="16"/>
                <w:szCs w:val="16"/>
              </w:rPr>
            </w:pPr>
            <w:r>
              <w:rPr>
                <w:rFonts w:ascii="宋体" w:hAnsi="宋体" w:cs="宋体" w:eastAsia="宋体" w:hint="default"/>
                <w:sz w:val="16"/>
                <w:szCs w:val="16"/>
              </w:rPr>
              <w:t>北京亿起联科技有限公司</w:t>
            </w:r>
          </w:p>
        </w:tc>
      </w:tr>
      <w:tr>
        <w:trPr>
          <w:trHeight w:val="342" w:hRule="exact"/>
        </w:trPr>
        <w:tc>
          <w:tcPr>
            <w:tcW w:w="9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left"/>
              <w:rPr>
                <w:rFonts w:ascii="宋体" w:hAnsi="宋体" w:cs="宋体" w:eastAsia="宋体" w:hint="default"/>
                <w:sz w:val="16"/>
                <w:szCs w:val="16"/>
              </w:rPr>
            </w:pPr>
            <w:r>
              <w:rPr>
                <w:rFonts w:ascii="宋体" w:hAnsi="宋体" w:cs="宋体" w:eastAsia="宋体" w:hint="default"/>
                <w:sz w:val="16"/>
                <w:szCs w:val="16"/>
              </w:rPr>
              <w:t>北京华夏电通科技有限公司</w:t>
            </w:r>
          </w:p>
        </w:tc>
      </w:tr>
      <w:tr>
        <w:trPr>
          <w:trHeight w:val="342" w:hRule="exact"/>
        </w:trPr>
        <w:tc>
          <w:tcPr>
            <w:tcW w:w="9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left"/>
              <w:rPr>
                <w:rFonts w:ascii="宋体" w:hAnsi="宋体" w:cs="宋体" w:eastAsia="宋体" w:hint="default"/>
                <w:sz w:val="16"/>
                <w:szCs w:val="16"/>
              </w:rPr>
            </w:pPr>
            <w:r>
              <w:rPr>
                <w:rFonts w:ascii="宋体" w:hAnsi="宋体" w:cs="宋体" w:eastAsia="宋体" w:hint="default"/>
                <w:sz w:val="16"/>
                <w:szCs w:val="16"/>
              </w:rPr>
              <w:t>北京中民颐养科技服务有限公司</w:t>
            </w:r>
          </w:p>
        </w:tc>
      </w:tr>
      <w:tr>
        <w:trPr>
          <w:trHeight w:val="342" w:hRule="exact"/>
        </w:trPr>
        <w:tc>
          <w:tcPr>
            <w:tcW w:w="9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left"/>
              <w:rPr>
                <w:rFonts w:ascii="宋体" w:hAnsi="宋体" w:cs="宋体" w:eastAsia="宋体" w:hint="default"/>
                <w:sz w:val="16"/>
                <w:szCs w:val="16"/>
              </w:rPr>
            </w:pPr>
            <w:r>
              <w:rPr>
                <w:rFonts w:ascii="宋体" w:hAnsi="宋体" w:cs="宋体" w:eastAsia="宋体" w:hint="default"/>
                <w:sz w:val="16"/>
                <w:szCs w:val="16"/>
              </w:rPr>
              <w:t>北京瑞意恒动科技有限公司</w:t>
            </w:r>
          </w:p>
        </w:tc>
      </w:tr>
      <w:tr>
        <w:trPr>
          <w:trHeight w:val="342" w:hRule="exact"/>
        </w:trPr>
        <w:tc>
          <w:tcPr>
            <w:tcW w:w="9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left"/>
              <w:rPr>
                <w:rFonts w:ascii="宋体" w:hAnsi="宋体" w:cs="宋体" w:eastAsia="宋体" w:hint="default"/>
                <w:sz w:val="16"/>
                <w:szCs w:val="16"/>
              </w:rPr>
            </w:pPr>
            <w:r>
              <w:rPr>
                <w:rFonts w:ascii="宋体" w:hAnsi="宋体" w:cs="宋体" w:eastAsia="宋体" w:hint="default"/>
                <w:sz w:val="16"/>
                <w:szCs w:val="16"/>
              </w:rPr>
              <w:t>海南久其互联网产业研究院有限公司</w:t>
            </w:r>
          </w:p>
        </w:tc>
      </w:tr>
      <w:tr>
        <w:trPr>
          <w:trHeight w:val="342" w:hRule="exact"/>
        </w:trPr>
        <w:tc>
          <w:tcPr>
            <w:tcW w:w="9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left"/>
              <w:rPr>
                <w:rFonts w:ascii="宋体" w:hAnsi="宋体" w:cs="宋体" w:eastAsia="宋体" w:hint="default"/>
                <w:sz w:val="16"/>
                <w:szCs w:val="16"/>
              </w:rPr>
            </w:pPr>
            <w:r>
              <w:rPr>
                <w:rFonts w:ascii="宋体" w:hAnsi="宋体" w:cs="宋体" w:eastAsia="宋体" w:hint="default"/>
                <w:sz w:val="16"/>
                <w:szCs w:val="16"/>
              </w:rPr>
              <w:t>深圳市久金保商业保理有限公司</w:t>
            </w:r>
          </w:p>
        </w:tc>
      </w:tr>
      <w:tr>
        <w:trPr>
          <w:trHeight w:val="342" w:hRule="exact"/>
        </w:trPr>
        <w:tc>
          <w:tcPr>
            <w:tcW w:w="9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left"/>
              <w:rPr>
                <w:rFonts w:ascii="宋体" w:hAnsi="宋体" w:cs="宋体" w:eastAsia="宋体" w:hint="default"/>
                <w:sz w:val="16"/>
                <w:szCs w:val="16"/>
              </w:rPr>
            </w:pPr>
            <w:r>
              <w:rPr>
                <w:rFonts w:ascii="宋体" w:hAnsi="宋体" w:cs="宋体" w:eastAsia="宋体" w:hint="default"/>
                <w:sz w:val="16"/>
                <w:szCs w:val="16"/>
              </w:rPr>
              <w:t>上海移通网络有限公司</w:t>
            </w:r>
          </w:p>
        </w:tc>
      </w:tr>
      <w:tr>
        <w:trPr>
          <w:trHeight w:val="342" w:hRule="exact"/>
        </w:trPr>
        <w:tc>
          <w:tcPr>
            <w:tcW w:w="9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left"/>
              <w:rPr>
                <w:rFonts w:ascii="宋体" w:hAnsi="宋体" w:cs="宋体" w:eastAsia="宋体" w:hint="default"/>
                <w:sz w:val="16"/>
                <w:szCs w:val="16"/>
              </w:rPr>
            </w:pPr>
            <w:r>
              <w:rPr>
                <w:rFonts w:ascii="宋体" w:hAnsi="宋体" w:cs="宋体" w:eastAsia="宋体" w:hint="default"/>
                <w:sz w:val="16"/>
                <w:szCs w:val="16"/>
              </w:rPr>
              <w:t>北京久其金建科技有限公司</w:t>
            </w:r>
          </w:p>
        </w:tc>
      </w:tr>
      <w:tr>
        <w:trPr>
          <w:trHeight w:val="342" w:hRule="exact"/>
        </w:trPr>
        <w:tc>
          <w:tcPr>
            <w:tcW w:w="9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left"/>
              <w:rPr>
                <w:rFonts w:ascii="宋体" w:hAnsi="宋体" w:cs="宋体" w:eastAsia="宋体" w:hint="default"/>
                <w:sz w:val="16"/>
                <w:szCs w:val="16"/>
              </w:rPr>
            </w:pPr>
            <w:r>
              <w:rPr>
                <w:rFonts w:ascii="宋体" w:hAnsi="宋体" w:cs="宋体" w:eastAsia="宋体" w:hint="default"/>
                <w:sz w:val="16"/>
                <w:szCs w:val="16"/>
              </w:rPr>
              <w:t>久其数字传播有限公司</w:t>
            </w:r>
          </w:p>
        </w:tc>
      </w:tr>
      <w:tr>
        <w:trPr>
          <w:trHeight w:val="342" w:hRule="exact"/>
        </w:trPr>
        <w:tc>
          <w:tcPr>
            <w:tcW w:w="9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left"/>
              <w:rPr>
                <w:rFonts w:ascii="宋体" w:hAnsi="宋体" w:cs="宋体" w:eastAsia="宋体" w:hint="default"/>
                <w:sz w:val="16"/>
                <w:szCs w:val="16"/>
              </w:rPr>
            </w:pPr>
            <w:r>
              <w:rPr>
                <w:rFonts w:ascii="宋体" w:hAnsi="宋体" w:cs="宋体" w:eastAsia="宋体" w:hint="default"/>
                <w:sz w:val="16"/>
                <w:szCs w:val="16"/>
              </w:rPr>
              <w:t>雄安久其数字科技有限公司</w:t>
            </w:r>
          </w:p>
        </w:tc>
      </w:tr>
    </w:tbl>
    <w:p>
      <w:pPr>
        <w:pStyle w:val="BodyText"/>
        <w:spacing w:line="240" w:lineRule="auto" w:before="4"/>
        <w:ind w:right="0"/>
        <w:jc w:val="both"/>
      </w:pPr>
      <w:r>
        <w:rPr/>
        <w:t>本期合并财务报表范围及其变化情况详见</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bookmarkStart w:name="四、财务报表的编制基础" w:id="181"/>
      <w:bookmarkEnd w:id="181"/>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编制基础" w:id="182"/>
      <w:bookmarkEnd w:id="182"/>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9"/>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基本准则》和各项具体会计准</w:t>
      </w:r>
      <w:r>
        <w:rPr>
          <w:spacing w:val="-66"/>
        </w:rPr>
        <w:t> </w:t>
      </w:r>
      <w:r>
        <w:rPr>
          <w:spacing w:val="-66"/>
        </w:rPr>
      </w:r>
      <w:r>
        <w:rPr>
          <w:spacing w:val="-2"/>
        </w:rPr>
        <w:t>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w:t>
      </w:r>
      <w:r>
        <w:rPr>
          <w:spacing w:val="-47"/>
        </w:rPr>
        <w:t> </w:t>
      </w:r>
      <w:r>
        <w:rPr>
          <w:spacing w:val="-47"/>
        </w:rPr>
      </w:r>
      <w:r>
        <w:rPr/>
        <w:t>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6"/>
        </w:rPr>
        <w:t> </w:t>
      </w:r>
      <w:r>
        <w:rPr/>
        <w:t>号</w:t>
      </w:r>
      <w:r>
        <w:rPr>
          <w:rFonts w:ascii="Times New Roman" w:hAnsi="Times New Roman" w:cs="Times New Roman" w:eastAsia="Times New Roman" w:hint="default"/>
        </w:rPr>
        <w:t>——</w:t>
      </w:r>
      <w:r>
        <w:rPr/>
        <w:t>财务报告的一般规定》的披露规定编制财务报表。</w:t>
      </w:r>
    </w:p>
    <w:p>
      <w:pPr>
        <w:spacing w:after="0" w:line="300" w:lineRule="auto"/>
        <w:jc w:val="both"/>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持续经营" w:id="183"/>
      <w:bookmarkEnd w:id="183"/>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jc w:val="left"/>
      </w:pPr>
      <w:r>
        <w:rPr>
          <w:spacing w:val="-2"/>
        </w:rPr>
        <w:t>公司应评价自报告期末起</w:t>
      </w:r>
      <w:r>
        <w:rPr>
          <w:rFonts w:ascii="Times New Roman" w:hAnsi="Times New Roman" w:cs="Times New Roman" w:eastAsia="Times New Roman" w:hint="default"/>
          <w:spacing w:val="-2"/>
        </w:rPr>
        <w:t>12</w:t>
      </w:r>
      <w:r>
        <w:rPr>
          <w:spacing w:val="-2"/>
        </w:rPr>
        <w:t>个月的持续经营能力，若评价结果表明对持续经营能力产生重大怀疑的，公司应披露导致对持续</w:t>
      </w:r>
      <w:r>
        <w:rPr>
          <w:spacing w:val="-62"/>
        </w:rPr>
        <w:t> </w:t>
      </w:r>
      <w:r>
        <w:rPr>
          <w:spacing w:val="-62"/>
        </w:rPr>
      </w:r>
      <w:r>
        <w:rPr/>
        <w:t>经营能力产生重大怀疑的因素以及公司拟采取的改善措施。</w:t>
      </w:r>
    </w:p>
    <w:p>
      <w:pPr>
        <w:spacing w:line="240" w:lineRule="auto" w:before="10"/>
        <w:rPr>
          <w:rFonts w:ascii="宋体" w:hAnsi="宋体" w:cs="宋体" w:eastAsia="宋体" w:hint="default"/>
          <w:sz w:val="21"/>
          <w:szCs w:val="21"/>
        </w:rPr>
      </w:pPr>
    </w:p>
    <w:p>
      <w:pPr>
        <w:pStyle w:val="Heading2"/>
        <w:spacing w:line="240" w:lineRule="auto"/>
        <w:ind w:right="0"/>
        <w:jc w:val="left"/>
        <w:rPr>
          <w:b w:val="0"/>
          <w:bCs w:val="0"/>
        </w:rPr>
      </w:pPr>
      <w:bookmarkStart w:name="五、重要会计政策及会计估计" w:id="184"/>
      <w:bookmarkEnd w:id="184"/>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357" w:lineRule="auto" w:before="29"/>
        <w:ind w:right="8232"/>
        <w:jc w:val="left"/>
      </w:pPr>
      <w:r>
        <w:rPr/>
        <w:t>软件与信息技术服务业 具体会计政策和会计估计提示：</w:t>
      </w:r>
    </w:p>
    <w:p>
      <w:pPr>
        <w:pStyle w:val="BodyText"/>
        <w:spacing w:line="240" w:lineRule="auto" w:before="26"/>
        <w:ind w:right="0"/>
        <w:jc w:val="left"/>
      </w:pPr>
      <w:r>
        <w:rPr/>
        <w:t>以下披露内容已涵盖了本公司根据实际生产经营特点制定的具体会计政策和会计估计。详见</w:t>
      </w:r>
      <w:r>
        <w:rPr>
          <w:spacing w:val="-17"/>
        </w:rPr>
        <w:t> </w:t>
      </w:r>
      <w:r>
        <w:rPr>
          <w:rFonts w:ascii="Times New Roman" w:hAnsi="Times New Roman" w:cs="Times New Roman" w:eastAsia="Times New Roman" w:hint="default"/>
        </w:rPr>
        <w:t>“</w:t>
      </w:r>
      <w:r>
        <w:rPr>
          <w:rFonts w:ascii="Times New Roman" w:hAnsi="Times New Roman" w:cs="Times New Roman" w:eastAsia="Times New Roman" w:hint="default"/>
        </w:rPr>
        <w:t>25</w:t>
      </w:r>
      <w:r>
        <w:rPr/>
        <w:t>、收入</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1、遵循企业会计准则的声明" w:id="185"/>
      <w:bookmarkEnd w:id="185"/>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118"/>
        <w:jc w:val="left"/>
      </w:pPr>
      <w:r>
        <w:rPr>
          <w:spacing w:val="-2"/>
        </w:rPr>
        <w:t>公司所编制的财务报表符合企业会计准则的要求，真实、完整地反映了报告期公司的财务状况、经营成果、现金流量等有关</w:t>
      </w:r>
      <w:r>
        <w:rPr>
          <w:spacing w:val="-66"/>
        </w:rPr>
        <w:t> </w:t>
      </w:r>
      <w:r>
        <w:rPr>
          <w:spacing w:val="-66"/>
        </w:rPr>
      </w:r>
      <w:r>
        <w:rPr/>
        <w:t>信息。</w:t>
      </w:r>
    </w:p>
    <w:p>
      <w:pPr>
        <w:spacing w:line="240" w:lineRule="auto" w:before="7"/>
        <w:rPr>
          <w:rFonts w:ascii="宋体" w:hAnsi="宋体" w:cs="宋体" w:eastAsia="宋体" w:hint="default"/>
          <w:sz w:val="22"/>
          <w:szCs w:val="22"/>
        </w:rPr>
      </w:pPr>
    </w:p>
    <w:p>
      <w:pPr>
        <w:spacing w:line="547" w:lineRule="auto" w:before="0"/>
        <w:ind w:left="154" w:right="7152" w:firstLine="0"/>
        <w:jc w:val="left"/>
        <w:rPr>
          <w:rFonts w:ascii="宋体" w:hAnsi="宋体" w:cs="宋体" w:eastAsia="宋体" w:hint="default"/>
          <w:sz w:val="21"/>
          <w:szCs w:val="21"/>
        </w:rPr>
      </w:pPr>
      <w:bookmarkStart w:name="2、会计期间" w:id="186"/>
      <w:bookmarkEnd w:id="18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18"/>
          <w:szCs w:val="18"/>
        </w:rPr>
        <w:t>自公历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日止为一个会计年度。 </w:t>
      </w:r>
      <w:bookmarkStart w:name="3、营业周期" w:id="187"/>
      <w:bookmarkEnd w:id="187"/>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49"/>
        <w:ind w:right="0"/>
        <w:jc w:val="left"/>
      </w:pPr>
      <w:r>
        <w:rPr/>
        <w:t>本公司营业周期为</w:t>
      </w:r>
      <w:r>
        <w:rPr>
          <w:rFonts w:ascii="Times New Roman" w:hAnsi="Times New Roman" w:cs="Times New Roman" w:eastAsia="Times New Roman" w:hint="default"/>
        </w:rPr>
        <w:t>12</w:t>
      </w:r>
      <w:r>
        <w:rPr/>
        <w:t>个月。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left"/>
        <w:rPr>
          <w:b w:val="0"/>
          <w:bCs w:val="0"/>
        </w:rPr>
      </w:pPr>
      <w:bookmarkStart w:name="4、记账本位币" w:id="188"/>
      <w:bookmarkEnd w:id="188"/>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本公司采用人民币为记账本位币。</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同一控制下和非同一控制下企业合并的会计处理方法" w:id="189"/>
      <w:bookmarkEnd w:id="189"/>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同一控制下企业合并：本公司在企业合并中取得的资产和负债，按照合并日被合并方资产、负债（包括最终控制方收购被合</w:t>
      </w:r>
      <w:r>
        <w:rPr>
          <w:spacing w:val="-66"/>
        </w:rPr>
        <w:t> </w:t>
      </w:r>
      <w:r>
        <w:rPr>
          <w:spacing w:val="-66"/>
        </w:rPr>
      </w:r>
      <w:r>
        <w:rPr>
          <w:spacing w:val="-2"/>
        </w:rPr>
        <w:t>并方而形成的商誉）在最终控制方合并财务报表中的账面价值计量。在合并中取得的净资产账面价值与支付的合并对价账面</w:t>
      </w:r>
      <w:r>
        <w:rPr>
          <w:spacing w:val="-64"/>
        </w:rPr>
        <w:t> </w:t>
      </w:r>
      <w:r>
        <w:rPr>
          <w:spacing w:val="-64"/>
        </w:rPr>
      </w:r>
      <w:r>
        <w:rPr/>
        <w:t>价值（或发行股份面值总额）的差额，调整资本公积中的股本溢价，资本公积中的股本溢价不足冲减的，调整留存收益。 </w:t>
      </w:r>
      <w:r>
        <w:rPr>
          <w:spacing w:val="-2"/>
        </w:rPr>
        <w:t>非同一控制下企业合并：本公司在购买日对作为企业合并对价付出的资产、发生或承担的负债按照公允价值计量，公允价值</w:t>
      </w:r>
      <w:r>
        <w:rPr>
          <w:spacing w:val="-66"/>
        </w:rPr>
        <w:t> </w:t>
      </w:r>
      <w:r>
        <w:rPr>
          <w:spacing w:val="-66"/>
        </w:rPr>
      </w:r>
      <w:r>
        <w:rPr>
          <w:spacing w:val="-2"/>
        </w:rPr>
        <w:t>与其账面价值的差额，计入当期损益。本公司对合并成本大于合并中取得的被购买方可辨认净资产公允价值份额的差额，确</w:t>
      </w:r>
      <w:r>
        <w:rPr>
          <w:spacing w:val="-65"/>
        </w:rPr>
        <w:t> </w:t>
      </w:r>
      <w:r>
        <w:rPr>
          <w:spacing w:val="-65"/>
        </w:rPr>
      </w:r>
      <w:r>
        <w:rPr/>
        <w:t>认为商誉；合并成本小于合并中取得的被购买方可辨认净资产公允价值份额的差额，经复核后，计入当期损益。 </w:t>
      </w:r>
      <w:r>
        <w:rPr>
          <w:spacing w:val="-2"/>
        </w:rPr>
        <w:t>为企业合并发生的审计、法律服务、评估咨询等中介费用以及其他直接相关费用，于发生时计入当期损益；为企业合并而发</w:t>
      </w:r>
      <w:r>
        <w:rPr>
          <w:spacing w:val="-66"/>
        </w:rPr>
        <w:t> </w:t>
      </w:r>
      <w:r>
        <w:rPr>
          <w:spacing w:val="-66"/>
        </w:rPr>
      </w:r>
      <w:r>
        <w:rPr/>
        <w:t>行权益性证券的交易费用，冲减权益。</w:t>
      </w:r>
    </w:p>
    <w:p>
      <w:pPr>
        <w:spacing w:after="0" w:line="316" w:lineRule="auto"/>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6、合并财务报表的编制方法" w:id="190"/>
      <w:bookmarkEnd w:id="190"/>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18"/>
        <w:jc w:val="left"/>
      </w:pPr>
      <w:r>
        <w:rPr>
          <w:rFonts w:ascii="Times New Roman" w:hAnsi="Times New Roman" w:cs="Times New Roman" w:eastAsia="Times New Roman" w:hint="default"/>
        </w:rPr>
        <w:t>1</w:t>
      </w:r>
      <w:r>
        <w:rPr/>
        <w:t>、合并范围 </w:t>
      </w:r>
      <w:r>
        <w:rPr>
          <w:spacing w:val="-2"/>
        </w:rPr>
        <w:t>本公司合并财务报表的合并范围以控制为基础确定，所有子公司（包括本公司所控制的被投资方可分割的部分）均纳入合并</w:t>
      </w:r>
      <w:r>
        <w:rPr>
          <w:spacing w:val="-66"/>
        </w:rPr>
        <w:t> </w:t>
      </w:r>
      <w:r>
        <w:rPr>
          <w:spacing w:val="-66"/>
        </w:rPr>
      </w:r>
      <w:r>
        <w:rPr/>
        <w:t>财务报表。</w:t>
      </w:r>
    </w:p>
    <w:p>
      <w:pPr>
        <w:pStyle w:val="BodyText"/>
        <w:spacing w:line="316" w:lineRule="auto" w:before="24"/>
        <w:ind w:right="1118"/>
        <w:jc w:val="left"/>
      </w:pPr>
      <w:r>
        <w:rPr>
          <w:rFonts w:ascii="Times New Roman" w:hAnsi="Times New Roman" w:cs="Times New Roman" w:eastAsia="Times New Roman" w:hint="default"/>
        </w:rPr>
        <w:t>2</w:t>
      </w:r>
      <w:r>
        <w:rPr/>
        <w:t>、合并程序 </w:t>
      </w:r>
      <w:r>
        <w:rPr>
          <w:spacing w:val="-2"/>
        </w:rPr>
        <w:t>本公司以自身和各子公司的财务报表为基础，根据其他有关资料，编制合并财务报表。本公司编制合并财务报表，将整个企</w:t>
      </w:r>
      <w:r>
        <w:rPr>
          <w:spacing w:val="-66"/>
        </w:rPr>
        <w:t> </w:t>
      </w:r>
      <w:r>
        <w:rPr>
          <w:spacing w:val="-66"/>
        </w:rPr>
      </w:r>
      <w:r>
        <w:rPr>
          <w:spacing w:val="-2"/>
        </w:rPr>
        <w:t>业集团视为一个会计主体，依据相关企业会计准则的确认、计量和列报要求，按照统一的会计政策，反映本企业集团整体财</w:t>
      </w:r>
      <w:r>
        <w:rPr>
          <w:spacing w:val="-66"/>
        </w:rPr>
        <w:t> </w:t>
      </w:r>
      <w:r>
        <w:rPr>
          <w:spacing w:val="-66"/>
        </w:rPr>
      </w:r>
      <w:r>
        <w:rPr/>
        <w:t>务状况、经营成果和现金流量。 </w:t>
      </w:r>
      <w:r>
        <w:rPr>
          <w:spacing w:val="-2"/>
        </w:rPr>
        <w:t>所有纳入合并财务报表合并范围的子公司所采用的会计政策、会计期间与本公司一致，如子公司采用的会计政策、会计期间</w:t>
      </w:r>
      <w:r>
        <w:rPr>
          <w:spacing w:val="-66"/>
        </w:rPr>
        <w:t> </w:t>
      </w:r>
      <w:r>
        <w:rPr>
          <w:spacing w:val="-66"/>
        </w:rPr>
      </w:r>
      <w:r>
        <w:rPr>
          <w:spacing w:val="-2"/>
        </w:rPr>
        <w:t>与本公司不一致的，在编制合并财务报表时，按本公司的会计政策、会计期间进行必要的调整。对于非同一控制下企业合并</w:t>
      </w:r>
      <w:r>
        <w:rPr>
          <w:spacing w:val="-66"/>
        </w:rPr>
        <w:t> </w:t>
      </w:r>
      <w:r>
        <w:rPr>
          <w:spacing w:val="-66"/>
        </w:rPr>
      </w:r>
      <w:r>
        <w:rPr>
          <w:spacing w:val="-2"/>
        </w:rPr>
        <w:t>取得的子公司，以购买日可辨认净资产公允价值为基础对其财务报表进行调整。对于同一控制下企业合并取得的子公司，以</w:t>
      </w:r>
      <w:r>
        <w:rPr>
          <w:spacing w:val="-66"/>
        </w:rPr>
        <w:t> </w:t>
      </w:r>
      <w:r>
        <w:rPr>
          <w:spacing w:val="-66"/>
        </w:rPr>
      </w:r>
      <w:r>
        <w:rPr>
          <w:spacing w:val="-2"/>
        </w:rPr>
        <w:t>其资产、负债（包括最终控制方收购该子公司而形成的商誉）在最终控制方财务报表中的账面价值为基础对其财务报表进行</w:t>
      </w:r>
      <w:r>
        <w:rPr>
          <w:spacing w:val="-66"/>
        </w:rPr>
        <w:t> </w:t>
      </w:r>
      <w:r>
        <w:rPr>
          <w:spacing w:val="-66"/>
        </w:rPr>
      </w:r>
      <w:r>
        <w:rPr/>
        <w:t>调整。 </w:t>
      </w:r>
      <w:r>
        <w:rPr>
          <w:spacing w:val="-2"/>
        </w:rPr>
        <w:t>子公司所有者权益、当期净损益和当期综合收益中属于少数股东的份额分别在合并资产负债表中所有者权益项目下、合并利</w:t>
      </w:r>
      <w:r>
        <w:rPr>
          <w:spacing w:val="-64"/>
        </w:rPr>
        <w:t> </w:t>
      </w:r>
      <w:r>
        <w:rPr>
          <w:spacing w:val="-64"/>
        </w:rPr>
      </w:r>
      <w:r>
        <w:rPr>
          <w:spacing w:val="-2"/>
        </w:rPr>
        <w:t>润表中净利润项目下和综合收益总额项目下单独列示。子公司少数股东分担的当期亏损超过了少数股东在该子公司期初所有</w:t>
      </w:r>
      <w:r>
        <w:rPr>
          <w:spacing w:val="-64"/>
        </w:rPr>
        <w:t> </w:t>
      </w:r>
      <w:r>
        <w:rPr>
          <w:spacing w:val="-64"/>
        </w:rPr>
      </w:r>
      <w:r>
        <w:rPr/>
        <w:t>者权益中所享有份额而形成的余额，冲减少数股东权益。</w:t>
      </w:r>
    </w:p>
    <w:p>
      <w:pPr>
        <w:pStyle w:val="BodyText"/>
        <w:spacing w:line="316" w:lineRule="auto" w:before="19"/>
        <w:ind w:right="1032"/>
        <w:jc w:val="left"/>
      </w:pPr>
      <w:r>
        <w:rPr/>
        <w:t>（</w:t>
      </w:r>
      <w:r>
        <w:rPr>
          <w:rFonts w:ascii="Times New Roman" w:hAnsi="Times New Roman" w:cs="Times New Roman" w:eastAsia="Times New Roman" w:hint="default"/>
        </w:rPr>
        <w:t>1</w:t>
      </w:r>
      <w:r>
        <w:rPr/>
        <w:t>）增加子公司或业务 </w:t>
      </w:r>
      <w:r>
        <w:rPr>
          <w:spacing w:val="-2"/>
        </w:rPr>
        <w:t>在报告期内，若因同一控制下企业合并增加子公司或业务的，则调整合并资产负债表的期初数；将子公司或业务合并当期期</w:t>
      </w:r>
      <w:r>
        <w:rPr>
          <w:spacing w:val="-66"/>
        </w:rPr>
        <w:t> </w:t>
      </w:r>
      <w:r>
        <w:rPr>
          <w:spacing w:val="-66"/>
        </w:rPr>
      </w:r>
      <w:r>
        <w:rPr>
          <w:spacing w:val="-2"/>
        </w:rPr>
        <w:t>初至报告期末的收入、费用、利润纳入合并利润表；将子公司或业务合并当期期初至报告期末的现金流量纳入合并现金流量</w:t>
      </w:r>
      <w:r>
        <w:rPr>
          <w:spacing w:val="-66"/>
        </w:rPr>
        <w:t> </w:t>
      </w:r>
      <w:r>
        <w:rPr>
          <w:spacing w:val="-66"/>
        </w:rPr>
      </w:r>
      <w:r>
        <w:rPr/>
        <w:t>表，同时对比较报表的相关项目进行调整，视同合并后的报告主体自最终控制方开始控制时点起一直存在。 </w:t>
      </w:r>
      <w:r>
        <w:rPr>
          <w:spacing w:val="-2"/>
        </w:rPr>
        <w:t>因追加投资等原因能够对同一控制下的被投资方实施控制的，视同参与合并的各方在最终控制方开始控制时即以目前的状态</w:t>
      </w:r>
      <w:r>
        <w:rPr>
          <w:spacing w:val="-64"/>
        </w:rPr>
        <w:t> </w:t>
      </w:r>
      <w:r>
        <w:rPr>
          <w:spacing w:val="-64"/>
        </w:rPr>
      </w:r>
      <w:r>
        <w:rPr>
          <w:spacing w:val="-2"/>
        </w:rPr>
        <w:t>存在进行调整。在取得被合并方控制权之前持有的股权投资，在取得原股权之日与合并方和被合并方同处于同一控制之日孰</w:t>
      </w:r>
      <w:r>
        <w:rPr>
          <w:spacing w:val="-64"/>
        </w:rPr>
        <w:t> </w:t>
      </w:r>
      <w:r>
        <w:rPr>
          <w:spacing w:val="-64"/>
        </w:rPr>
      </w:r>
      <w:r>
        <w:rPr>
          <w:spacing w:val="-2"/>
        </w:rPr>
        <w:t>晚日起至合并日之间已确认有关损益、其他综合收益以及其他净资产变动，分别冲减比较报表期间的期初留存收益或当期损</w:t>
      </w:r>
      <w:r>
        <w:rPr>
          <w:spacing w:val="-64"/>
        </w:rPr>
        <w:t> </w:t>
      </w:r>
      <w:r>
        <w:rPr>
          <w:spacing w:val="-64"/>
        </w:rPr>
      </w:r>
      <w:r>
        <w:rPr/>
        <w:t>益。 </w:t>
      </w:r>
      <w:r>
        <w:rPr>
          <w:spacing w:val="-2"/>
        </w:rPr>
        <w:t>在报告期内，若因非同一控制下企业合并增加子公司或业务的，则不调整合并资产负债表期初数；将该子公司或业务自购买</w:t>
      </w:r>
      <w:r>
        <w:rPr>
          <w:spacing w:val="-66"/>
        </w:rPr>
        <w:t> </w:t>
      </w:r>
      <w:r>
        <w:rPr>
          <w:spacing w:val="-66"/>
        </w:rPr>
      </w:r>
      <w:r>
        <w:rPr/>
        <w:t>日至报告期末的收入、费用、利润纳入合并利润表；该子公司或业务自购买日至报告期末的现金流量纳入合并现金流量表。</w:t>
      </w:r>
      <w:r>
        <w:rPr>
          <w:spacing w:val="-85"/>
        </w:rPr>
        <w:t> </w:t>
      </w:r>
      <w:r>
        <w:rPr>
          <w:spacing w:val="-85"/>
        </w:rPr>
      </w:r>
      <w:r>
        <w:rPr>
          <w:spacing w:val="-2"/>
        </w:rPr>
        <w:t>因追加投资等原因能够对非同一控制下的被投资方实施控制的，对于购买日之前持有的被购买方的股权，本公司按照该股权</w:t>
      </w:r>
      <w:r>
        <w:rPr>
          <w:spacing w:val="-64"/>
        </w:rPr>
        <w:t> </w:t>
      </w:r>
      <w:r>
        <w:rPr>
          <w:spacing w:val="-64"/>
        </w:rPr>
      </w:r>
      <w:r>
        <w:rPr>
          <w:spacing w:val="-2"/>
        </w:rPr>
        <w:t>在购买日的公允价值进行重新计量，公允价值与其账面价值的差额计入当期投资收益。购买日之前持有的被购买方的股权涉</w:t>
      </w:r>
      <w:r>
        <w:rPr>
          <w:spacing w:val="-63"/>
        </w:rPr>
        <w:t> </w:t>
      </w:r>
      <w:r>
        <w:rPr>
          <w:spacing w:val="-63"/>
        </w:rPr>
      </w:r>
      <w:r>
        <w:rPr>
          <w:spacing w:val="-2"/>
        </w:rPr>
        <w:t>及权益法核算下的其他综合收益以及除净损益、其他综合收益和利润分配之外的其他所有者权益变动的，与其相关的其他综</w:t>
      </w:r>
      <w:r>
        <w:rPr>
          <w:spacing w:val="-64"/>
        </w:rPr>
        <w:t> </w:t>
      </w:r>
      <w:r>
        <w:rPr>
          <w:spacing w:val="-64"/>
        </w:rPr>
      </w:r>
      <w:r>
        <w:rPr>
          <w:spacing w:val="-2"/>
        </w:rPr>
        <w:t>合收益、其他所有者权益变动转为购买日所属当期投资收益，由于被投资方重新计量设定受益计划净负债或净资产变动而产</w:t>
      </w:r>
      <w:r>
        <w:rPr>
          <w:spacing w:val="-64"/>
        </w:rPr>
        <w:t> </w:t>
      </w:r>
      <w:r>
        <w:rPr>
          <w:spacing w:val="-64"/>
        </w:rPr>
      </w:r>
      <w:r>
        <w:rPr/>
        <w:t>生的其他综合收益除外。</w:t>
      </w:r>
    </w:p>
    <w:p>
      <w:pPr>
        <w:pStyle w:val="BodyText"/>
        <w:spacing w:line="240" w:lineRule="auto" w:before="19"/>
        <w:ind w:right="0"/>
        <w:jc w:val="left"/>
      </w:pPr>
      <w:r>
        <w:rPr/>
        <w:t>（</w:t>
      </w:r>
      <w:r>
        <w:rPr>
          <w:rFonts w:ascii="Times New Roman" w:hAnsi="Times New Roman" w:cs="Times New Roman" w:eastAsia="Times New Roman" w:hint="default"/>
        </w:rPr>
        <w:t>2</w:t>
      </w:r>
      <w:r>
        <w:rPr/>
        <w:t>）处置子公司或业务</w:t>
      </w:r>
    </w:p>
    <w:p>
      <w:pPr>
        <w:pStyle w:val="BodyText"/>
        <w:spacing w:line="316" w:lineRule="auto" w:before="63"/>
        <w:ind w:right="0"/>
        <w:jc w:val="left"/>
      </w:pPr>
      <w:r>
        <w:rPr/>
        <w:t>①一般处理方法 </w:t>
      </w:r>
      <w:r>
        <w:rPr>
          <w:spacing w:val="-2"/>
        </w:rPr>
        <w:t>在报告期内，本公司处置子公司或业务，则该子公司或业务期初至处置日的收入、费用、利润纳入合并利润表；该子公司或</w:t>
      </w:r>
      <w:r>
        <w:rPr>
          <w:spacing w:val="-66"/>
        </w:rPr>
        <w:t> </w:t>
      </w:r>
      <w:r>
        <w:rPr>
          <w:spacing w:val="-66"/>
        </w:rPr>
      </w:r>
      <w:r>
        <w:rPr/>
        <w:t>业务期初至处置日的现金流量纳入合并现金流量表。 </w:t>
      </w:r>
      <w:r>
        <w:rPr>
          <w:spacing w:val="-2"/>
        </w:rPr>
        <w:t>因处置部分股权投资或其他原因丧失了对被投资方控制权时，对于处置后的剩余股权投资，本公司按照其在丧失控制权日的</w:t>
      </w:r>
      <w:r>
        <w:rPr>
          <w:spacing w:val="-64"/>
        </w:rPr>
        <w:t> </w:t>
      </w:r>
      <w:r>
        <w:rPr>
          <w:spacing w:val="-64"/>
        </w:rPr>
      </w:r>
      <w:r>
        <w:rPr>
          <w:spacing w:val="-2"/>
        </w:rPr>
        <w:t>公允价值进行重新计量。处置股权取得的对价与剩余股权公允价值之和，减去按原持股比例计算应享有原有子公司自购买日</w:t>
      </w:r>
      <w:r>
        <w:rPr>
          <w:spacing w:val="-64"/>
        </w:rPr>
        <w:t> </w:t>
      </w:r>
      <w:r>
        <w:rPr>
          <w:spacing w:val="-64"/>
        </w:rPr>
      </w:r>
      <w:r>
        <w:rPr>
          <w:spacing w:val="-2"/>
        </w:rPr>
        <w:t>或合并日开始持续计算的净资产的份额与商誉之和的差额，计入丧失控制权当期的投资收益。与原有子公司股权投资相关的</w:t>
      </w:r>
      <w:r>
        <w:rPr>
          <w:spacing w:val="-64"/>
        </w:rPr>
        <w:t> </w:t>
      </w:r>
      <w:r>
        <w:rPr>
          <w:spacing w:val="-64"/>
        </w:rPr>
      </w:r>
      <w:r>
        <w:rPr>
          <w:spacing w:val="-2"/>
        </w:rPr>
        <w:t>其他综合收益或除净损益、其他综合收益及利润分配之外的其他所有者权益变动，在丧失控制权时转为当期投资收益，由于</w:t>
      </w:r>
      <w:r>
        <w:rPr>
          <w:spacing w:val="-66"/>
        </w:rPr>
        <w:t> </w:t>
      </w:r>
      <w:r>
        <w:rPr>
          <w:spacing w:val="-66"/>
        </w:rPr>
      </w:r>
      <w:r>
        <w:rPr/>
        <w:t>被投资方重新计量设定受益计划净负债或净资产变动而产生的其他综合收益除外。 因其他投资方对子公司增资而导致本公司持股比例下降从而丧失控制权的，按照上述原则进行会计处理。</w:t>
      </w:r>
    </w:p>
    <w:p>
      <w:pPr>
        <w:pStyle w:val="BodyText"/>
        <w:spacing w:line="316" w:lineRule="auto" w:before="19"/>
        <w:ind w:right="0"/>
        <w:jc w:val="left"/>
      </w:pPr>
      <w:r>
        <w:rPr/>
        <w:t>②分步处置子公司 </w:t>
      </w:r>
      <w:r>
        <w:rPr>
          <w:spacing w:val="-2"/>
        </w:rPr>
        <w:t>通过多次交易分步处置对子公司股权投资直至丧失控制权的，处置对子公司股权投资的各项交易的条款、条件以及经济影响</w:t>
      </w:r>
    </w:p>
    <w:p>
      <w:pPr>
        <w:spacing w:after="0" w:line="316"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9" w:lineRule="auto" w:before="44"/>
        <w:ind w:right="3912"/>
        <w:jc w:val="left"/>
      </w:pPr>
      <w:r>
        <w:rPr/>
        <w:t>符合以下一种或多种情况，通常表明应将多次交易事项作为一揽子交易进行会计处理： 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316" w:lineRule="auto" w:before="17"/>
        <w:ind w:right="0"/>
        <w:jc w:val="left"/>
      </w:pPr>
      <w:r>
        <w:rPr>
          <w:spacing w:val="-2"/>
        </w:rPr>
        <w:t>处置对子公司股权投资直至丧失控制权的各项交易属于一揽子交易的，本公司将各项交易作为一项处置子公司并丧失控制权</w:t>
      </w:r>
      <w:r>
        <w:rPr>
          <w:spacing w:val="-64"/>
        </w:rPr>
        <w:t> </w:t>
      </w:r>
      <w:r>
        <w:rPr>
          <w:spacing w:val="-64"/>
        </w:rPr>
      </w:r>
      <w:r>
        <w:rPr>
          <w:spacing w:val="-2"/>
        </w:rPr>
        <w:t>的交易进行会计处理；但是，在丧失控制权之前每一次处置价款与处置投资对应的享有该子公司净资产份额的差额，在合并</w:t>
      </w:r>
      <w:r>
        <w:rPr>
          <w:spacing w:val="-66"/>
        </w:rPr>
        <w:t> </w:t>
      </w:r>
      <w:r>
        <w:rPr>
          <w:spacing w:val="-66"/>
        </w:rPr>
      </w:r>
      <w:r>
        <w:rPr/>
        <w:t>财务报表中确认为其他综合收益，在丧失控制权时一并转入丧失控制权当期的损益。 </w:t>
      </w:r>
      <w:r>
        <w:rPr>
          <w:spacing w:val="-2"/>
        </w:rPr>
        <w:t>处置对子公司股权投资直至丧失控制权的各项交易不属于一揽子交易的，在丧失控制权之前，按不丧失控制权的情况下部分</w:t>
      </w:r>
      <w:r>
        <w:rPr>
          <w:spacing w:val="-64"/>
        </w:rPr>
        <w:t> </w:t>
      </w:r>
      <w:r>
        <w:rPr>
          <w:spacing w:val="-64"/>
        </w:rPr>
      </w:r>
      <w:r>
        <w:rPr/>
        <w:t>处置对子公司的股权投资的相关政策进行会计处理；在丧失控制权时，按处置子公司一般处理方法进行会计处理。</w:t>
      </w:r>
    </w:p>
    <w:p>
      <w:pPr>
        <w:pStyle w:val="BodyText"/>
        <w:spacing w:line="312" w:lineRule="auto" w:before="19"/>
        <w:ind w:right="1118"/>
        <w:jc w:val="left"/>
      </w:pPr>
      <w:r>
        <w:rPr/>
        <w:t>（</w:t>
      </w:r>
      <w:r>
        <w:rPr>
          <w:rFonts w:ascii="Times New Roman" w:hAnsi="Times New Roman" w:cs="Times New Roman" w:eastAsia="Times New Roman" w:hint="default"/>
        </w:rPr>
        <w:t>3</w:t>
      </w:r>
      <w:r>
        <w:rPr/>
        <w:t>）购买子公司少数股权 </w:t>
      </w:r>
      <w:r>
        <w:rPr>
          <w:spacing w:val="-2"/>
        </w:rPr>
        <w:t>本公司因购买少数股权新取得的长期股权投资与按照新增持股比例计算应享有子公司自购买日（或合并日）开始持续计算的</w:t>
      </w:r>
      <w:r>
        <w:rPr>
          <w:spacing w:val="-64"/>
        </w:rPr>
        <w:t> </w:t>
      </w:r>
      <w:r>
        <w:rPr>
          <w:spacing w:val="-64"/>
        </w:rPr>
      </w:r>
      <w:r>
        <w:rPr>
          <w:spacing w:val="-2"/>
        </w:rPr>
        <w:t>净资产份额之间的差额，调整合并资产负债表中的资本公积中的股本溢价，资本公积中的股本溢价不足冲减的，调整留存收</w:t>
      </w:r>
      <w:r>
        <w:rPr>
          <w:spacing w:val="-66"/>
        </w:rPr>
        <w:t> </w:t>
      </w:r>
      <w:r>
        <w:rPr>
          <w:spacing w:val="-66"/>
        </w:rPr>
      </w:r>
      <w:r>
        <w:rPr/>
        <w:t>益。</w:t>
      </w:r>
    </w:p>
    <w:p>
      <w:pPr>
        <w:pStyle w:val="BodyText"/>
        <w:spacing w:line="312" w:lineRule="auto" w:before="22"/>
        <w:ind w:right="0"/>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在不丧失控制权的情况下因部分处置对子公司的长期股权投资而取得的处置价款与处置长期股权投资相对应享有子公司自</w:t>
      </w:r>
      <w:r>
        <w:rPr>
          <w:spacing w:val="-9"/>
        </w:rPr>
        <w:t> </w:t>
      </w:r>
      <w:r>
        <w:rPr>
          <w:spacing w:val="-9"/>
        </w:rPr>
      </w:r>
      <w:r>
        <w:rPr>
          <w:spacing w:val="-2"/>
        </w:rPr>
        <w:t>购买日或合并日开始持续计算的净资产份额之间的差额，调整合并资产负债表中的资本公积中的股本溢价，资本公积中的股</w:t>
      </w:r>
      <w:r>
        <w:rPr>
          <w:spacing w:val="-64"/>
        </w:rPr>
        <w:t> </w:t>
      </w:r>
      <w:r>
        <w:rPr>
          <w:spacing w:val="-64"/>
        </w:rPr>
      </w:r>
      <w:r>
        <w:rPr/>
        <w:t>本溢价不足冲减的，调整留存收益。</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7、合营安排分类及共同经营会计处理方法" w:id="191"/>
      <w:bookmarkEnd w:id="191"/>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2832"/>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before="17"/>
        <w:ind w:right="0"/>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63"/>
        <w:ind w:right="0"/>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63"/>
        <w:ind w:right="0"/>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63"/>
        <w:ind w:right="0"/>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300" w:lineRule="auto" w:before="63"/>
        <w:ind w:right="4722"/>
        <w:jc w:val="left"/>
      </w:pPr>
      <w:r>
        <w:rPr/>
        <w:t>（</w:t>
      </w:r>
      <w:r>
        <w:rPr>
          <w:rFonts w:ascii="Times New Roman" w:hAnsi="Times New Roman" w:cs="Times New Roman" w:eastAsia="Times New Roman" w:hint="default"/>
        </w:rPr>
        <w:t>5</w:t>
      </w:r>
      <w:r>
        <w:rPr/>
        <w:t>）确认单独所发生的费用，以及按本公司份额确认共同经营发生的费用。 本公司对合营企业投资的会计政策见本附注</w:t>
      </w:r>
      <w:r>
        <w:rPr>
          <w:rFonts w:ascii="Times New Roman" w:hAnsi="Times New Roman" w:cs="Times New Roman" w:eastAsia="Times New Roman" w:hint="default"/>
        </w:rPr>
        <w:t>“</w:t>
      </w:r>
      <w:r>
        <w:rPr/>
        <w:t>三、（十四）长期股权投资</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8、现金及现金等价物的确定标准" w:id="192"/>
      <w:bookmarkEnd w:id="192"/>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在编制现金流量表时，将本公司库存现金以及可以随时用于支付的存款确认为现金。将同时具备期限短（从购买日起三个月</w:t>
      </w:r>
      <w:r>
        <w:rPr>
          <w:spacing w:val="-66"/>
        </w:rPr>
        <w:t> </w:t>
      </w:r>
      <w:r>
        <w:rPr>
          <w:spacing w:val="-66"/>
        </w:rPr>
      </w:r>
      <w:r>
        <w:rPr/>
        <w:t>内到期）、流动性强、易于转换为已知现金、价值变动风险很小四个条件的投资，确定为现金等价物。</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9、外币业务和外币报表折算" w:id="193"/>
      <w:bookmarkEnd w:id="193"/>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18"/>
        <w:jc w:val="left"/>
      </w:pPr>
      <w:r>
        <w:rPr>
          <w:rFonts w:ascii="Times New Roman" w:hAnsi="Times New Roman" w:cs="Times New Roman" w:eastAsia="Times New Roman" w:hint="default"/>
        </w:rPr>
        <w:t>1</w:t>
      </w:r>
      <w:r>
        <w:rPr/>
        <w:t>、外币业务 </w:t>
      </w:r>
      <w:r>
        <w:rPr>
          <w:spacing w:val="-2"/>
        </w:rPr>
        <w:t>外币业务采用交易发生日的即期汇率（或：采用按照系统合理的方法确定的、与交易发生日即期汇率近似的汇率。提示：若</w:t>
      </w:r>
      <w:r>
        <w:rPr>
          <w:spacing w:val="-66"/>
        </w:rPr>
        <w:t> </w:t>
      </w:r>
      <w:r>
        <w:rPr>
          <w:spacing w:val="-66"/>
        </w:rPr>
      </w:r>
      <w:r>
        <w:rPr/>
        <w:t>采用此种方法，应明示何种方法何种口径）作为折算汇率将外币金额折合成人民币记账。 </w:t>
      </w:r>
      <w:r>
        <w:rPr>
          <w:spacing w:val="-2"/>
        </w:rPr>
        <w:t>资产负债表日外币货币性项目余额按资产负债表日即期汇率折算，由此产生的汇兑差额，除属于与购建符合资本化条件的资</w:t>
      </w:r>
      <w:r>
        <w:rPr>
          <w:spacing w:val="-64"/>
        </w:rPr>
        <w:t> </w:t>
      </w:r>
      <w:r>
        <w:rPr>
          <w:spacing w:val="-64"/>
        </w:rPr>
      </w:r>
      <w:r>
        <w:rPr/>
        <w:t>产相关的外币专门借款产生的汇兑差额按照借款费用资本化的原则处理外，均计入当期损益。</w:t>
      </w:r>
    </w:p>
    <w:p>
      <w:pPr>
        <w:spacing w:line="240" w:lineRule="auto" w:before="6"/>
        <w:rPr>
          <w:rFonts w:ascii="宋体" w:hAnsi="宋体" w:cs="宋体" w:eastAsia="宋体" w:hint="default"/>
          <w:sz w:val="25"/>
          <w:szCs w:val="25"/>
        </w:rPr>
      </w:pPr>
    </w:p>
    <w:p>
      <w:pPr>
        <w:pStyle w:val="BodyText"/>
        <w:spacing w:line="240" w:lineRule="auto"/>
        <w:ind w:right="0"/>
        <w:jc w:val="left"/>
      </w:pPr>
      <w:r>
        <w:rPr>
          <w:rFonts w:ascii="Times New Roman" w:hAnsi="Times New Roman" w:cs="Times New Roman" w:eastAsia="Times New Roman" w:hint="default"/>
        </w:rPr>
        <w:t>2</w:t>
      </w:r>
      <w:r>
        <w:rPr/>
        <w:t>、外币财务报表的折算</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2" w:lineRule="auto" w:before="44"/>
        <w:ind w:right="1127"/>
        <w:jc w:val="left"/>
      </w:pP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w:t>
      </w:r>
      <w:r>
        <w:rPr>
          <w:spacing w:val="-44"/>
        </w:rPr>
        <w:t> </w:t>
      </w:r>
      <w:r>
        <w:rPr>
          <w:spacing w:val="-44"/>
        </w:rPr>
      </w:r>
      <w:r>
        <w:rPr>
          <w:spacing w:val="-5"/>
        </w:rPr>
        <w:t>用发生时的即期汇率折算。利润表中的收入和费用项目，采用交易发生日的即期汇率（或：采用按照系统合理的方法确定的、</w:t>
      </w:r>
      <w:r>
        <w:rPr>
          <w:spacing w:val="-82"/>
        </w:rPr>
        <w:t> </w:t>
      </w:r>
      <w:r>
        <w:rPr>
          <w:spacing w:val="-82"/>
        </w:rPr>
      </w:r>
      <w:r>
        <w:rPr/>
        <w:t>与交易发生日即期汇率近似的汇率。提示：若采用此种方法，应明示何种方法何种口径）折算。 处置境外经营时，将与该境外经营相关的外币财务报表折算差额，自所有者权益项目转入处置当期损益。</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bookmarkStart w:name="10、金融工具" w:id="194"/>
      <w:bookmarkEnd w:id="194"/>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金融工具包括金融资产、金融负债和权益工具。</w:t>
      </w:r>
    </w:p>
    <w:p>
      <w:pPr>
        <w:pStyle w:val="BodyText"/>
        <w:spacing w:line="312" w:lineRule="auto" w:before="76"/>
        <w:ind w:right="1032"/>
        <w:jc w:val="left"/>
      </w:pPr>
      <w:r>
        <w:rPr>
          <w:rFonts w:ascii="Times New Roman" w:hAnsi="Times New Roman" w:cs="Times New Roman" w:eastAsia="Times New Roman" w:hint="default"/>
        </w:rPr>
        <w:t>1</w:t>
      </w:r>
      <w:r>
        <w:rPr/>
        <w:t>、金融工具的分类 </w:t>
      </w:r>
      <w:r>
        <w:rPr>
          <w:spacing w:val="-2"/>
        </w:rPr>
        <w:t>金融资产和金融负债于初始确认时分类为：以公允价值计量且其变动计入当期损益的金融资产或金融负债，包括交易性金融</w:t>
      </w:r>
      <w:r>
        <w:rPr>
          <w:spacing w:val="-64"/>
        </w:rPr>
        <w:t> </w:t>
      </w:r>
      <w:r>
        <w:rPr>
          <w:spacing w:val="-64"/>
        </w:rPr>
      </w:r>
      <w:r>
        <w:rPr/>
        <w:t>资产或金融负债和直接指定为以公允价值计量且其变动计入当期损益的金融资产或金融负债；持有至到期投资；应收款项；</w:t>
      </w:r>
      <w:r>
        <w:rPr>
          <w:spacing w:val="-85"/>
        </w:rPr>
        <w:t> </w:t>
      </w:r>
      <w:r>
        <w:rPr>
          <w:spacing w:val="-85"/>
        </w:rPr>
      </w:r>
      <w:r>
        <w:rPr/>
        <w:t>可供出售金融资产；其他金融负债等。</w:t>
      </w:r>
    </w:p>
    <w:p>
      <w:pPr>
        <w:spacing w:line="240" w:lineRule="auto" w:before="7"/>
        <w:rPr>
          <w:rFonts w:ascii="宋体" w:hAnsi="宋体" w:cs="宋体" w:eastAsia="宋体" w:hint="default"/>
          <w:sz w:val="25"/>
          <w:szCs w:val="25"/>
        </w:rPr>
      </w:pPr>
    </w:p>
    <w:p>
      <w:pPr>
        <w:pStyle w:val="BodyText"/>
        <w:spacing w:line="240" w:lineRule="auto"/>
        <w:ind w:right="0"/>
        <w:jc w:val="left"/>
      </w:pPr>
      <w:r>
        <w:rPr>
          <w:rFonts w:ascii="Times New Roman" w:hAnsi="Times New Roman" w:cs="Times New Roman" w:eastAsia="Times New Roman" w:hint="default"/>
        </w:rPr>
        <w:t>2</w:t>
      </w:r>
      <w:r>
        <w:rPr/>
        <w:t>、金融工具的确认依据和计量方法</w:t>
      </w:r>
    </w:p>
    <w:p>
      <w:pPr>
        <w:pStyle w:val="BodyText"/>
        <w:spacing w:line="309" w:lineRule="auto" w:before="63"/>
        <w:ind w:right="0"/>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2"/>
        </w:rPr>
        <w:t>取得时以公允价值（扣除已宣告但尚未发放的现金股利或已到付息期但尚未领取的债券利息）作为初始确认金额，相关的交</w:t>
      </w:r>
      <w:r>
        <w:rPr>
          <w:spacing w:val="-66"/>
        </w:rPr>
        <w:t> </w:t>
      </w:r>
      <w:r>
        <w:rPr>
          <w:spacing w:val="-66"/>
        </w:rPr>
      </w:r>
      <w:r>
        <w:rPr/>
        <w:t>易费用计入当期损益。</w:t>
      </w:r>
    </w:p>
    <w:p>
      <w:pPr>
        <w:pStyle w:val="BodyText"/>
        <w:spacing w:line="316" w:lineRule="auto" w:before="24"/>
        <w:ind w:right="3192"/>
        <w:jc w:val="left"/>
      </w:pPr>
      <w:r>
        <w:rPr/>
        <w:t>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12" w:lineRule="auto" w:before="19"/>
        <w:ind w:right="1118"/>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 </w:t>
      </w:r>
      <w:r>
        <w:rPr>
          <w:spacing w:val="-2"/>
        </w:rPr>
        <w:t>持有期间按照摊余成本和实际利率计算确认利息收入，计入投资收益。实际利率在取得时确定，在该预期存续期间或适用的</w:t>
      </w:r>
      <w:r>
        <w:rPr>
          <w:spacing w:val="-66"/>
        </w:rPr>
        <w:t> </w:t>
      </w:r>
      <w:r>
        <w:rPr>
          <w:spacing w:val="-66"/>
        </w:rPr>
      </w:r>
      <w:r>
        <w:rPr/>
        <w:t>更短期间内保持不变。</w:t>
      </w:r>
    </w:p>
    <w:p>
      <w:pPr>
        <w:pStyle w:val="BodyText"/>
        <w:spacing w:line="240" w:lineRule="auto" w:before="22"/>
        <w:ind w:right="0"/>
        <w:jc w:val="left"/>
      </w:pPr>
      <w:r>
        <w:rPr/>
        <w:t>处置时，将所取得价款与该投资账面价值之间的差额计入投资收益。</w:t>
      </w:r>
    </w:p>
    <w:p>
      <w:pPr>
        <w:pStyle w:val="BodyText"/>
        <w:spacing w:line="312" w:lineRule="auto" w:before="76"/>
        <w:ind w:right="1032"/>
        <w:jc w:val="left"/>
      </w:pPr>
      <w:r>
        <w:rPr/>
        <w:t>（</w:t>
      </w:r>
      <w:r>
        <w:rPr>
          <w:rFonts w:ascii="Times New Roman" w:hAnsi="Times New Roman" w:cs="Times New Roman" w:eastAsia="Times New Roman" w:hint="default"/>
        </w:rPr>
        <w:t>3</w:t>
      </w:r>
      <w:r>
        <w:rPr/>
        <w:t>）应收款项 公司对外销售商品或提供劳务形成的应收债权，以及公司持有的其他企业的不包括在活跃市场上有报价的债务工具的债权，</w:t>
      </w:r>
      <w:r>
        <w:rPr>
          <w:spacing w:val="-85"/>
        </w:rPr>
        <w:t> </w:t>
      </w:r>
      <w:r>
        <w:rPr>
          <w:spacing w:val="-85"/>
        </w:rPr>
      </w:r>
      <w:r>
        <w:rPr>
          <w:spacing w:val="-2"/>
        </w:rPr>
        <w:t>包括应收账款、其他应收款等，以向购货方应收的合同或协议价款作为初始确认金额；具有融资性质的，按其现值进行初始</w:t>
      </w:r>
      <w:r>
        <w:rPr>
          <w:spacing w:val="-65"/>
        </w:rPr>
        <w:t> </w:t>
      </w:r>
      <w:r>
        <w:rPr>
          <w:spacing w:val="-65"/>
        </w:rPr>
      </w:r>
      <w:r>
        <w:rPr/>
        <w:t>确认。</w:t>
      </w:r>
    </w:p>
    <w:p>
      <w:pPr>
        <w:pStyle w:val="BodyText"/>
        <w:spacing w:line="240" w:lineRule="auto" w:before="22"/>
        <w:ind w:right="0"/>
        <w:jc w:val="left"/>
      </w:pPr>
      <w:r>
        <w:rPr/>
        <w:t>收回或处置时，将取得的价款与该应收款项账面价值之间的差额计入当期损益。</w:t>
      </w:r>
    </w:p>
    <w:p>
      <w:pPr>
        <w:pStyle w:val="BodyText"/>
        <w:spacing w:line="314" w:lineRule="auto" w:before="76"/>
        <w:ind w:right="1118"/>
        <w:jc w:val="left"/>
      </w:pPr>
      <w:r>
        <w:rPr/>
        <w:t>（</w:t>
      </w:r>
      <w:r>
        <w:rPr>
          <w:rFonts w:ascii="Times New Roman" w:hAnsi="Times New Roman" w:cs="Times New Roman" w:eastAsia="Times New Roman" w:hint="default"/>
        </w:rPr>
        <w:t>4</w:t>
      </w:r>
      <w:r>
        <w:rPr/>
        <w:t>）可供出售金融资产 </w:t>
      </w:r>
      <w:r>
        <w:rPr>
          <w:spacing w:val="-2"/>
        </w:rPr>
        <w:t>取得时按公允价值（扣除已宣告但尚未发放的现金股利或已到付息期但尚未领取的债券利息）和相关交易费用之和作为初始</w:t>
      </w:r>
      <w:r>
        <w:rPr>
          <w:spacing w:val="-64"/>
        </w:rPr>
        <w:t> </w:t>
      </w:r>
      <w:r>
        <w:rPr>
          <w:spacing w:val="-64"/>
        </w:rPr>
      </w:r>
      <w:r>
        <w:rPr/>
        <w:t>确认金额。 </w:t>
      </w:r>
      <w:r>
        <w:rPr>
          <w:spacing w:val="-2"/>
        </w:rPr>
        <w:t>持有期间将取得的利息或现金股利确认为投资收益。期末以公允价值计量且将公允价值变动计入其他综合收益。但是，在活</w:t>
      </w:r>
      <w:r>
        <w:rPr>
          <w:spacing w:val="-66"/>
        </w:rPr>
        <w:t> </w:t>
      </w:r>
      <w:r>
        <w:rPr>
          <w:spacing w:val="-66"/>
        </w:rPr>
      </w:r>
      <w:r>
        <w:rPr>
          <w:spacing w:val="-2"/>
        </w:rPr>
        <w:t>跃市场中没有报价且其公允价值不能可靠计量的权益工具投资，以及与该权益工具挂钩并须通过交付该权益工具结算的衍生</w:t>
      </w:r>
      <w:r>
        <w:rPr>
          <w:spacing w:val="-64"/>
        </w:rPr>
        <w:t> </w:t>
      </w:r>
      <w:r>
        <w:rPr>
          <w:spacing w:val="-64"/>
        </w:rPr>
      </w:r>
      <w:r>
        <w:rPr/>
        <w:t>金融资产，按照成本计量。 </w:t>
      </w:r>
      <w:r>
        <w:rPr>
          <w:spacing w:val="-2"/>
        </w:rPr>
        <w:t>处置时，将取得的价款与该金融资产账面价值之间的差额，计入投资损益；同时，将原直接计入其他综合收益的公允价值变</w:t>
      </w:r>
      <w:r>
        <w:rPr>
          <w:spacing w:val="-66"/>
        </w:rPr>
        <w:t> </w:t>
      </w:r>
      <w:r>
        <w:rPr>
          <w:spacing w:val="-66"/>
        </w:rPr>
      </w:r>
      <w:r>
        <w:rPr/>
        <w:t>动累计额对应处置部分的金额转出，计入当期损益。</w:t>
      </w:r>
    </w:p>
    <w:p>
      <w:pPr>
        <w:pStyle w:val="BodyText"/>
        <w:spacing w:line="300" w:lineRule="auto" w:before="20"/>
        <w:ind w:right="4092"/>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w:t>
      </w:r>
    </w:p>
    <w:p>
      <w:pPr>
        <w:spacing w:line="240" w:lineRule="auto" w:before="4"/>
        <w:rPr>
          <w:rFonts w:ascii="宋体" w:hAnsi="宋体" w:cs="宋体" w:eastAsia="宋体" w:hint="default"/>
          <w:sz w:val="26"/>
          <w:szCs w:val="26"/>
        </w:rPr>
      </w:pPr>
    </w:p>
    <w:p>
      <w:pPr>
        <w:pStyle w:val="BodyText"/>
        <w:spacing w:line="312" w:lineRule="auto"/>
        <w:ind w:right="0"/>
        <w:jc w:val="left"/>
      </w:pPr>
      <w:r>
        <w:rPr>
          <w:rFonts w:ascii="Times New Roman" w:hAnsi="Times New Roman" w:cs="Times New Roman" w:eastAsia="Times New Roman" w:hint="default"/>
        </w:rPr>
        <w:t>3</w:t>
      </w:r>
      <w:r>
        <w:rPr/>
        <w:t>、金融资产转移的确认依据和计量方法 </w:t>
      </w:r>
      <w:r>
        <w:rPr>
          <w:spacing w:val="-2"/>
        </w:rPr>
        <w:t>公司发生金融资产转移时，如已将金融资产所有权上几乎所有的风险和报酬转移给转入方，则终止确认该金融资产；如保留</w:t>
      </w:r>
      <w:r>
        <w:rPr>
          <w:spacing w:val="-66"/>
        </w:rPr>
        <w:t> </w:t>
      </w:r>
      <w:r>
        <w:rPr>
          <w:spacing w:val="-66"/>
        </w:rPr>
      </w:r>
      <w:r>
        <w:rPr/>
        <w:t>了金融资产所有权上几乎所有的风险和报酬的，则不终止确认该金融资产。 </w:t>
      </w:r>
      <w:r>
        <w:rPr>
          <w:spacing w:val="-2"/>
        </w:rPr>
        <w:t>在判断金融资产转移是否满足上述金融资产终止确认条件时，采用实质重于形式的原则。公司将金融资产转移区分为金融资</w:t>
      </w:r>
    </w:p>
    <w:p>
      <w:pPr>
        <w:spacing w:after="0" w:line="312"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right="0"/>
        <w:jc w:val="left"/>
      </w:pPr>
      <w:r>
        <w:rPr/>
        <w:t>产整体转移和部分转移。金融资产整体转移满足终止确认条件的，将下列两项金额的差额计入当期损益：</w:t>
      </w:r>
    </w:p>
    <w:p>
      <w:pPr>
        <w:pStyle w:val="BodyText"/>
        <w:spacing w:line="240" w:lineRule="auto" w:before="76"/>
        <w:ind w:right="0"/>
        <w:jc w:val="left"/>
      </w:pPr>
      <w:r>
        <w:rPr/>
        <w:t>（</w:t>
      </w:r>
      <w:r>
        <w:rPr>
          <w:rFonts w:ascii="Times New Roman" w:hAnsi="Times New Roman" w:cs="Times New Roman" w:eastAsia="Times New Roman" w:hint="default"/>
        </w:rPr>
        <w:t>1</w:t>
      </w:r>
      <w:r>
        <w:rPr/>
        <w:t>）所转移金融资产的账面价值；</w:t>
      </w:r>
    </w:p>
    <w:p>
      <w:pPr>
        <w:pStyle w:val="BodyText"/>
        <w:spacing w:line="300" w:lineRule="auto" w:before="63"/>
        <w:ind w:right="1122"/>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）因转移而收到的对价，与原直接计入所有者权益的公允价值变动累计额（涉及转移的金融资产为可供出售金融资产的</w:t>
      </w:r>
      <w:r>
        <w:rPr>
          <w:spacing w:val="-83"/>
        </w:rPr>
        <w:t> </w:t>
      </w:r>
      <w:r>
        <w:rPr>
          <w:spacing w:val="-83"/>
        </w:rPr>
      </w:r>
      <w:r>
        <w:rPr/>
        <w:t>情形）之和。</w:t>
      </w:r>
    </w:p>
    <w:p>
      <w:pPr>
        <w:spacing w:line="240" w:lineRule="auto" w:before="4"/>
        <w:rPr>
          <w:rFonts w:ascii="宋体" w:hAnsi="宋体" w:cs="宋体" w:eastAsia="宋体" w:hint="default"/>
          <w:sz w:val="26"/>
          <w:szCs w:val="26"/>
        </w:rPr>
      </w:pPr>
    </w:p>
    <w:p>
      <w:pPr>
        <w:pStyle w:val="BodyText"/>
        <w:spacing w:line="316" w:lineRule="auto"/>
        <w:ind w:right="0"/>
        <w:jc w:val="left"/>
      </w:pPr>
      <w:r>
        <w:rPr>
          <w:spacing w:val="-2"/>
        </w:rPr>
        <w:t>金融资产部分转移满足终止确认条件的，将所转移金融资产整体的账面价值，在终止确认部分和未终止确认部分之间，按照</w:t>
      </w:r>
      <w:r>
        <w:rPr>
          <w:spacing w:val="-66"/>
        </w:rPr>
        <w:t> </w:t>
      </w:r>
      <w:r>
        <w:rPr>
          <w:spacing w:val="-66"/>
        </w:rPr>
      </w:r>
      <w:r>
        <w:rPr/>
        <w:t>各自的相对公允价值进行分摊，并将下列两项金额的差额计入当期损益：</w:t>
      </w:r>
    </w:p>
    <w:p>
      <w:pPr>
        <w:pStyle w:val="BodyText"/>
        <w:spacing w:line="240" w:lineRule="auto" w:before="19"/>
        <w:ind w:right="0"/>
        <w:jc w:val="left"/>
      </w:pPr>
      <w:r>
        <w:rPr/>
        <w:t>（</w:t>
      </w:r>
      <w:r>
        <w:rPr>
          <w:rFonts w:ascii="Times New Roman" w:hAnsi="Times New Roman" w:cs="Times New Roman" w:eastAsia="Times New Roman" w:hint="default"/>
        </w:rPr>
        <w:t>1</w:t>
      </w:r>
      <w:r>
        <w:rPr/>
        <w:t>）终止确认部分的账面价值；</w:t>
      </w:r>
    </w:p>
    <w:p>
      <w:pPr>
        <w:pStyle w:val="BodyText"/>
        <w:spacing w:line="309" w:lineRule="auto" w:before="63"/>
        <w:ind w:right="1122"/>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）终止确认部分的对价，与原直接计入所有者权益的公允价值变动累计额中对应终止确认部分的金额（涉及转移的金融</w:t>
      </w:r>
      <w:r>
        <w:rPr>
          <w:spacing w:val="-83"/>
        </w:rPr>
        <w:t> </w:t>
      </w:r>
      <w:r>
        <w:rPr>
          <w:spacing w:val="-83"/>
        </w:rPr>
      </w:r>
      <w:r>
        <w:rPr/>
        <w:t>资产为可供出售金融资产的情形）之和。 金融资产转移不满足终止确认条件的，继续确认该金融资产，所收到的对价确认为一项金融负债。</w:t>
      </w:r>
    </w:p>
    <w:p>
      <w:pPr>
        <w:spacing w:line="240" w:lineRule="auto" w:before="9"/>
        <w:rPr>
          <w:rFonts w:ascii="宋体" w:hAnsi="宋体" w:cs="宋体" w:eastAsia="宋体" w:hint="default"/>
          <w:sz w:val="25"/>
          <w:szCs w:val="25"/>
        </w:rPr>
      </w:pPr>
    </w:p>
    <w:p>
      <w:pPr>
        <w:pStyle w:val="BodyText"/>
        <w:spacing w:line="316" w:lineRule="auto"/>
        <w:ind w:right="1032"/>
        <w:jc w:val="left"/>
      </w:pPr>
      <w:r>
        <w:rPr>
          <w:rFonts w:ascii="Times New Roman" w:hAnsi="Times New Roman" w:cs="Times New Roman" w:eastAsia="Times New Roman" w:hint="default"/>
        </w:rPr>
        <w:t>4</w:t>
      </w:r>
      <w:r>
        <w:rPr/>
        <w:t>、金融负债终止确认条件 </w:t>
      </w:r>
      <w:r>
        <w:rPr>
          <w:spacing w:val="-2"/>
        </w:rPr>
        <w:t>金融负债的现时义务全部或部分已经解除的，则终止确认该金融负债或其一部分；本公司若与债权人签定协议，以承担新金</w:t>
      </w:r>
      <w:r>
        <w:rPr>
          <w:spacing w:val="-65"/>
        </w:rPr>
        <w:t> </w:t>
      </w:r>
      <w:r>
        <w:rPr>
          <w:spacing w:val="-65"/>
        </w:rPr>
      </w:r>
      <w:r>
        <w:rPr>
          <w:spacing w:val="-2"/>
        </w:rPr>
        <w:t>融负债方式替换现存金融负债，且新金融负债与现存金融负债的合同条款实质上不同的，则终止确认现存金融负债，并同时</w:t>
      </w:r>
      <w:r>
        <w:rPr>
          <w:spacing w:val="-66"/>
        </w:rPr>
        <w:t> </w:t>
      </w:r>
      <w:r>
        <w:rPr>
          <w:spacing w:val="-66"/>
        </w:rPr>
      </w:r>
      <w:r>
        <w:rPr/>
        <w:t>确认新金融负债。 </w:t>
      </w:r>
      <w:r>
        <w:rPr>
          <w:spacing w:val="-2"/>
        </w:rPr>
        <w:t>对现存金融负债全部或部分合同条款作出实质性修改的，则终止确认现存金融负债或其一部分，同时将修改条款后的金融负</w:t>
      </w:r>
      <w:r>
        <w:rPr>
          <w:spacing w:val="-64"/>
        </w:rPr>
        <w:t> </w:t>
      </w:r>
      <w:r>
        <w:rPr>
          <w:spacing w:val="-64"/>
        </w:rPr>
      </w:r>
      <w:r>
        <w:rPr/>
        <w:t>债确认为一项新金融负债。 金融负债全部或部分终止确认时，终止确认的金融负债账面价值与支付对价（包括转出的非现金资产或承担的新金融负债）</w:t>
      </w:r>
      <w:r>
        <w:rPr>
          <w:spacing w:val="-85"/>
        </w:rPr>
        <w:t> </w:t>
      </w:r>
      <w:r>
        <w:rPr>
          <w:spacing w:val="-85"/>
        </w:rPr>
      </w:r>
      <w:r>
        <w:rPr/>
        <w:t>之间的差额，计入当期损益。 </w:t>
      </w:r>
      <w:r>
        <w:rPr>
          <w:spacing w:val="-2"/>
        </w:rPr>
        <w:t>本公司若回购部分金融负债的，在回购日按照继续确认部分与终止确认部分的相对公允价值，将该金融负债整体的账面价值</w:t>
      </w:r>
      <w:r>
        <w:rPr>
          <w:spacing w:val="-63"/>
        </w:rPr>
        <w:t> </w:t>
      </w:r>
      <w:r>
        <w:rPr>
          <w:spacing w:val="-63"/>
        </w:rPr>
      </w:r>
      <w:r>
        <w:rPr>
          <w:spacing w:val="-2"/>
        </w:rPr>
        <w:t>进行分配。分配给终止确认部分的账面价值与支付的对价（包括转出的非现金资产或承担的新金融负债）之间的差额，计入</w:t>
      </w:r>
      <w:r>
        <w:rPr>
          <w:spacing w:val="-66"/>
        </w:rPr>
        <w:t> </w:t>
      </w:r>
      <w:r>
        <w:rPr>
          <w:spacing w:val="-66"/>
        </w:rPr>
      </w:r>
      <w:r>
        <w:rPr/>
        <w:t>当期损益。</w:t>
      </w:r>
    </w:p>
    <w:p>
      <w:pPr>
        <w:spacing w:line="240" w:lineRule="auto" w:before="4"/>
        <w:rPr>
          <w:rFonts w:ascii="宋体" w:hAnsi="宋体" w:cs="宋体" w:eastAsia="宋体" w:hint="default"/>
          <w:sz w:val="25"/>
          <w:szCs w:val="25"/>
        </w:rPr>
      </w:pPr>
    </w:p>
    <w:p>
      <w:pPr>
        <w:pStyle w:val="BodyText"/>
        <w:spacing w:line="314" w:lineRule="auto"/>
        <w:ind w:right="0"/>
        <w:jc w:val="left"/>
      </w:pPr>
      <w:r>
        <w:rPr>
          <w:rFonts w:ascii="Times New Roman" w:hAnsi="Times New Roman" w:cs="Times New Roman" w:eastAsia="Times New Roman" w:hint="default"/>
        </w:rPr>
        <w:t>5</w:t>
      </w:r>
      <w:r>
        <w:rPr/>
        <w:t>、金融资产和金融负债的公允价值的确定方法 </w:t>
      </w:r>
      <w:r>
        <w:rPr>
          <w:spacing w:val="-2"/>
        </w:rPr>
        <w:t>存在活跃市场的金融工具，以活跃市场中的报价确定其公允价值。不存在活跃市场的金融工具，采用估值技术确定其公允价</w:t>
      </w:r>
      <w:r>
        <w:rPr>
          <w:spacing w:val="-66"/>
        </w:rPr>
        <w:t> </w:t>
      </w:r>
      <w:r>
        <w:rPr>
          <w:spacing w:val="-66"/>
        </w:rPr>
      </w:r>
      <w:r>
        <w:rPr>
          <w:spacing w:val="-2"/>
        </w:rPr>
        <w:t>值。在估值时，本公司采用在当前情况下适用并且有足够可利用数据和其他信息支持的估值技术，选择与市场参与者在相关</w:t>
      </w:r>
      <w:r>
        <w:rPr>
          <w:spacing w:val="-66"/>
        </w:rPr>
        <w:t> </w:t>
      </w:r>
      <w:r>
        <w:rPr>
          <w:spacing w:val="-66"/>
        </w:rPr>
      </w:r>
      <w:r>
        <w:rPr>
          <w:spacing w:val="-2"/>
        </w:rPr>
        <w:t>资产或负债的交易中所考虑的资产或负债特征相一致的输入值，并优先使用相关可观察输入值。只有在相关可观察输入值无</w:t>
      </w:r>
      <w:r>
        <w:rPr>
          <w:spacing w:val="-64"/>
        </w:rPr>
        <w:t> </w:t>
      </w:r>
      <w:r>
        <w:rPr>
          <w:spacing w:val="-64"/>
        </w:rPr>
      </w:r>
      <w:r>
        <w:rPr/>
        <w:t>法取得或取得不切实可行的情况下，才使用不可观察输入值。</w:t>
      </w:r>
    </w:p>
    <w:p>
      <w:pPr>
        <w:spacing w:line="240" w:lineRule="auto" w:before="6"/>
        <w:rPr>
          <w:rFonts w:ascii="宋体" w:hAnsi="宋体" w:cs="宋体" w:eastAsia="宋体" w:hint="default"/>
          <w:sz w:val="25"/>
          <w:szCs w:val="25"/>
        </w:rPr>
      </w:pPr>
    </w:p>
    <w:p>
      <w:pPr>
        <w:pStyle w:val="BodyText"/>
        <w:spacing w:line="309" w:lineRule="auto"/>
        <w:ind w:right="0"/>
        <w:jc w:val="left"/>
      </w:pPr>
      <w:r>
        <w:rPr>
          <w:rFonts w:ascii="Times New Roman" w:hAnsi="Times New Roman" w:cs="Times New Roman" w:eastAsia="Times New Roman" w:hint="default"/>
        </w:rPr>
        <w:t>6</w:t>
      </w:r>
      <w:r>
        <w:rPr/>
        <w:t>、金融资产（不含应收款项）减值的测试方法及会计处理方法 </w:t>
      </w:r>
      <w:r>
        <w:rPr>
          <w:spacing w:val="-2"/>
        </w:rPr>
        <w:t>除以公允价值计量且其变动计入当期损益的金融资产外，本公司于资产负债表日对金融资产的账面价值进行检查，如果有客</w:t>
      </w:r>
      <w:r>
        <w:rPr>
          <w:spacing w:val="-64"/>
        </w:rPr>
        <w:t> </w:t>
      </w:r>
      <w:r>
        <w:rPr>
          <w:spacing w:val="-64"/>
        </w:rPr>
      </w:r>
      <w:r>
        <w:rPr/>
        <w:t>观证据表明某项金融资产发生减值的，计提减值准备。</w:t>
      </w:r>
    </w:p>
    <w:p>
      <w:pPr>
        <w:pStyle w:val="BodyText"/>
        <w:spacing w:line="314" w:lineRule="auto" w:before="24"/>
        <w:ind w:right="1032"/>
        <w:jc w:val="left"/>
      </w:pPr>
      <w:r>
        <w:rPr/>
        <w:t>（</w:t>
      </w:r>
      <w:r>
        <w:rPr>
          <w:rFonts w:ascii="Times New Roman" w:hAnsi="Times New Roman" w:cs="Times New Roman" w:eastAsia="Times New Roman" w:hint="default"/>
        </w:rPr>
        <w:t>1</w:t>
      </w:r>
      <w:r>
        <w:rPr/>
        <w:t>）可供出售金融资产的减值准备： 期末如果可供出售金融资产的公允价值发生严重下降，或在综合考虑各种相关因素后，预期这种下降趋势属于非暂时性的，</w:t>
      </w:r>
      <w:r>
        <w:rPr>
          <w:spacing w:val="-85"/>
        </w:rPr>
        <w:t> </w:t>
      </w:r>
      <w:r>
        <w:rPr>
          <w:spacing w:val="-85"/>
        </w:rPr>
      </w:r>
      <w:r>
        <w:rPr/>
        <w:t>就认定其已发生减值，将原直接计入所有者权益的公允价值下降形成的累计损失一并转出，确认减值损失。 </w:t>
      </w:r>
      <w:r>
        <w:rPr>
          <w:spacing w:val="-2"/>
        </w:rPr>
        <w:t>对于已确认减值损失的可供出售债务工具，在随后的会计期间公允价值已上升且客观上与确认原减值损失确认后发生的事项</w:t>
      </w:r>
      <w:r>
        <w:rPr>
          <w:spacing w:val="-64"/>
        </w:rPr>
        <w:t> </w:t>
      </w:r>
      <w:r>
        <w:rPr>
          <w:spacing w:val="-64"/>
        </w:rPr>
      </w:r>
      <w:r>
        <w:rPr/>
        <w:t>有关的，原确认的减值损失予以转回，计入当期损益。</w:t>
      </w:r>
    </w:p>
    <w:p>
      <w:pPr>
        <w:pStyle w:val="BodyText"/>
        <w:spacing w:line="240" w:lineRule="auto" w:before="20"/>
        <w:ind w:right="0"/>
        <w:jc w:val="left"/>
      </w:pPr>
      <w:r>
        <w:rPr/>
        <w:t>可供出售权益工具投资发生的减值损失，不通过损益转回。</w:t>
      </w:r>
    </w:p>
    <w:p>
      <w:pPr>
        <w:spacing w:line="240" w:lineRule="auto" w:before="0"/>
        <w:rPr>
          <w:rFonts w:ascii="宋体" w:hAnsi="宋体" w:cs="宋体" w:eastAsia="宋体" w:hint="default"/>
          <w:sz w:val="18"/>
          <w:szCs w:val="18"/>
        </w:rPr>
      </w:pPr>
    </w:p>
    <w:p>
      <w:pPr>
        <w:pStyle w:val="BodyText"/>
        <w:spacing w:line="300" w:lineRule="auto" w:before="153"/>
        <w:ind w:right="5172"/>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after="0" w:line="300" w:lineRule="auto"/>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11、应收票据及应收账款" w:id="195"/>
      <w:bookmarkEnd w:id="195"/>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96"/>
      <w:bookmarkEnd w:id="196"/>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期末单项余额在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万元以上的应收账款。</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4"/>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单独进行减值测试，如有客观证据表明其已发生减值，按预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计未来现金流量现值低于其账面价值的差额计提坏账准备，</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计入当期损益。单独测试未发生减值的应收款项，将其归入</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相应组合计提坏账准备。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按信用风险特征组合计提坏账准备的应收款项" w:id="197"/>
      <w:bookmarkEnd w:id="197"/>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组合中，采用余额百分比法计提坏账准备的：</w:t>
      </w:r>
    </w:p>
    <w:p>
      <w:pPr>
        <w:pStyle w:val="BodyText"/>
        <w:spacing w:line="338" w:lineRule="auto" w:before="117"/>
        <w:ind w:right="7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单项金额不重大但单独计提坏账准备的应收款项" w:id="198"/>
      <w:bookmarkEnd w:id="198"/>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涉及诉讼或对应收款项金额存在争议的应收款项。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4"/>
              <w:jc w:val="left"/>
              <w:rPr>
                <w:rFonts w:ascii="宋体" w:hAnsi="宋体" w:cs="宋体" w:eastAsia="宋体" w:hint="default"/>
                <w:sz w:val="18"/>
                <w:szCs w:val="18"/>
              </w:rPr>
            </w:pPr>
            <w:r>
              <w:rPr>
                <w:rFonts w:ascii="宋体" w:hAnsi="宋体" w:cs="宋体" w:eastAsia="宋体" w:hint="default"/>
                <w:sz w:val="18"/>
                <w:szCs w:val="18"/>
              </w:rPr>
              <w:t>单独进行减值测试，如果客观证据表明其发生了减值的，根</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据其未来现金流量低于其账面价值的差额确认减值损失。</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12、存货" w:id="199"/>
      <w:bookmarkEnd w:id="199"/>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spacing w:after="0" w:line="357"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软件与信息技术服务业</w:t>
      </w:r>
    </w:p>
    <w:p>
      <w:pPr>
        <w:pStyle w:val="BodyText"/>
        <w:spacing w:line="300" w:lineRule="auto" w:before="115"/>
        <w:ind w:right="3192"/>
        <w:jc w:val="left"/>
      </w:pPr>
      <w:r>
        <w:rPr>
          <w:rFonts w:ascii="Times New Roman" w:hAnsi="Times New Roman" w:cs="Times New Roman" w:eastAsia="Times New Roman" w:hint="default"/>
        </w:rPr>
        <w:t>1</w:t>
      </w:r>
      <w:r>
        <w:rPr/>
        <w:t>、存货的分类 存货分类为：在途物资、原材料、周转材料、库存商品、在产品、发出商品、委托加工物资等。</w:t>
      </w:r>
    </w:p>
    <w:p>
      <w:pPr>
        <w:spacing w:line="240" w:lineRule="auto" w:before="4"/>
        <w:rPr>
          <w:rFonts w:ascii="宋体" w:hAnsi="宋体" w:cs="宋体" w:eastAsia="宋体" w:hint="default"/>
          <w:sz w:val="26"/>
          <w:szCs w:val="26"/>
        </w:rPr>
      </w:pPr>
    </w:p>
    <w:p>
      <w:pPr>
        <w:pStyle w:val="BodyText"/>
        <w:spacing w:line="300" w:lineRule="auto"/>
        <w:ind w:right="7692"/>
        <w:jc w:val="left"/>
      </w:pPr>
      <w:r>
        <w:rPr>
          <w:rFonts w:ascii="Times New Roman" w:hAnsi="Times New Roman" w:cs="Times New Roman" w:eastAsia="Times New Roman" w:hint="default"/>
        </w:rPr>
        <w:t>2</w:t>
      </w:r>
      <w:r>
        <w:rPr/>
        <w:t>、发出存货的计价方法 存货发出时按加权平均法计价。</w:t>
      </w:r>
    </w:p>
    <w:p>
      <w:pPr>
        <w:spacing w:line="240" w:lineRule="auto" w:before="3"/>
        <w:rPr>
          <w:rFonts w:ascii="宋体" w:hAnsi="宋体" w:cs="宋体" w:eastAsia="宋体" w:hint="default"/>
          <w:sz w:val="26"/>
          <w:szCs w:val="26"/>
        </w:rPr>
      </w:pPr>
    </w:p>
    <w:p>
      <w:pPr>
        <w:pStyle w:val="BodyText"/>
        <w:spacing w:line="316" w:lineRule="auto"/>
        <w:ind w:right="1118"/>
        <w:jc w:val="left"/>
      </w:pPr>
      <w:r>
        <w:rPr>
          <w:rFonts w:ascii="Times New Roman" w:hAnsi="Times New Roman" w:cs="Times New Roman" w:eastAsia="Times New Roman" w:hint="default"/>
        </w:rPr>
        <w:t>3</w:t>
      </w:r>
      <w:r>
        <w:rPr/>
        <w:t>、不同类别存货可变现净值的确定依据 </w:t>
      </w:r>
      <w:r>
        <w:rPr>
          <w:spacing w:val="-2"/>
        </w:rPr>
        <w:t>产成品、库存商品和用于出售的材料等直接用于出售的商品存货，在正常生产经营过程中，以该存货的估计售价减去估计的</w:t>
      </w:r>
      <w:r>
        <w:rPr>
          <w:spacing w:val="-66"/>
        </w:rPr>
        <w:t> </w:t>
      </w:r>
      <w:r>
        <w:rPr>
          <w:spacing w:val="-66"/>
        </w:rPr>
      </w:r>
      <w:r>
        <w:rPr>
          <w:spacing w:val="-2"/>
        </w:rPr>
        <w:t>销售费用和相关税费后的金额，确定其可变现净值；需要经过加工的材料存货，在正常生产经营过程中，以所生产的产成品</w:t>
      </w:r>
      <w:r>
        <w:rPr>
          <w:spacing w:val="-66"/>
        </w:rPr>
        <w:t> </w:t>
      </w:r>
      <w:r>
        <w:rPr>
          <w:spacing w:val="-66"/>
        </w:rPr>
      </w:r>
      <w:r>
        <w:rPr>
          <w:spacing w:val="-2"/>
        </w:rPr>
        <w:t>的估计售价减去至完工时估计将要发生的成本、估计的销售费用和相关税费后的金额，确定其可变现净值；为执行销售合同</w:t>
      </w:r>
      <w:r>
        <w:rPr>
          <w:spacing w:val="-66"/>
        </w:rPr>
        <w:t> </w:t>
      </w:r>
      <w:r>
        <w:rPr>
          <w:spacing w:val="-66"/>
        </w:rPr>
      </w:r>
      <w:r>
        <w:rPr>
          <w:spacing w:val="-2"/>
        </w:rPr>
        <w:t>或者劳务合同而持有的存货，其可变现净值以合同价格为基础计算，若持有存货的数量多于销售合同订购数量的，超出部分</w:t>
      </w:r>
      <w:r>
        <w:rPr>
          <w:spacing w:val="-66"/>
        </w:rPr>
        <w:t> </w:t>
      </w:r>
      <w:r>
        <w:rPr>
          <w:spacing w:val="-66"/>
        </w:rPr>
      </w:r>
      <w:r>
        <w:rPr/>
        <w:t>的存货的可变现净值以一般销售价格为基础计算。 </w:t>
      </w:r>
      <w:r>
        <w:rPr>
          <w:spacing w:val="-2"/>
        </w:rPr>
        <w:t>期末按照单个存货项目计提存货跌价准备；但对于数量繁多、单价较低的存货，按照存货类别计提存货跌价准备；与在同一</w:t>
      </w:r>
      <w:r>
        <w:rPr>
          <w:spacing w:val="-66"/>
        </w:rPr>
        <w:t> </w:t>
      </w:r>
      <w:r>
        <w:rPr>
          <w:spacing w:val="-66"/>
        </w:rPr>
      </w:r>
      <w:r>
        <w:rPr>
          <w:spacing w:val="-2"/>
        </w:rPr>
        <w:t>地区生产和销售的产品系列相关、具有相同或类似最终用途或目的，且难以与其他项目分开计量的存货，则合并计提存货跌</w:t>
      </w:r>
      <w:r>
        <w:rPr>
          <w:spacing w:val="-66"/>
        </w:rPr>
        <w:t> </w:t>
      </w:r>
      <w:r>
        <w:rPr>
          <w:spacing w:val="-66"/>
        </w:rPr>
      </w:r>
      <w:r>
        <w:rPr/>
        <w:t>价准备。</w:t>
      </w:r>
    </w:p>
    <w:p>
      <w:pPr>
        <w:pStyle w:val="BodyText"/>
        <w:spacing w:line="316" w:lineRule="auto" w:before="19"/>
        <w:ind w:right="1932"/>
        <w:jc w:val="left"/>
      </w:pPr>
      <w:r>
        <w:rPr/>
        <w:t>除有明确证据表明资产负债表日市场价格异常外，存货项目的可变现净值以资产负债表日市场价格为基础确定。 本期期末存货项目的可变现净值以资产负债表日市场价格为基础确定。</w:t>
      </w:r>
    </w:p>
    <w:p>
      <w:pPr>
        <w:spacing w:line="240" w:lineRule="auto" w:before="4"/>
        <w:rPr>
          <w:rFonts w:ascii="宋体" w:hAnsi="宋体" w:cs="宋体" w:eastAsia="宋体" w:hint="default"/>
          <w:sz w:val="25"/>
          <w:szCs w:val="25"/>
        </w:rPr>
      </w:pPr>
    </w:p>
    <w:p>
      <w:pPr>
        <w:pStyle w:val="BodyText"/>
        <w:spacing w:line="300" w:lineRule="auto"/>
        <w:ind w:right="8954"/>
        <w:jc w:val="left"/>
      </w:pPr>
      <w:r>
        <w:rPr>
          <w:rFonts w:ascii="Times New Roman" w:hAnsi="Times New Roman" w:cs="Times New Roman" w:eastAsia="Times New Roman" w:hint="default"/>
        </w:rPr>
        <w:t>4</w:t>
      </w:r>
      <w:r>
        <w:rPr/>
        <w:t>、存货的盘存制度 采用永续盘存制。</w:t>
      </w:r>
    </w:p>
    <w:p>
      <w:pPr>
        <w:spacing w:line="240" w:lineRule="auto" w:before="4"/>
        <w:rPr>
          <w:rFonts w:ascii="宋体" w:hAnsi="宋体" w:cs="宋体" w:eastAsia="宋体" w:hint="default"/>
          <w:sz w:val="26"/>
          <w:szCs w:val="26"/>
        </w:rPr>
      </w:pPr>
    </w:p>
    <w:p>
      <w:pPr>
        <w:pStyle w:val="BodyText"/>
        <w:spacing w:line="240" w:lineRule="auto"/>
        <w:ind w:right="0"/>
        <w:jc w:val="left"/>
      </w:pPr>
      <w:r>
        <w:rPr>
          <w:rFonts w:ascii="Times New Roman" w:hAnsi="Times New Roman" w:cs="Times New Roman" w:eastAsia="Times New Roman" w:hint="default"/>
        </w:rPr>
        <w:t>5</w:t>
      </w:r>
      <w:r>
        <w:rPr/>
        <w:t>、低值易耗品和包装物的摊销方法</w:t>
      </w:r>
    </w:p>
    <w:p>
      <w:pPr>
        <w:pStyle w:val="BodyText"/>
        <w:spacing w:line="240" w:lineRule="auto" w:before="63"/>
        <w:ind w:right="0"/>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63"/>
        <w:ind w:right="0"/>
        <w:jc w:val="left"/>
      </w:pPr>
      <w:r>
        <w:rPr/>
        <w:t>（</w:t>
      </w:r>
      <w:r>
        <w:rPr>
          <w:rFonts w:ascii="Times New Roman" w:hAnsi="Times New Roman" w:cs="Times New Roman" w:eastAsia="Times New Roman" w:hint="default"/>
        </w:rPr>
        <w:t>2</w:t>
      </w:r>
      <w:r>
        <w:rPr/>
        <w:t>）包装物采用一次转销法。</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13、持有待售资产" w:id="200"/>
      <w:bookmarkEnd w:id="200"/>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本公司将同时满足下列条件的非流动资产或处置组划分为持有待售类别：</w:t>
      </w:r>
    </w:p>
    <w:p>
      <w:pPr>
        <w:pStyle w:val="BodyText"/>
        <w:spacing w:line="240" w:lineRule="auto" w:before="76"/>
        <w:ind w:right="0"/>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00" w:lineRule="auto" w:before="63"/>
        <w:ind w:right="1122"/>
        <w:jc w:val="left"/>
      </w:pPr>
      <w:r>
        <w:rPr/>
        <w:t>（</w:t>
      </w:r>
      <w:r>
        <w:rPr>
          <w:rFonts w:ascii="Times New Roman" w:hAnsi="Times New Roman" w:cs="Times New Roman" w:eastAsia="Times New Roman" w:hint="default"/>
        </w:rPr>
        <w:t>2</w:t>
      </w:r>
      <w:r>
        <w:rPr/>
        <w:t>）出售极可能发生，即本公司已经就一项出售计划作出决议且获得确定的购买承诺，预计出售将在一年内完成。有关规</w:t>
      </w:r>
      <w:r>
        <w:rPr>
          <w:spacing w:val="-83"/>
        </w:rPr>
        <w:t> </w:t>
      </w:r>
      <w:r>
        <w:rPr>
          <w:spacing w:val="-83"/>
        </w:rPr>
      </w:r>
      <w:r>
        <w:rPr/>
        <w:t>定要求本公司相关权力机构或者监管部门批准后方可出售的，已经获得批准。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8"/>
        <w:ind w:right="0"/>
        <w:jc w:val="left"/>
        <w:rPr>
          <w:b w:val="0"/>
          <w:bCs w:val="0"/>
        </w:rPr>
      </w:pPr>
      <w:bookmarkStart w:name="14、长期股权投资" w:id="201"/>
      <w:bookmarkEnd w:id="201"/>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18"/>
        <w:jc w:val="left"/>
      </w:pPr>
      <w:r>
        <w:rPr>
          <w:rFonts w:ascii="Times New Roman" w:hAnsi="Times New Roman" w:cs="Times New Roman" w:eastAsia="Times New Roman" w:hint="default"/>
        </w:rPr>
        <w:t>1</w:t>
      </w:r>
      <w:r>
        <w:rPr/>
        <w:t>、共同控制、重大影响的判断标准 </w:t>
      </w:r>
      <w:r>
        <w:rPr>
          <w:spacing w:val="-2"/>
        </w:rPr>
        <w:t>共同控制，是指按照相关约定对某项安排所共有的控制，并且该安排的相关活动必须经过分享控制权的参与方一致同意后才</w:t>
      </w:r>
      <w:r>
        <w:rPr>
          <w:spacing w:val="-64"/>
        </w:rPr>
        <w:t> </w:t>
      </w:r>
      <w:r>
        <w:rPr>
          <w:spacing w:val="-64"/>
        </w:rPr>
      </w:r>
      <w:r>
        <w:rPr>
          <w:spacing w:val="-2"/>
        </w:rPr>
        <w:t>能决策。本公司与其他合营方一同对被投资单位实施共同控制且对被投资单位净资产享有权利的，被投资单位为本公司的合</w:t>
      </w:r>
      <w:r>
        <w:rPr>
          <w:spacing w:val="-64"/>
        </w:rPr>
        <w:t> </w:t>
      </w:r>
      <w:r>
        <w:rPr>
          <w:spacing w:val="-64"/>
        </w:rPr>
      </w:r>
      <w:r>
        <w:rPr/>
        <w:t>营企业。 </w:t>
      </w:r>
      <w:r>
        <w:rPr>
          <w:spacing w:val="-2"/>
        </w:rPr>
        <w:t>重大影响，是指对一个企业的财务和经营决策有参与决策的权力，但并不能够控制或者与其他方一起共同控制这些政策的制</w:t>
      </w:r>
      <w:r>
        <w:rPr>
          <w:spacing w:val="-64"/>
        </w:rPr>
        <w:t> </w:t>
      </w:r>
      <w:r>
        <w:rPr>
          <w:spacing w:val="-64"/>
        </w:rPr>
      </w:r>
      <w:r>
        <w:rPr/>
        <w:t>定。本公司能够对被投资单位施加重大影响的，被投资单位为本公司联营企业。</w:t>
      </w:r>
    </w:p>
    <w:p>
      <w:pPr>
        <w:spacing w:line="240" w:lineRule="auto" w:before="6"/>
        <w:rPr>
          <w:rFonts w:ascii="宋体" w:hAnsi="宋体" w:cs="宋体" w:eastAsia="宋体" w:hint="default"/>
          <w:sz w:val="25"/>
          <w:szCs w:val="25"/>
        </w:rPr>
      </w:pPr>
    </w:p>
    <w:p>
      <w:pPr>
        <w:pStyle w:val="BodyText"/>
        <w:spacing w:line="240" w:lineRule="auto"/>
        <w:ind w:right="0"/>
        <w:jc w:val="left"/>
      </w:pPr>
      <w:r>
        <w:rPr>
          <w:rFonts w:ascii="Times New Roman" w:hAnsi="Times New Roman" w:cs="Times New Roman" w:eastAsia="Times New Roman" w:hint="default"/>
        </w:rPr>
        <w:t>2</w:t>
      </w:r>
      <w:r>
        <w:rPr/>
        <w:t>、初始投资成本的确定</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1118"/>
        <w:jc w:val="left"/>
      </w:pPr>
      <w:r>
        <w:rPr/>
        <w:t>（</w:t>
      </w:r>
      <w:r>
        <w:rPr>
          <w:rFonts w:ascii="Times New Roman" w:hAnsi="Times New Roman" w:cs="Times New Roman" w:eastAsia="Times New Roman" w:hint="default"/>
        </w:rPr>
        <w:t>1</w:t>
      </w:r>
      <w:r>
        <w:rPr/>
        <w:t>）企业合并形成的长期股权投资 </w:t>
      </w:r>
      <w:r>
        <w:rPr>
          <w:spacing w:val="-2"/>
        </w:rPr>
        <w:t>同一控制下的企业合并：公司以支付现金、转让非现金资产或承担债务方式以及以发行权益性证券作为合并对价的，在合并</w:t>
      </w:r>
      <w:r>
        <w:rPr>
          <w:spacing w:val="-66"/>
        </w:rPr>
        <w:t> </w:t>
      </w:r>
      <w:r>
        <w:rPr>
          <w:spacing w:val="-66"/>
        </w:rPr>
      </w:r>
      <w:r>
        <w:rPr>
          <w:spacing w:val="-2"/>
        </w:rPr>
        <w:t>日按照取得被合并方所有者权益在最终控制方合并财务报表中的账面价值的份额作为长期股权投资的初始投资成本。因追加</w:t>
      </w:r>
      <w:r>
        <w:rPr>
          <w:spacing w:val="-64"/>
        </w:rPr>
        <w:t> </w:t>
      </w:r>
      <w:r>
        <w:rPr>
          <w:spacing w:val="-64"/>
        </w:rPr>
      </w:r>
      <w:r>
        <w:rPr>
          <w:spacing w:val="-2"/>
        </w:rPr>
        <w:t>投资等原因能够对同一控制下的被投资单位实施控制的，在合并日根据合并后应享有被合并方净资产在最终控制方合并财务</w:t>
      </w:r>
      <w:r>
        <w:rPr>
          <w:spacing w:val="-64"/>
        </w:rPr>
        <w:t> </w:t>
      </w:r>
      <w:r>
        <w:rPr>
          <w:spacing w:val="-64"/>
        </w:rPr>
      </w:r>
      <w:r>
        <w:rPr>
          <w:spacing w:val="-2"/>
        </w:rPr>
        <w:t>报表中的账面价值的份额，确定长期股权投资的初始投资成本。合并日长期股权投资的初始投资成本，与达到合并前的长期</w:t>
      </w:r>
      <w:r>
        <w:rPr>
          <w:spacing w:val="-66"/>
        </w:rPr>
        <w:t> </w:t>
      </w:r>
      <w:r>
        <w:rPr>
          <w:spacing w:val="-66"/>
        </w:rPr>
      </w:r>
      <w:r>
        <w:rPr>
          <w:spacing w:val="-2"/>
        </w:rPr>
        <w:t>股权投资账面价值加上合并日进一步取得股份新支付对价的账面价值之和的差额，调整股本溢价，股本溢价不足冲减的，冲</w:t>
      </w:r>
      <w:r>
        <w:rPr>
          <w:spacing w:val="-66"/>
        </w:rPr>
        <w:t> </w:t>
      </w:r>
      <w:r>
        <w:rPr>
          <w:spacing w:val="-66"/>
        </w:rPr>
      </w:r>
      <w:r>
        <w:rPr/>
        <w:t>减留存收益。 </w:t>
      </w:r>
      <w:r>
        <w:rPr>
          <w:spacing w:val="-2"/>
        </w:rPr>
        <w:t>非同一控制下的企业合并：公司按照购买日确定的合并成本作为长期股权投资的初始投资成本。因追加投资等原因能够对非</w:t>
      </w:r>
      <w:r>
        <w:rPr>
          <w:spacing w:val="-64"/>
        </w:rPr>
        <w:t> </w:t>
      </w:r>
      <w:r>
        <w:rPr>
          <w:spacing w:val="-64"/>
        </w:rPr>
      </w:r>
      <w:r>
        <w:rPr>
          <w:spacing w:val="-2"/>
        </w:rPr>
        <w:t>同一控制下的被投资单位实施控制的，按照原持有的股权投资账面价值加上新增投资成本之和，作为改按成本法核算的初始</w:t>
      </w:r>
      <w:r>
        <w:rPr>
          <w:spacing w:val="-64"/>
        </w:rPr>
        <w:t> </w:t>
      </w:r>
      <w:r>
        <w:rPr>
          <w:spacing w:val="-64"/>
        </w:rPr>
      </w:r>
      <w:r>
        <w:rPr/>
        <w:t>投资成本。</w:t>
      </w:r>
    </w:p>
    <w:p>
      <w:pPr>
        <w:pStyle w:val="BodyText"/>
        <w:spacing w:line="309" w:lineRule="auto" w:before="19"/>
        <w:ind w:right="3372"/>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w:t>
      </w:r>
    </w:p>
    <w:p>
      <w:pPr>
        <w:pStyle w:val="BodyText"/>
        <w:spacing w:line="316" w:lineRule="auto" w:before="24"/>
        <w:ind w:right="1131"/>
        <w:jc w:val="both"/>
      </w:pPr>
      <w:r>
        <w:rPr>
          <w:spacing w:val="-2"/>
        </w:rPr>
        <w:t>在非货币性资产交换具备商业实质和换入资产或换出资产的公允价值能够可靠计量的前提下，非货币性资产交换换入的长期</w:t>
      </w:r>
      <w:r>
        <w:rPr>
          <w:spacing w:val="-64"/>
        </w:rPr>
        <w:t> </w:t>
      </w:r>
      <w:r>
        <w:rPr>
          <w:spacing w:val="-64"/>
        </w:rPr>
      </w:r>
      <w:r>
        <w:rPr>
          <w:spacing w:val="-2"/>
        </w:rPr>
        <w:t>股权投资以换出资产的公允价值和应支付的相关税费确定其初始投资成本，除非有确凿证据表明换入资产的公允价值更加可</w:t>
      </w:r>
      <w:r>
        <w:rPr>
          <w:spacing w:val="-64"/>
        </w:rPr>
        <w:t> </w:t>
      </w:r>
      <w:r>
        <w:rPr>
          <w:spacing w:val="-64"/>
        </w:rPr>
      </w:r>
      <w:r>
        <w:rPr>
          <w:spacing w:val="-2"/>
        </w:rPr>
        <w:t>靠；不满足上述前提的非货币性资产交换，以换出资产的账面价值和应支付的相关税费作为换入长期股权投资的初始投资成</w:t>
      </w:r>
      <w:r>
        <w:rPr>
          <w:spacing w:val="-64"/>
        </w:rPr>
        <w:t> </w:t>
      </w:r>
      <w:r>
        <w:rPr>
          <w:spacing w:val="-64"/>
        </w:rPr>
      </w:r>
      <w:r>
        <w:rPr/>
        <w:t>本。</w:t>
      </w:r>
    </w:p>
    <w:p>
      <w:pPr>
        <w:pStyle w:val="BodyText"/>
        <w:spacing w:line="240" w:lineRule="auto" w:before="19"/>
        <w:ind w:right="0"/>
        <w:jc w:val="left"/>
      </w:pPr>
      <w:r>
        <w:rPr/>
        <w:t>通过债务重组取得的长期股权投资，其初始投资成本按照公允价值为基础确定。</w:t>
      </w:r>
    </w:p>
    <w:p>
      <w:pPr>
        <w:spacing w:line="240" w:lineRule="auto" w:before="0"/>
        <w:rPr>
          <w:rFonts w:ascii="宋体" w:hAnsi="宋体" w:cs="宋体" w:eastAsia="宋体" w:hint="default"/>
          <w:sz w:val="18"/>
          <w:szCs w:val="18"/>
        </w:rPr>
      </w:pPr>
    </w:p>
    <w:p>
      <w:pPr>
        <w:pStyle w:val="BodyText"/>
        <w:spacing w:line="240" w:lineRule="auto" w:before="153"/>
        <w:ind w:right="0"/>
        <w:jc w:val="left"/>
      </w:pPr>
      <w:r>
        <w:rPr>
          <w:rFonts w:ascii="Times New Roman" w:hAnsi="Times New Roman" w:cs="Times New Roman" w:eastAsia="Times New Roman" w:hint="default"/>
        </w:rPr>
        <w:t>3</w:t>
      </w:r>
      <w:r>
        <w:rPr/>
        <w:t>、后续计量及损益确认方法</w:t>
      </w:r>
    </w:p>
    <w:p>
      <w:pPr>
        <w:pStyle w:val="BodyText"/>
        <w:spacing w:line="309" w:lineRule="auto" w:before="63"/>
        <w:ind w:right="0"/>
        <w:jc w:val="left"/>
      </w:pPr>
      <w:r>
        <w:rPr/>
        <w:t>（</w:t>
      </w:r>
      <w:r>
        <w:rPr>
          <w:rFonts w:ascii="Times New Roman" w:hAnsi="Times New Roman" w:cs="Times New Roman" w:eastAsia="Times New Roman" w:hint="default"/>
        </w:rPr>
        <w:t>1</w:t>
      </w:r>
      <w:r>
        <w:rPr/>
        <w:t>）成本法核算的长期股权投资 </w:t>
      </w:r>
      <w:r>
        <w:rPr>
          <w:spacing w:val="-2"/>
        </w:rPr>
        <w:t>公司对子公司的长期股权投资，采用成本法核算。除取得投资时实际支付的价款或对价中包含的已宣告但尚未发放的现金股</w:t>
      </w:r>
      <w:r>
        <w:rPr>
          <w:spacing w:val="-64"/>
        </w:rPr>
        <w:t> </w:t>
      </w:r>
      <w:r>
        <w:rPr>
          <w:spacing w:val="-64"/>
        </w:rPr>
      </w:r>
      <w:r>
        <w:rPr/>
        <w:t>利或利润外，公司按照享有被投资单位宣告发放的现金股利或利润确认当期投资收益。</w:t>
      </w:r>
    </w:p>
    <w:p>
      <w:pPr>
        <w:pStyle w:val="BodyText"/>
        <w:spacing w:line="314" w:lineRule="auto" w:before="24"/>
        <w:ind w:right="1118"/>
        <w:jc w:val="left"/>
      </w:pPr>
      <w:r>
        <w:rPr/>
        <w:t>（</w:t>
      </w:r>
      <w:r>
        <w:rPr>
          <w:rFonts w:ascii="Times New Roman" w:hAnsi="Times New Roman" w:cs="Times New Roman" w:eastAsia="Times New Roman" w:hint="default"/>
        </w:rPr>
        <w:t>2</w:t>
      </w:r>
      <w:r>
        <w:rPr/>
        <w:t>）权益法核算的长期股权投资 </w:t>
      </w:r>
      <w:r>
        <w:rPr>
          <w:spacing w:val="-2"/>
        </w:rPr>
        <w:t>对联营企业和合营企业的长期股权投资，采用权益法核算。初始投资成本大于投资时应享有被投资单位可辨认净资产公允价</w:t>
      </w:r>
      <w:r>
        <w:rPr>
          <w:spacing w:val="-64"/>
        </w:rPr>
        <w:t> </w:t>
      </w:r>
      <w:r>
        <w:rPr>
          <w:spacing w:val="-64"/>
        </w:rPr>
      </w:r>
      <w:r>
        <w:rPr>
          <w:spacing w:val="-2"/>
        </w:rPr>
        <w:t>值份额的差额，不调整长期股权投资的初始投资成本；初始投资成本小于投资时应享有被投资单位可辨认净资产公允价值份</w:t>
      </w:r>
      <w:r>
        <w:rPr>
          <w:spacing w:val="-64"/>
        </w:rPr>
        <w:t> </w:t>
      </w:r>
      <w:r>
        <w:rPr>
          <w:spacing w:val="-64"/>
        </w:rPr>
      </w:r>
      <w:r>
        <w:rPr/>
        <w:t>额的差额，计入当期损益。 </w:t>
      </w:r>
      <w:r>
        <w:rPr>
          <w:spacing w:val="-2"/>
        </w:rPr>
        <w:t>公司按照应享有或应分担的被投资单位实现的净损益和其他综合收益的份额，分别确认投资收益和其他综合收益，同时调整</w:t>
      </w:r>
      <w:r>
        <w:rPr>
          <w:spacing w:val="-64"/>
        </w:rPr>
        <w:t> </w:t>
      </w:r>
      <w:r>
        <w:rPr>
          <w:spacing w:val="-64"/>
        </w:rPr>
      </w:r>
      <w:r>
        <w:rPr>
          <w:spacing w:val="-2"/>
        </w:rPr>
        <w:t>长期股权投资的账面价值；按照被投资单位宣告分派的利润或现金股利计算应享有的部分，相应减少长期股权投资的账面价</w:t>
      </w:r>
      <w:r>
        <w:rPr>
          <w:spacing w:val="-64"/>
        </w:rPr>
        <w:t> </w:t>
      </w:r>
      <w:r>
        <w:rPr>
          <w:spacing w:val="-64"/>
        </w:rPr>
      </w:r>
      <w:r>
        <w:rPr>
          <w:spacing w:val="-2"/>
        </w:rPr>
        <w:t>值；对于被投资单位除净损益、其他综合收益和利润分配以外所有者权益的其他变动，调整长期股权投资的账面价值并计入</w:t>
      </w:r>
      <w:r>
        <w:rPr>
          <w:spacing w:val="-66"/>
        </w:rPr>
        <w:t> </w:t>
      </w:r>
      <w:r>
        <w:rPr>
          <w:spacing w:val="-66"/>
        </w:rPr>
      </w:r>
      <w:r>
        <w:rPr/>
        <w:t>所有者权益。 </w:t>
      </w:r>
      <w:r>
        <w:rPr>
          <w:spacing w:val="-2"/>
        </w:rPr>
        <w:t>在确认应享有被投资单位净损益的份额时，以取得投资时被投资单位可辨认净资产的公允价值为基础，并按照公司的会计政</w:t>
      </w:r>
      <w:r>
        <w:rPr>
          <w:spacing w:val="-64"/>
        </w:rPr>
        <w:t> </w:t>
      </w:r>
      <w:r>
        <w:rPr>
          <w:spacing w:val="-64"/>
        </w:rPr>
      </w:r>
      <w:r>
        <w:rPr>
          <w:spacing w:val="-2"/>
        </w:rPr>
        <w:t>策及会计期间，对被投资单位的净利润进行调整后确认。在持有投资期间，被投资单位编制合并财务报表的，以合并财务报</w:t>
      </w:r>
      <w:r>
        <w:rPr>
          <w:spacing w:val="-66"/>
        </w:rPr>
        <w:t> </w:t>
      </w:r>
      <w:r>
        <w:rPr>
          <w:spacing w:val="-66"/>
        </w:rPr>
      </w:r>
      <w:r>
        <w:rPr/>
        <w:t>表中的净利润、其他综合收益和其他所有者权益变动中归属于被投资单位的金额为基础进行核算。 </w:t>
      </w:r>
      <w:r>
        <w:rPr>
          <w:spacing w:val="-2"/>
        </w:rPr>
        <w:t>公司与联营企业、合营企业之间发生的未实现内部交易损益按照应享有的比例计算归属于公司的部分，予以抵销，在此基础</w:t>
      </w:r>
      <w:r>
        <w:rPr>
          <w:spacing w:val="-65"/>
        </w:rPr>
        <w:t> </w:t>
      </w:r>
      <w:r>
        <w:rPr>
          <w:spacing w:val="-65"/>
        </w:rPr>
      </w:r>
      <w:r>
        <w:rPr>
          <w:spacing w:val="-2"/>
        </w:rPr>
        <w:t>上确认投资收益。与被投资单位发生的未实现内部交易损失，属于资产减值损失的，全额确认。公司与联营企业、合营企业</w:t>
      </w:r>
      <w:r>
        <w:rPr>
          <w:spacing w:val="-66"/>
        </w:rPr>
        <w:t> </w:t>
      </w:r>
      <w:r>
        <w:rPr>
          <w:spacing w:val="-66"/>
        </w:rPr>
      </w:r>
      <w:r>
        <w:rPr/>
        <w:t>之间发生投出或出售资产的交易，该资产构成业务的，按照本附注</w:t>
      </w:r>
      <w:r>
        <w:rPr>
          <w:rFonts w:ascii="Times New Roman" w:hAnsi="Times New Roman" w:cs="Times New Roman" w:eastAsia="Times New Roman" w:hint="default"/>
        </w:rPr>
        <w:t>“</w:t>
      </w:r>
      <w:r>
        <w:rPr/>
        <w:t>三、（五）同一控制下和非同一控制下企业合并的会计</w:t>
      </w:r>
      <w:r>
        <w:rPr>
          <w:spacing w:val="-76"/>
        </w:rPr>
        <w:t> </w:t>
      </w:r>
      <w:r>
        <w:rPr>
          <w:spacing w:val="-76"/>
        </w:rPr>
      </w:r>
      <w:r>
        <w:rPr/>
        <w:t>处理方法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三、（六）合并财务报表的编制方法</w:t>
      </w:r>
      <w:r>
        <w:rPr>
          <w:rFonts w:ascii="Times New Roman" w:hAnsi="Times New Roman" w:cs="Times New Roman" w:eastAsia="Times New Roman" w:hint="default"/>
        </w:rPr>
        <w:t>”</w:t>
      </w:r>
      <w:r>
        <w:rPr/>
        <w:t>中披露的相关政策进行会计处理。 </w:t>
      </w:r>
      <w:r>
        <w:rPr>
          <w:spacing w:val="-2"/>
        </w:rPr>
        <w:t>在公司确认应分担被投资单位发生的亏损时，按照以下顺序进行处理：首先，冲减长期股权投资的账面价值。其次，长期股</w:t>
      </w:r>
      <w:r>
        <w:rPr>
          <w:spacing w:val="-66"/>
        </w:rPr>
        <w:t> </w:t>
      </w:r>
      <w:r>
        <w:rPr>
          <w:spacing w:val="-66"/>
        </w:rPr>
      </w:r>
      <w:r>
        <w:rPr>
          <w:spacing w:val="-2"/>
        </w:rPr>
        <w:t>权投资的账面价值不足以冲减的，以其他实质上构成对被投资单位净投资的长期权益账面价值为限继续确认投资损失，冲减</w:t>
      </w:r>
      <w:r>
        <w:rPr>
          <w:spacing w:val="-63"/>
        </w:rPr>
        <w:t> </w:t>
      </w:r>
      <w:r>
        <w:rPr>
          <w:spacing w:val="-63"/>
        </w:rPr>
      </w:r>
      <w:r>
        <w:rPr>
          <w:spacing w:val="-2"/>
        </w:rPr>
        <w:t>长期应收项目等的账面价值。最后，经过上述处理，按照投资合同或协议约定企业仍承担额外义务的，按预计承担的义务确</w:t>
      </w:r>
      <w:r>
        <w:rPr>
          <w:spacing w:val="-66"/>
        </w:rPr>
        <w:t> </w:t>
      </w:r>
      <w:r>
        <w:rPr>
          <w:spacing w:val="-66"/>
        </w:rPr>
      </w:r>
      <w:r>
        <w:rPr/>
        <w:t>认预计负债，计入当期投资损失。</w:t>
      </w:r>
    </w:p>
    <w:p>
      <w:pPr>
        <w:pStyle w:val="BodyText"/>
        <w:spacing w:line="300" w:lineRule="auto" w:before="20"/>
        <w:ind w:right="4992"/>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spacing w:after="0" w:line="30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1118"/>
        <w:jc w:val="left"/>
      </w:pPr>
      <w:r>
        <w:rPr>
          <w:spacing w:val="-2"/>
        </w:rPr>
        <w:t>采用权益法核算的长期股权投资，在处置该项投资时，采用与被投资单位直接处置相关资产或负债相同的基础，按相应比例</w:t>
      </w:r>
      <w:r>
        <w:rPr>
          <w:spacing w:val="-66"/>
        </w:rPr>
        <w:t> </w:t>
      </w:r>
      <w:r>
        <w:rPr>
          <w:spacing w:val="-66"/>
        </w:rPr>
      </w:r>
      <w:r>
        <w:rPr>
          <w:spacing w:val="-2"/>
        </w:rPr>
        <w:t>对原计入其他综合收益的部分进行会计处理。因被投资单位除净损益、其他综合收益和利润分配以外的其他所有者权益变动</w:t>
      </w:r>
      <w:r>
        <w:rPr>
          <w:spacing w:val="-64"/>
        </w:rPr>
        <w:t> </w:t>
      </w:r>
      <w:r>
        <w:rPr>
          <w:spacing w:val="-64"/>
        </w:rPr>
      </w:r>
      <w:r>
        <w:rPr>
          <w:spacing w:val="-2"/>
        </w:rPr>
        <w:t>而确认的所有者权益，按比例结转入当期损益，由于被投资方重新计量设定受益计划净负债或净资产变动而产生的其他综合</w:t>
      </w:r>
      <w:r>
        <w:rPr>
          <w:spacing w:val="-64"/>
        </w:rPr>
        <w:t> </w:t>
      </w:r>
      <w:r>
        <w:rPr>
          <w:spacing w:val="-64"/>
        </w:rPr>
      </w:r>
      <w:r>
        <w:rPr/>
        <w:t>收益除外。 </w:t>
      </w:r>
      <w:r>
        <w:rPr>
          <w:spacing w:val="-2"/>
        </w:rPr>
        <w:t>因处置部分股权投资等原因丧失了对被投资单位的共同控制或重大影响的，处置后的剩余股权改按金融工具确认和计量准则</w:t>
      </w:r>
      <w:r>
        <w:rPr>
          <w:spacing w:val="-64"/>
        </w:rPr>
        <w:t> </w:t>
      </w:r>
      <w:r>
        <w:rPr>
          <w:spacing w:val="-64"/>
        </w:rPr>
      </w:r>
      <w:r>
        <w:rPr>
          <w:spacing w:val="-2"/>
        </w:rPr>
        <w:t>核算，其在丧失共同控制或重大影响之日的公允价值与账面价值之间的差额计入当期损益。原股权投资因采用权益法核算而</w:t>
      </w:r>
      <w:r>
        <w:rPr>
          <w:spacing w:val="-64"/>
        </w:rPr>
        <w:t> </w:t>
      </w:r>
      <w:r>
        <w:rPr>
          <w:spacing w:val="-64"/>
        </w:rPr>
      </w:r>
      <w:r>
        <w:rPr>
          <w:spacing w:val="-2"/>
        </w:rPr>
        <w:t>确认的其他综合收益，在终止采用权益法核算时采用与被投资单位直接处置相关资产或负债相同的基础进行会计处理。因被</w:t>
      </w:r>
      <w:r>
        <w:rPr>
          <w:spacing w:val="-64"/>
        </w:rPr>
        <w:t> </w:t>
      </w:r>
      <w:r>
        <w:rPr>
          <w:spacing w:val="-64"/>
        </w:rPr>
      </w:r>
      <w:r>
        <w:rPr>
          <w:spacing w:val="-2"/>
        </w:rPr>
        <w:t>投资方除净损益、其他综合收益和利润分配以外的其他所有者权益变动而确认的所有者权益，在终止采用权益法核算时全部</w:t>
      </w:r>
      <w:r>
        <w:rPr>
          <w:spacing w:val="-64"/>
        </w:rPr>
        <w:t> </w:t>
      </w:r>
      <w:r>
        <w:rPr>
          <w:spacing w:val="-64"/>
        </w:rPr>
      </w:r>
      <w:r>
        <w:rPr/>
        <w:t>转入当期损益。 </w:t>
      </w:r>
      <w:r>
        <w:rPr>
          <w:spacing w:val="-2"/>
        </w:rPr>
        <w:t>因处置部分股权投资、因其他投资方对子公司增资而导致本公司持股比例下降等原因丧失了对被投资单位控制权的，在编制</w:t>
      </w:r>
      <w:r>
        <w:rPr>
          <w:spacing w:val="-64"/>
        </w:rPr>
        <w:t> </w:t>
      </w:r>
      <w:r>
        <w:rPr>
          <w:spacing w:val="-64"/>
        </w:rPr>
      </w:r>
      <w:r>
        <w:rPr>
          <w:spacing w:val="-2"/>
        </w:rPr>
        <w:t>个别财务报表时，剩余股权能够对被投资单位实施共同控制或重大影响的，改按权益法核算，并对该剩余股权视同自取得时</w:t>
      </w:r>
      <w:r>
        <w:rPr>
          <w:spacing w:val="-66"/>
        </w:rPr>
        <w:t> </w:t>
      </w:r>
      <w:r>
        <w:rPr>
          <w:spacing w:val="-66"/>
        </w:rPr>
      </w:r>
      <w:r>
        <w:rPr>
          <w:spacing w:val="-2"/>
        </w:rPr>
        <w:t>即采用权益法核算进行调整；剩余股权不能对被投资单位实施共同控制或施加重大影响的，改按金融工具确认和计量准则的</w:t>
      </w:r>
      <w:r>
        <w:rPr>
          <w:spacing w:val="-64"/>
        </w:rPr>
        <w:t> </w:t>
      </w:r>
      <w:r>
        <w:rPr>
          <w:spacing w:val="-64"/>
        </w:rPr>
      </w:r>
      <w:r>
        <w:rPr/>
        <w:t>有关规定进行会计处理，其在丧失控制之日的公允价值与账面价值间的差额计入当期损益。 </w:t>
      </w:r>
      <w:r>
        <w:rPr>
          <w:spacing w:val="-2"/>
        </w:rPr>
        <w:t>处置的股权是因追加投资等原因通过企业合并取得的，在编制个别财务报表时，处置后的剩余股权采用成本法或权益法核算</w:t>
      </w:r>
      <w:r>
        <w:rPr>
          <w:spacing w:val="-63"/>
        </w:rPr>
        <w:t> </w:t>
      </w:r>
      <w:r>
        <w:rPr>
          <w:spacing w:val="-63"/>
        </w:rPr>
      </w:r>
      <w:r>
        <w:rPr>
          <w:spacing w:val="-2"/>
        </w:rPr>
        <w:t>的，购买日之前持有的股权投资因采用权益法核算而确认的其他综合收益和其他所有者权益按比例结转；处置后的剩余股权</w:t>
      </w:r>
      <w:r>
        <w:rPr>
          <w:spacing w:val="-64"/>
        </w:rPr>
        <w:t> </w:t>
      </w:r>
      <w:r>
        <w:rPr>
          <w:spacing w:val="-64"/>
        </w:rPr>
      </w:r>
      <w:r>
        <w:rPr/>
        <w:t>改按金融工具确认和计量准则进行会计处理的，其他综合收益和其他所有者权益全部结转。</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5、投资性房地产" w:id="202"/>
      <w:bookmarkEnd w:id="202"/>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952"/>
        <w:jc w:val="left"/>
      </w:pPr>
      <w:r>
        <w:rPr/>
        <w:t>投资性房地产计量模式 成本法计量 折旧或摊销方法</w:t>
      </w:r>
    </w:p>
    <w:p>
      <w:pPr>
        <w:pStyle w:val="BodyText"/>
        <w:spacing w:line="316" w:lineRule="auto" w:before="25"/>
        <w:ind w:right="1118"/>
        <w:jc w:val="left"/>
      </w:pPr>
      <w:r>
        <w:rPr>
          <w:spacing w:val="-2"/>
        </w:rPr>
        <w:t>投资性房地产是指为赚取租金或资本增值，或两者兼有而持有的房地产，包括已出租的土地使用权、持有并准备增值后转让</w:t>
      </w:r>
      <w:r>
        <w:rPr>
          <w:spacing w:val="-66"/>
        </w:rPr>
        <w:t> </w:t>
      </w:r>
      <w:r>
        <w:rPr>
          <w:spacing w:val="-66"/>
        </w:rPr>
      </w:r>
      <w:r>
        <w:rPr>
          <w:spacing w:val="-2"/>
        </w:rPr>
        <w:t>的土地使用权、已出租的建筑物（含自行建造或开发活动完成后用于出租的建筑物以及正在建造或开发过程中将来用于出租</w:t>
      </w:r>
      <w:r>
        <w:rPr>
          <w:spacing w:val="-64"/>
        </w:rPr>
        <w:t> </w:t>
      </w:r>
      <w:r>
        <w:rPr>
          <w:spacing w:val="-64"/>
        </w:rPr>
      </w:r>
      <w:r>
        <w:rPr/>
        <w:t>的建筑物）。 </w:t>
      </w:r>
      <w:r>
        <w:rPr>
          <w:spacing w:val="-2"/>
        </w:rPr>
        <w:t>公司对现有投资性房地产采用成本模式计量。对按照成本模式计量的投资性房地产－出租用建筑物采用与本公司固定资产相</w:t>
      </w:r>
      <w:r>
        <w:rPr>
          <w:spacing w:val="-64"/>
        </w:rPr>
        <w:t> </w:t>
      </w:r>
      <w:r>
        <w:rPr>
          <w:spacing w:val="-64"/>
        </w:rPr>
      </w:r>
      <w:r>
        <w:rPr/>
        <w:t>同的折旧政策，出租用土地使用权按与无形资产相同的摊销政策执行。</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6、固定资产" w:id="203"/>
      <w:bookmarkEnd w:id="203"/>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204"/>
      <w:bookmarkEnd w:id="204"/>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jc w:val="left"/>
      </w:pPr>
      <w:r>
        <w:rPr>
          <w:spacing w:val="-2"/>
        </w:rPr>
        <w:t>固定资产指为生产商品、提供劳务、出租或经营管理而持有，并且使用寿命超过一个会计年度的有形资产。固定资产在同时</w:t>
      </w:r>
      <w:r>
        <w:rPr>
          <w:spacing w:val="-66"/>
        </w:rPr>
        <w:t> </w:t>
      </w:r>
      <w:r>
        <w:rPr>
          <w:spacing w:val="-66"/>
        </w:rPr>
      </w:r>
      <w:r>
        <w:rPr>
          <w:spacing w:val="-4"/>
        </w:rPr>
        <w:t>满足下列条件时予以确认：（</w:t>
      </w:r>
      <w:r>
        <w:rPr>
          <w:rFonts w:ascii="Times New Roman" w:hAnsi="Times New Roman" w:cs="Times New Roman" w:eastAsia="Times New Roman" w:hint="default"/>
          <w:spacing w:val="-4"/>
        </w:rPr>
        <w:t>1</w:t>
      </w:r>
      <w:r>
        <w:rPr>
          <w:spacing w:val="-4"/>
        </w:rPr>
        <w:t>）与该固定资产有关的经济利益很可能流入企业；（</w:t>
      </w:r>
      <w:r>
        <w:rPr>
          <w:rFonts w:ascii="Times New Roman" w:hAnsi="Times New Roman" w:cs="Times New Roman" w:eastAsia="Times New Roman" w:hint="default"/>
          <w:spacing w:val="-4"/>
        </w:rPr>
        <w:t>2</w:t>
      </w:r>
      <w:r>
        <w:rPr>
          <w:spacing w:val="-4"/>
        </w:rPr>
        <w:t>）该固定资产的成本能够可靠地计量。</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2）折旧方法" w:id="205"/>
      <w:bookmarkEnd w:id="205"/>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7.92%-11.88%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11.88%-23.75%</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办公家具工具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11.88%-23.75%</w:t>
            </w:r>
          </w:p>
        </w:tc>
      </w:tr>
    </w:tbl>
    <w:p>
      <w:pPr>
        <w:pStyle w:val="BodyText"/>
        <w:spacing w:line="240" w:lineRule="auto" w:before="10"/>
        <w:ind w:right="0"/>
        <w:jc w:val="left"/>
      </w:pPr>
      <w:r>
        <w:rPr/>
        <w:t>固定资产折旧采用年限平均法分类计提，根据固定资产类别、预计使用寿命和预计净残值率确定折旧率。如固定资产各组成</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1032"/>
        <w:jc w:val="left"/>
      </w:pPr>
      <w:r>
        <w:rPr/>
        <w:t>部分的使用寿命不同或者以不同方式为企业提供经济利益，则选择不同折旧率或折旧方法，分别计提折旧。 </w:t>
      </w:r>
      <w:r>
        <w:rPr>
          <w:spacing w:val="-4"/>
        </w:rPr>
        <w:t>融资租赁方式租入的固定资产，能合理确定租赁期届满时将会取得租赁资产所有权的，在租赁资产尚可使用年限内计提折旧；</w:t>
      </w:r>
      <w:r>
        <w:rPr>
          <w:spacing w:val="-44"/>
        </w:rPr>
        <w:t> </w:t>
      </w:r>
      <w:r>
        <w:rPr>
          <w:spacing w:val="-44"/>
        </w:rPr>
      </w:r>
      <w:r>
        <w:rPr/>
        <w:t>无法合理确定租赁期届满时能够取得租赁资产所有权的，在租赁期与租赁资产尚可使用年限两者中较短的期间内计提折旧。</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融资租入固定资产的认定依据、计价和折旧方法" w:id="206"/>
      <w:bookmarkEnd w:id="206"/>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right="0"/>
        <w:jc w:val="left"/>
      </w:pPr>
      <w:r>
        <w:rPr>
          <w:spacing w:val="-4"/>
        </w:rPr>
        <w:t>公司与租赁方所签订的租赁协议条款中规定了下列条件之一的，确认为融资租入资产：（</w:t>
      </w:r>
      <w:r>
        <w:rPr>
          <w:rFonts w:ascii="Times New Roman" w:hAnsi="Times New Roman" w:cs="Times New Roman" w:eastAsia="Times New Roman" w:hint="default"/>
          <w:spacing w:val="-4"/>
        </w:rPr>
        <w:t>1</w:t>
      </w:r>
      <w:r>
        <w:rPr>
          <w:spacing w:val="-4"/>
        </w:rPr>
        <w:t>）租赁期满后租赁资产的所有权归</w:t>
      </w:r>
      <w:r>
        <w:rPr>
          <w:spacing w:val="-44"/>
        </w:rPr>
        <w:t> </w:t>
      </w:r>
      <w:r>
        <w:rPr>
          <w:spacing w:val="-44"/>
        </w:rPr>
      </w:r>
      <w:r>
        <w:rPr>
          <w:spacing w:val="-5"/>
        </w:rPr>
        <w:t>属于本公司；（</w:t>
      </w:r>
      <w:r>
        <w:rPr>
          <w:rFonts w:ascii="Times New Roman" w:hAnsi="Times New Roman" w:cs="Times New Roman" w:eastAsia="Times New Roman" w:hint="default"/>
          <w:spacing w:val="-5"/>
        </w:rPr>
        <w:t>2</w:t>
      </w:r>
      <w:r>
        <w:rPr>
          <w:spacing w:val="-5"/>
        </w:rPr>
        <w:t>）公司具有购买资产的选择权，购买价款远低于行使选择权时该资产的公允价值；（</w:t>
      </w:r>
      <w:r>
        <w:rPr>
          <w:rFonts w:ascii="Times New Roman" w:hAnsi="Times New Roman" w:cs="Times New Roman" w:eastAsia="Times New Roman" w:hint="default"/>
          <w:spacing w:val="-5"/>
        </w:rPr>
        <w:t>3</w:t>
      </w:r>
      <w:r>
        <w:rPr>
          <w:spacing w:val="-5"/>
        </w:rPr>
        <w:t>）租赁期占所租赁资产</w:t>
      </w:r>
      <w:r>
        <w:rPr>
          <w:spacing w:val="-74"/>
        </w:rPr>
        <w:t> </w:t>
      </w:r>
      <w:r>
        <w:rPr>
          <w:spacing w:val="-74"/>
        </w:rPr>
      </w:r>
      <w:r>
        <w:rPr>
          <w:spacing w:val="-2"/>
        </w:rPr>
        <w:t>使用寿命的大部分；（</w:t>
      </w:r>
      <w:r>
        <w:rPr>
          <w:rFonts w:ascii="Times New Roman" w:hAnsi="Times New Roman" w:cs="Times New Roman" w:eastAsia="Times New Roman" w:hint="default"/>
          <w:spacing w:val="-2"/>
        </w:rPr>
        <w:t>4</w:t>
      </w:r>
      <w:r>
        <w:rPr>
          <w:spacing w:val="-2"/>
        </w:rPr>
        <w:t>）租赁开始日的最低租赁付款额现值，与该资产的公允价值不存在较大的差异。公司在承租开始日，</w:t>
      </w:r>
      <w:r>
        <w:rPr>
          <w:spacing w:val="-65"/>
        </w:rPr>
        <w:t> </w:t>
      </w:r>
      <w:r>
        <w:rPr>
          <w:spacing w:val="-65"/>
        </w:rPr>
      </w:r>
      <w:r>
        <w:rPr>
          <w:spacing w:val="-2"/>
        </w:rPr>
        <w:t>将租赁资产公允价值与最低租赁付款额现值两者中较低者作为租入资产的入账价值，将最低租赁付款额作为长期应付款的入</w:t>
      </w:r>
      <w:r>
        <w:rPr>
          <w:spacing w:val="-64"/>
        </w:rPr>
        <w:t> </w:t>
      </w:r>
      <w:r>
        <w:rPr>
          <w:spacing w:val="-64"/>
        </w:rPr>
      </w:r>
      <w:r>
        <w:rPr/>
        <w:t>账价值，其差额作为未确认的融资费。</w:t>
      </w:r>
    </w:p>
    <w:p>
      <w:pPr>
        <w:spacing w:line="240" w:lineRule="auto" w:before="0"/>
        <w:rPr>
          <w:rFonts w:ascii="宋体" w:hAnsi="宋体" w:cs="宋体" w:eastAsia="宋体" w:hint="default"/>
          <w:sz w:val="23"/>
          <w:szCs w:val="23"/>
        </w:rPr>
      </w:pPr>
    </w:p>
    <w:p>
      <w:pPr>
        <w:pStyle w:val="Heading3"/>
        <w:spacing w:line="240" w:lineRule="auto"/>
        <w:ind w:right="0"/>
        <w:jc w:val="left"/>
        <w:rPr>
          <w:b w:val="0"/>
          <w:bCs w:val="0"/>
        </w:rPr>
      </w:pPr>
      <w:bookmarkStart w:name="17、在建工程" w:id="207"/>
      <w:bookmarkEnd w:id="207"/>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338" w:lineRule="auto" w:before="29"/>
        <w:ind w:right="0"/>
        <w:jc w:val="left"/>
      </w:pPr>
      <w:r>
        <w:rPr/>
        <w:t>软件与信息技术服务业 </w:t>
      </w:r>
      <w:r>
        <w:rPr>
          <w:spacing w:val="-2"/>
        </w:rPr>
        <w:t>在建工程项目按建造该项资产达到预定可使用状态前所发生的必要支出，作为固定资产的入账价值。所建造的固定资产在工</w:t>
      </w:r>
      <w:r>
        <w:rPr>
          <w:spacing w:val="-64"/>
        </w:rPr>
        <w:t> </w:t>
      </w:r>
      <w:r>
        <w:rPr>
          <w:spacing w:val="-64"/>
        </w:rPr>
      </w:r>
      <w:r>
        <w:rPr>
          <w:spacing w:val="-2"/>
        </w:rPr>
        <w:t>程已达到预定可使用状态，但尚未办理竣工决算的，自达到预定可使用状态之日起，根据工程预算、造价或者工程实际成本</w:t>
      </w:r>
    </w:p>
    <w:p>
      <w:pPr>
        <w:pStyle w:val="BodyText"/>
        <w:spacing w:line="316" w:lineRule="auto" w:before="2"/>
        <w:ind w:right="0"/>
        <w:jc w:val="left"/>
      </w:pPr>
      <w:r>
        <w:rPr>
          <w:spacing w:val="-2"/>
        </w:rPr>
        <w:t>等，按估计的价值转入固定资产，并按本公司固定资产折旧政策计提固定资产的折旧，待办理竣工决算后，再按实际成本调</w:t>
      </w:r>
      <w:r>
        <w:rPr>
          <w:spacing w:val="-66"/>
        </w:rPr>
        <w:t> </w:t>
      </w:r>
      <w:r>
        <w:rPr>
          <w:spacing w:val="-66"/>
        </w:rPr>
      </w:r>
      <w:r>
        <w:rPr/>
        <w:t>整原来的暂估价值，但不调整原已计提的折旧额。</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8、借款费用" w:id="208"/>
      <w:bookmarkEnd w:id="208"/>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18"/>
        <w:jc w:val="left"/>
      </w:pPr>
      <w:r>
        <w:rPr>
          <w:rFonts w:ascii="Times New Roman" w:hAnsi="Times New Roman" w:cs="Times New Roman" w:eastAsia="Times New Roman" w:hint="default"/>
        </w:rPr>
        <w:t>1</w:t>
      </w:r>
      <w:r>
        <w:rPr/>
        <w:t>、借款费用资本化的确认原则 借款费用，包括借款利息、折价或者溢价的摊销、辅助费用以及因外币借款而发生的汇兑差额等。 </w:t>
      </w:r>
      <w:r>
        <w:rPr>
          <w:spacing w:val="-2"/>
        </w:rPr>
        <w:t>公司发生的借款费用，可直接归属于符合资本化条件的资产的购建或者生产的，予以资本化，计入相关资产成本；其他借款</w:t>
      </w:r>
      <w:r>
        <w:rPr>
          <w:spacing w:val="-66"/>
        </w:rPr>
        <w:t> </w:t>
      </w:r>
      <w:r>
        <w:rPr>
          <w:spacing w:val="-66"/>
        </w:rPr>
      </w:r>
      <w:r>
        <w:rPr/>
        <w:t>费用，在发生时根据其发生额确认为费用，计入当期损益。 </w:t>
      </w:r>
      <w:r>
        <w:rPr>
          <w:spacing w:val="-2"/>
        </w:rPr>
        <w:t>符合资本化条件的资产，是指需要经过相当长时间的购建或者生产活动才能达到预定可使用或者可销售状态的固定资产、投</w:t>
      </w:r>
      <w:r>
        <w:rPr>
          <w:spacing w:val="-64"/>
        </w:rPr>
        <w:t> </w:t>
      </w:r>
      <w:r>
        <w:rPr>
          <w:spacing w:val="-64"/>
        </w:rPr>
      </w:r>
      <w:r>
        <w:rPr/>
        <w:t>资性房地产和存货等资产。</w:t>
      </w:r>
    </w:p>
    <w:p>
      <w:pPr>
        <w:pStyle w:val="BodyText"/>
        <w:spacing w:line="240" w:lineRule="auto" w:before="20"/>
        <w:ind w:right="0"/>
        <w:jc w:val="left"/>
      </w:pPr>
      <w:r>
        <w:rPr/>
        <w:t>借款费用同时满足下列条件时开始资本化：</w:t>
      </w:r>
    </w:p>
    <w:p>
      <w:pPr>
        <w:pStyle w:val="BodyText"/>
        <w:spacing w:line="300" w:lineRule="auto" w:before="76"/>
        <w:ind w:right="1122"/>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）资产支出已经发生，资产支出包括为购建或者生产符合资本化条件的资产而以支付现金、转移非现金资产或者承担带</w:t>
      </w:r>
      <w:r>
        <w:rPr>
          <w:spacing w:val="-83"/>
        </w:rPr>
        <w:t> </w:t>
      </w:r>
      <w:r>
        <w:rPr>
          <w:spacing w:val="-83"/>
        </w:rPr>
      </w:r>
      <w:r>
        <w:rPr/>
        <w:t>息债务形式发生的支出；</w:t>
      </w:r>
    </w:p>
    <w:p>
      <w:pPr>
        <w:pStyle w:val="BodyText"/>
        <w:spacing w:line="240" w:lineRule="auto" w:before="31"/>
        <w:ind w:right="0"/>
        <w:jc w:val="left"/>
      </w:pPr>
      <w:r>
        <w:rPr/>
        <w:t>（</w:t>
      </w:r>
      <w:r>
        <w:rPr>
          <w:rFonts w:ascii="Times New Roman" w:hAnsi="Times New Roman" w:cs="Times New Roman" w:eastAsia="Times New Roman" w:hint="default"/>
        </w:rPr>
        <w:t>2</w:t>
      </w:r>
      <w:r>
        <w:rPr/>
        <w:t>）借款费用已经发生；</w:t>
      </w:r>
    </w:p>
    <w:p>
      <w:pPr>
        <w:pStyle w:val="BodyText"/>
        <w:spacing w:line="240" w:lineRule="auto" w:before="63"/>
        <w:ind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0"/>
        <w:rPr>
          <w:rFonts w:ascii="宋体" w:hAnsi="宋体" w:cs="宋体" w:eastAsia="宋体" w:hint="default"/>
          <w:sz w:val="18"/>
          <w:szCs w:val="18"/>
        </w:rPr>
      </w:pPr>
    </w:p>
    <w:p>
      <w:pPr>
        <w:pStyle w:val="BodyText"/>
        <w:spacing w:line="314" w:lineRule="auto" w:before="139"/>
        <w:ind w:right="1118"/>
        <w:jc w:val="left"/>
      </w:pPr>
      <w:r>
        <w:rPr>
          <w:rFonts w:ascii="Times New Roman" w:hAnsi="Times New Roman" w:cs="Times New Roman" w:eastAsia="Times New Roman" w:hint="default"/>
        </w:rPr>
        <w:t>2</w:t>
      </w:r>
      <w:r>
        <w:rPr/>
        <w:t>、借款费用资本化期间 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购建或者生产的资产的各部分分别完工，但必须等到整体完工后才可使用或可对外销售的，在该资产整体完工时停止借款费</w:t>
      </w:r>
      <w:r>
        <w:rPr>
          <w:spacing w:val="-64"/>
        </w:rPr>
        <w:t> </w:t>
      </w:r>
      <w:r>
        <w:rPr>
          <w:spacing w:val="-64"/>
        </w:rPr>
      </w:r>
      <w:r>
        <w:rPr/>
        <w:t>用资本化。</w:t>
      </w:r>
    </w:p>
    <w:p>
      <w:pPr>
        <w:spacing w:line="240" w:lineRule="auto" w:before="6"/>
        <w:rPr>
          <w:rFonts w:ascii="宋体" w:hAnsi="宋体" w:cs="宋体" w:eastAsia="宋体" w:hint="default"/>
          <w:sz w:val="25"/>
          <w:szCs w:val="25"/>
        </w:rPr>
      </w:pPr>
    </w:p>
    <w:p>
      <w:pPr>
        <w:pStyle w:val="BodyText"/>
        <w:spacing w:line="240" w:lineRule="auto"/>
        <w:ind w:right="0"/>
        <w:jc w:val="left"/>
      </w:pPr>
      <w:r>
        <w:rPr>
          <w:rFonts w:ascii="Times New Roman" w:hAnsi="Times New Roman" w:cs="Times New Roman" w:eastAsia="Times New Roman" w:hint="default"/>
        </w:rPr>
        <w:t>3</w:t>
      </w:r>
      <w:r>
        <w:rPr/>
        <w:t>、暂停资本化期间</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9" w:lineRule="auto" w:before="44"/>
        <w:ind w:right="0"/>
        <w:jc w:val="left"/>
      </w:pPr>
      <w:r>
        <w:rPr/>
        <w:t>符合资本化条件的资产在购建或生产过程中发生的非正常中断、且中断时间连续超过</w:t>
      </w:r>
      <w:r>
        <w:rPr>
          <w:rFonts w:ascii="Times New Roman" w:hAnsi="Times New Roman" w:cs="Times New Roman" w:eastAsia="Times New Roman" w:hint="default"/>
        </w:rPr>
        <w:t>3</w:t>
      </w:r>
      <w:r>
        <w:rPr/>
        <w:t>个月的，则借款费用暂停资本化；该</w:t>
      </w:r>
      <w:r>
        <w:rPr>
          <w:spacing w:val="-82"/>
        </w:rPr>
        <w:t> </w:t>
      </w:r>
      <w:r>
        <w:rPr>
          <w:spacing w:val="-82"/>
        </w:rPr>
      </w:r>
      <w:r>
        <w:rPr>
          <w:spacing w:val="-2"/>
        </w:rPr>
        <w:t>项中断如是所购建或生产的符合资本化条件的资产达到预定可使用状态或者可销售状态必要的程序，则借款费用继续资本化。</w:t>
      </w:r>
      <w:r>
        <w:rPr>
          <w:spacing w:val="-62"/>
        </w:rPr>
        <w:t> </w:t>
      </w:r>
      <w:r>
        <w:rPr>
          <w:spacing w:val="-62"/>
        </w:rPr>
      </w:r>
      <w:r>
        <w:rPr/>
        <w:t>在中断期间发生的借款费用确认为当期损益，直至资产的购建或者生产活动重新开始后借款费用继续资本化。</w:t>
      </w:r>
    </w:p>
    <w:p>
      <w:pPr>
        <w:spacing w:line="240" w:lineRule="auto" w:before="10"/>
        <w:rPr>
          <w:rFonts w:ascii="宋体" w:hAnsi="宋体" w:cs="宋体" w:eastAsia="宋体" w:hint="default"/>
          <w:sz w:val="25"/>
          <w:szCs w:val="25"/>
        </w:rPr>
      </w:pPr>
    </w:p>
    <w:p>
      <w:pPr>
        <w:pStyle w:val="BodyText"/>
        <w:spacing w:line="314" w:lineRule="auto"/>
        <w:ind w:right="1118"/>
        <w:jc w:val="left"/>
      </w:pPr>
      <w:r>
        <w:rPr>
          <w:rFonts w:ascii="Times New Roman" w:hAnsi="Times New Roman" w:cs="Times New Roman" w:eastAsia="Times New Roman" w:hint="default"/>
        </w:rPr>
        <w:t>4</w:t>
      </w:r>
      <w:r>
        <w:rPr/>
        <w:t>、借款费用资本化率、资本化金额的计算方法 </w:t>
      </w:r>
      <w:r>
        <w:rPr>
          <w:spacing w:val="-2"/>
        </w:rPr>
        <w:t>对于为购建或者生产符合资本化条件的资产而借入的专门借款，以专门借款当期实际发生的借款费用，减去尚未动用的借款</w:t>
      </w:r>
      <w:r>
        <w:rPr>
          <w:spacing w:val="-64"/>
        </w:rPr>
        <w:t> </w:t>
      </w:r>
      <w:r>
        <w:rPr>
          <w:spacing w:val="-64"/>
        </w:rPr>
      </w:r>
      <w:r>
        <w:rPr/>
        <w:t>资金存入银行取得的利息收入或进行暂时性投资取得的投资收益后的金额，来确定借款费用的资本化金额。 </w:t>
      </w:r>
      <w:r>
        <w:rPr>
          <w:spacing w:val="-2"/>
        </w:rPr>
        <w:t>对于为购建或者生产符合资本化条件的资产而占用的一般借款，根据累计资产支出超过专门借款部分的资产支出加权平均数</w:t>
      </w:r>
      <w:r>
        <w:rPr>
          <w:spacing w:val="-63"/>
        </w:rPr>
        <w:t> </w:t>
      </w:r>
      <w:r>
        <w:rPr>
          <w:spacing w:val="-63"/>
        </w:rPr>
      </w:r>
      <w:r>
        <w:rPr>
          <w:spacing w:val="-2"/>
        </w:rPr>
        <w:t>乘以所占用一般借款的资本化率，计算确定一般借款应予资本化的借款费用金额。资本化率根据一般借款加权平均利率计算</w:t>
      </w:r>
      <w:r>
        <w:rPr>
          <w:spacing w:val="-64"/>
        </w:rPr>
        <w:t> </w:t>
      </w:r>
      <w:r>
        <w:rPr>
          <w:spacing w:val="-64"/>
        </w:rPr>
      </w:r>
      <w:r>
        <w:rPr/>
        <w:t>确定。</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19、无形资产" w:id="209"/>
      <w:bookmarkEnd w:id="209"/>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210"/>
      <w:bookmarkEnd w:id="210"/>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0"/>
        <w:jc w:val="left"/>
      </w:pPr>
      <w:r>
        <w:rPr>
          <w:rFonts w:ascii="Times New Roman" w:hAnsi="Times New Roman" w:cs="Times New Roman" w:eastAsia="Times New Roman" w:hint="default"/>
        </w:rPr>
        <w:t>1</w:t>
      </w:r>
      <w:r>
        <w:rPr/>
        <w:t>、公司取得无形资产时按成本进行初始计量； </w:t>
      </w:r>
      <w:r>
        <w:rPr>
          <w:spacing w:val="-2"/>
        </w:rPr>
        <w:t>外购无形资产的成本，包括购买价款、相关税费以及直接归属于使该项资产达到预定用途所发生的其他支出。购买无形资产</w:t>
      </w:r>
      <w:r>
        <w:rPr>
          <w:spacing w:val="-66"/>
        </w:rPr>
        <w:t> </w:t>
      </w:r>
      <w:r>
        <w:rPr>
          <w:spacing w:val="-66"/>
        </w:rPr>
      </w:r>
      <w:r>
        <w:rPr/>
        <w:t>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债务重组取得债务人用以抵债的无形资产，以该无形资产的公允价值为基础确定其入账价值，并将重组债务的账面价值与该</w:t>
      </w:r>
      <w:r>
        <w:rPr>
          <w:spacing w:val="-63"/>
        </w:rPr>
        <w:t> </w:t>
      </w:r>
      <w:r>
        <w:rPr>
          <w:spacing w:val="-63"/>
        </w:rPr>
      </w:r>
      <w:r>
        <w:rPr/>
        <w:t>用以抵债的无形资产公允价值之间的差额，计入当期损益。 </w:t>
      </w:r>
      <w:r>
        <w:rPr>
          <w:spacing w:val="-2"/>
        </w:rPr>
        <w:t>在非货币性资产交换具备商业实质且换入资产或换出资产的公允价值能够可靠计量的前提下，非货币性资产交换换入的无形</w:t>
      </w:r>
      <w:r>
        <w:rPr>
          <w:spacing w:val="-64"/>
        </w:rPr>
        <w:t> </w:t>
      </w:r>
      <w:r>
        <w:rPr>
          <w:spacing w:val="-64"/>
        </w:rPr>
      </w:r>
      <w:r>
        <w:rPr>
          <w:spacing w:val="-2"/>
        </w:rPr>
        <w:t>资产以换出资产的公允价值为基础确定其入账价值，除非有确凿证据表明换入资产的公允价值更加可靠；不满足上述前提的</w:t>
      </w:r>
      <w:r>
        <w:rPr>
          <w:spacing w:val="-64"/>
        </w:rPr>
        <w:t> </w:t>
      </w:r>
      <w:r>
        <w:rPr>
          <w:spacing w:val="-64"/>
        </w:rPr>
      </w:r>
      <w:r>
        <w:rPr/>
        <w:t>非货币性资产交换，以换出资产的账面价值和应支付的相关税费作为换入无形资产的成本，不确认损益。</w:t>
      </w:r>
    </w:p>
    <w:p>
      <w:pPr>
        <w:pStyle w:val="BodyText"/>
        <w:spacing w:line="300" w:lineRule="auto" w:before="20"/>
        <w:ind w:right="7512"/>
        <w:jc w:val="left"/>
      </w:pPr>
      <w:r>
        <w:rPr>
          <w:rFonts w:ascii="Times New Roman" w:hAnsi="Times New Roman" w:cs="Times New Roman" w:eastAsia="Times New Roman" w:hint="default"/>
        </w:rPr>
        <w:t>2</w:t>
      </w:r>
      <w:r>
        <w:rPr/>
        <w:t>、后续计量 在取得无形资产时分析判断其使用寿命。</w:t>
      </w:r>
    </w:p>
    <w:p>
      <w:pPr>
        <w:pStyle w:val="BodyText"/>
        <w:spacing w:line="316" w:lineRule="auto" w:before="31"/>
        <w:ind w:right="0"/>
        <w:jc w:val="left"/>
      </w:pPr>
      <w:r>
        <w:rPr>
          <w:spacing w:val="-2"/>
        </w:rPr>
        <w:t>对于使用寿命有限的无形资产，在为企业带来经济利益的期限内按直线法摊销；无法预见无形资产为企业带来经济利益期限</w:t>
      </w:r>
      <w:r>
        <w:rPr>
          <w:spacing w:val="-64"/>
        </w:rPr>
        <w:t> </w:t>
      </w:r>
      <w:r>
        <w:rPr>
          <w:spacing w:val="-64"/>
        </w:rPr>
      </w:r>
      <w:r>
        <w:rPr/>
        <w:t>的，视为使用寿命不确定的无形资产，不予摊销。</w:t>
      </w:r>
    </w:p>
    <w:p>
      <w:pPr>
        <w:pStyle w:val="BodyText"/>
        <w:spacing w:line="240" w:lineRule="auto" w:before="19"/>
        <w:ind w:right="0"/>
        <w:jc w:val="left"/>
      </w:pPr>
      <w:r>
        <w:rPr/>
        <w:t>（</w:t>
      </w:r>
      <w:r>
        <w:rPr>
          <w:rFonts w:ascii="Times New Roman" w:hAnsi="Times New Roman" w:cs="Times New Roman" w:eastAsia="Times New Roman" w:hint="default"/>
        </w:rPr>
        <w:t>1</w:t>
      </w:r>
      <w:r>
        <w:rPr/>
        <w:t>）使用寿命有限的无形资产的使用寿命估计情况：</w:t>
      </w:r>
    </w:p>
    <w:p>
      <w:pPr>
        <w:spacing w:line="240" w:lineRule="auto" w:before="13"/>
        <w:rPr>
          <w:rFonts w:ascii="宋体" w:hAnsi="宋体" w:cs="宋体" w:eastAsia="宋体" w:hint="default"/>
          <w:sz w:val="3"/>
          <w:szCs w:val="3"/>
        </w:rPr>
      </w:pPr>
    </w:p>
    <w:tbl>
      <w:tblPr>
        <w:tblW w:w="0" w:type="auto"/>
        <w:jc w:val="left"/>
        <w:tblInd w:w="139" w:type="dxa"/>
        <w:tblLayout w:type="fixed"/>
        <w:tblCellMar>
          <w:top w:w="0" w:type="dxa"/>
          <w:left w:w="0" w:type="dxa"/>
          <w:bottom w:w="0" w:type="dxa"/>
          <w:right w:w="0" w:type="dxa"/>
        </w:tblCellMar>
        <w:tblLook w:val="01E0"/>
      </w:tblPr>
      <w:tblGrid>
        <w:gridCol w:w="3777"/>
        <w:gridCol w:w="2364"/>
        <w:gridCol w:w="3518"/>
      </w:tblGrid>
      <w:tr>
        <w:trPr>
          <w:trHeight w:val="342" w:hRule="exact"/>
        </w:trPr>
        <w:tc>
          <w:tcPr>
            <w:tcW w:w="37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3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35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依据</w:t>
            </w:r>
          </w:p>
        </w:tc>
      </w:tr>
      <w:tr>
        <w:trPr>
          <w:trHeight w:val="342" w:hRule="exact"/>
        </w:trPr>
        <w:tc>
          <w:tcPr>
            <w:tcW w:w="3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3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预计受益年限</w:t>
            </w:r>
          </w:p>
        </w:tc>
      </w:tr>
      <w:tr>
        <w:trPr>
          <w:trHeight w:val="342" w:hRule="exact"/>
        </w:trPr>
        <w:tc>
          <w:tcPr>
            <w:tcW w:w="3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3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法定年限</w:t>
            </w:r>
          </w:p>
        </w:tc>
      </w:tr>
    </w:tbl>
    <w:p>
      <w:pPr>
        <w:pStyle w:val="BodyText"/>
        <w:spacing w:line="240" w:lineRule="auto" w:before="10"/>
        <w:ind w:right="0"/>
        <w:jc w:val="left"/>
      </w:pPr>
      <w:r>
        <w:rPr/>
        <w:t>每年度终了，对使用寿命有限的无形资产的使用寿命及摊销方法进行复核。</w:t>
      </w:r>
    </w:p>
    <w:p>
      <w:pPr>
        <w:pStyle w:val="BodyText"/>
        <w:spacing w:line="300" w:lineRule="auto" w:before="76"/>
        <w:ind w:right="4542"/>
        <w:jc w:val="left"/>
      </w:pPr>
      <w:r>
        <w:rPr/>
        <w:t>（</w:t>
      </w:r>
      <w:r>
        <w:rPr>
          <w:rFonts w:ascii="Times New Roman" w:hAnsi="Times New Roman" w:cs="Times New Roman" w:eastAsia="Times New Roman" w:hint="default"/>
        </w:rPr>
        <w:t>2</w:t>
      </w:r>
      <w:r>
        <w:rPr/>
        <w:t>）使用寿命不确定的无形资产的判断依据以及对其使用寿命进行复核的程序 截止资产负债表日，本公司没有使用寿命不确定的无形资产。</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2）内部研究开发支出会计政策" w:id="211"/>
      <w:bookmarkEnd w:id="211"/>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8"/>
        <w:rPr>
          <w:rFonts w:ascii="宋体" w:hAnsi="宋体" w:cs="宋体" w:eastAsia="宋体" w:hint="default"/>
          <w:b/>
          <w:bCs/>
          <w:sz w:val="26"/>
          <w:szCs w:val="26"/>
        </w:rPr>
      </w:pPr>
    </w:p>
    <w:p>
      <w:pPr>
        <w:pStyle w:val="BodyText"/>
        <w:spacing w:line="309" w:lineRule="auto"/>
        <w:ind w:right="3012"/>
        <w:jc w:val="left"/>
      </w:pPr>
      <w:r>
        <w:rPr>
          <w:rFonts w:ascii="Times New Roman" w:hAnsi="Times New Roman" w:cs="Times New Roman" w:eastAsia="Times New Roman" w:hint="default"/>
        </w:rPr>
        <w:t>1</w:t>
      </w:r>
      <w:r>
        <w:rPr/>
        <w:t>、划分研究阶段和开发阶段的具体标准 公司内部研究开发项目的支出分为研究阶段支出和开发阶段支出。 研究阶段：为获取并理解新的科学或技术知识等而进行的独创性的有计划调查、研究活动的阶段。</w:t>
      </w:r>
    </w:p>
    <w:p>
      <w:pPr>
        <w:pStyle w:val="BodyText"/>
        <w:spacing w:line="316" w:lineRule="auto" w:before="24"/>
        <w:ind w:right="0"/>
        <w:jc w:val="left"/>
      </w:pPr>
      <w:r>
        <w:rPr>
          <w:spacing w:val="-2"/>
        </w:rPr>
        <w:t>开发阶段：在进行商业性生产或使用前，将研究成果或其他知识应用于某项计划或设计，以生产出新的或具有实质性改进的</w:t>
      </w:r>
      <w:r>
        <w:rPr>
          <w:spacing w:val="-66"/>
        </w:rPr>
        <w:t> </w:t>
      </w:r>
      <w:r>
        <w:rPr>
          <w:spacing w:val="-66"/>
        </w:rPr>
      </w:r>
      <w:r>
        <w:rPr/>
        <w:t>材料、装置、产品等活动的阶段。</w:t>
      </w:r>
    </w:p>
    <w:p>
      <w:pPr>
        <w:pStyle w:val="BodyText"/>
        <w:spacing w:line="300" w:lineRule="auto" w:before="19"/>
        <w:ind w:right="4812"/>
        <w:jc w:val="left"/>
      </w:pPr>
      <w:r>
        <w:rPr>
          <w:rFonts w:ascii="Times New Roman" w:hAnsi="Times New Roman" w:cs="Times New Roman" w:eastAsia="Times New Roman" w:hint="default"/>
        </w:rPr>
        <w:t>2</w:t>
      </w:r>
      <w:r>
        <w:rPr/>
        <w:t>、开发阶段支出资本化的具体条件 内部研究开发项目开发阶段的支出，同时满足下列条件时确认为无形资产：</w:t>
      </w:r>
    </w:p>
    <w:p>
      <w:pPr>
        <w:spacing w:after="0" w:line="30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63"/>
        <w:ind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00" w:lineRule="auto" w:before="63"/>
        <w:ind w:right="3732"/>
        <w:jc w:val="left"/>
      </w:pPr>
      <w:r>
        <w:rPr/>
        <w:t>（</w:t>
      </w:r>
      <w:r>
        <w:rPr>
          <w:rFonts w:ascii="Times New Roman" w:hAnsi="Times New Roman" w:cs="Times New Roman" w:eastAsia="Times New Roman" w:hint="default"/>
        </w:rPr>
        <w:t>3</w:t>
      </w:r>
      <w:r>
        <w:rPr/>
        <w:t>）无形资产产生经济利益的方式，包括能够证明运用该无形资产生产的 产品存在市场或无形资产自身存在市场，无形资产将在内部使用的，能够证明其有用性；</w:t>
      </w:r>
    </w:p>
    <w:p>
      <w:pPr>
        <w:pStyle w:val="BodyText"/>
        <w:spacing w:line="300" w:lineRule="auto" w:before="32"/>
        <w:ind w:right="4722"/>
        <w:jc w:val="left"/>
      </w:pPr>
      <w:r>
        <w:rPr/>
        <w:t>（</w:t>
      </w:r>
      <w:r>
        <w:rPr>
          <w:rFonts w:ascii="Times New Roman" w:hAnsi="Times New Roman" w:cs="Times New Roman" w:eastAsia="Times New Roman" w:hint="default"/>
        </w:rPr>
        <w:t>4</w:t>
      </w:r>
      <w:r>
        <w:rPr/>
        <w:t>）有足够的技术、财务资源和其他资源支持，以完成该无形资产的开发， 并有能力使用或出售该无形资产；</w:t>
      </w:r>
    </w:p>
    <w:p>
      <w:pPr>
        <w:pStyle w:val="BodyText"/>
        <w:spacing w:line="300" w:lineRule="auto" w:before="31"/>
        <w:ind w:right="2112"/>
        <w:jc w:val="left"/>
      </w:pPr>
      <w:r>
        <w:rPr/>
        <w:t>（</w:t>
      </w:r>
      <w:r>
        <w:rPr>
          <w:rFonts w:ascii="Times New Roman" w:hAnsi="Times New Roman" w:cs="Times New Roman" w:eastAsia="Times New Roman" w:hint="default"/>
        </w:rPr>
        <w:t>5</w:t>
      </w:r>
      <w:r>
        <w:rPr/>
        <w:t>）归属于该无形资产开发阶段的支出能够可靠地计量。 开发阶段的支出，若不满足上列条件的，于发生时计入当期损益。研究阶段的支出，在发生时计入当期损益。</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20、长期资产减值" w:id="212"/>
      <w:bookmarkEnd w:id="212"/>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t>长期股权投资、采用成本模式计量的投资性房地产、固定资产、在建工程、使用寿命有限的无形资产等长期资产，于资产负 债表日存在减值迹象的，进行减值测试。减值测试结果表明资产的可收回金额低于其账面价值的，按其差额计提减值准备并 计入减值损失。可收回金额为资产的公允价值减去处置费用后的净额与资产预计未来现金流量的现值两者之间的较高者。资 产减值准备按单项资产为基础计算并确认，如果难以对单项资产的可收回金额进行估计的，以该资产所属的资产组确定资产 组的可收回金额。资产组是能够独立产生现金流入的最小资产组合。 商誉和使用寿命不确定的无形资产至少在每年年度终了进行减值测试。 本公司进行商誉减值测试，对于因企业合并形成的商誉的账面价值，自购买日起按照合理的方法分摊至相关的资产组；难以 分摊至相关的资产组的，将其分摊至相关的资产组组合。在将商誉的账面价值分摊至相关的资产组或者资产组组合时，按照 </w:t>
      </w:r>
      <w:r>
        <w:rPr>
          <w:spacing w:val="-2"/>
        </w:rPr>
        <w:t>各资产组或者资产组组合的公允价值占相关资产组或者资产组组合公允价值总额的比例进行分摊。公允价值难以可靠计量的，</w:t>
      </w:r>
      <w:r>
        <w:rPr>
          <w:spacing w:val="-62"/>
        </w:rPr>
        <w:t> </w:t>
      </w:r>
      <w:r>
        <w:rPr>
          <w:spacing w:val="-62"/>
        </w:rPr>
      </w:r>
      <w:r>
        <w:rPr/>
        <w:t>按照各资产组或者资产组组合的账面价值占相关资产组或者资产组组合账面价值总额的比例进行分摊。 在对包含商誉的相关资产组或者资产组组合进行减值测试时，如与商誉相关的资产组或者资产组组合存在减值迹象的，先对</w:t>
      </w:r>
      <w:r>
        <w:rPr/>
        <w:t> 不包含商誉的资产组或者资产组组合进行减值测试，计算可收回金额，并与相关账面价值相比较，确认相应的减值损失。再 对包含商誉的资产组或者资产组组合进行减值测试，比较这些相关资产组或者资产组组合的账面价值（包括所分摊的商誉的 </w:t>
      </w:r>
      <w:r>
        <w:rPr>
          <w:spacing w:val="-3"/>
        </w:rPr>
        <w:t>账面价值部分）与其可收回金额，如相关资产组或者资产组组合的可收回金额低于其账面价值的，确认商誉的减值损失。</w:t>
      </w:r>
      <w:r>
        <w:rPr>
          <w:spacing w:val="-49"/>
        </w:rPr>
        <w:t> </w:t>
      </w:r>
      <w:r>
        <w:rPr/>
        <w:t>上</w:t>
      </w:r>
      <w:r>
        <w:rPr>
          <w:spacing w:val="-55"/>
        </w:rPr>
        <w:t> </w:t>
      </w:r>
      <w:r>
        <w:rPr>
          <w:spacing w:val="-55"/>
        </w:rPr>
      </w:r>
      <w:r>
        <w:rPr/>
        <w:t>述资产减值损失一经确认，在以后会计期间不予转回。</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1、长期待摊费用" w:id="213"/>
      <w:bookmarkEnd w:id="213"/>
      <w:r>
        <w:rPr>
          <w:b w:val="0"/>
          <w:bCs w:val="0"/>
        </w:rPr>
      </w:r>
      <w:r>
        <w:rPr>
          <w:rFonts w:ascii="Times New Roman" w:hAnsi="Times New Roman" w:cs="Times New Roman" w:eastAsia="Times New Roman" w:hint="default"/>
        </w:rPr>
        <w:t>21</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长期待摊费用为已经发生但应由本期和以后各期负担的分摊期限在一年以上的各项费用。本公司长期待摊费用包括车位使用</w:t>
      </w:r>
      <w:r>
        <w:rPr>
          <w:spacing w:val="-64"/>
        </w:rPr>
        <w:t> </w:t>
      </w:r>
      <w:r>
        <w:rPr>
          <w:spacing w:val="-64"/>
        </w:rPr>
      </w:r>
      <w:r>
        <w:rPr/>
        <w:t>费、房屋装修费等。</w:t>
      </w:r>
    </w:p>
    <w:p>
      <w:pPr>
        <w:pStyle w:val="BodyText"/>
        <w:spacing w:line="309" w:lineRule="auto" w:before="19"/>
        <w:ind w:right="7872"/>
        <w:jc w:val="left"/>
      </w:pPr>
      <w:r>
        <w:rPr>
          <w:rFonts w:ascii="Times New Roman" w:hAnsi="Times New Roman" w:cs="Times New Roman" w:eastAsia="Times New Roman" w:hint="default"/>
        </w:rPr>
        <w:t>1</w:t>
      </w:r>
      <w:r>
        <w:rPr/>
        <w:t>、摊销方法 长期待摊费用在受益期内平均摊销。 </w:t>
      </w:r>
      <w:r>
        <w:rPr>
          <w:rFonts w:ascii="Times New Roman" w:hAnsi="Times New Roman" w:cs="Times New Roman" w:eastAsia="Times New Roman" w:hint="default"/>
        </w:rPr>
        <w:t>2</w:t>
      </w:r>
      <w:r>
        <w:rPr/>
        <w:t>、摊销年限</w:t>
      </w:r>
    </w:p>
    <w:p>
      <w:pPr>
        <w:pStyle w:val="BodyText"/>
        <w:spacing w:line="240" w:lineRule="auto" w:before="5"/>
        <w:ind w:right="0"/>
        <w:jc w:val="left"/>
      </w:pPr>
      <w:r>
        <w:rPr/>
        <w:t>若长期待摊的费用项目不能使以后会计期间受益，则将尚未摊销的该项目的摊余价值全部转入当期损益。</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2、职工薪酬" w:id="214"/>
      <w:bookmarkEnd w:id="214"/>
      <w:r>
        <w:rPr>
          <w:b w:val="0"/>
          <w:bCs w:val="0"/>
        </w:rPr>
      </w:r>
      <w:r>
        <w:rPr>
          <w:rFonts w:ascii="Times New Roman" w:hAnsi="Times New Roman" w:cs="Times New Roman" w:eastAsia="Times New Roman" w:hint="default"/>
        </w:rPr>
        <w:t>22</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215"/>
      <w:bookmarkEnd w:id="215"/>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t>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本公司为职工缴纳的社会保险费和住房公积金，以及按规定提取的工会经费和职工教育经费，在职工为本公司提供服务的会</w:t>
      </w:r>
      <w:r>
        <w:rPr>
          <w:spacing w:val="-64"/>
        </w:rPr>
        <w:t> </w:t>
      </w:r>
      <w:r>
        <w:rPr>
          <w:spacing w:val="-64"/>
        </w:rPr>
      </w:r>
      <w:r>
        <w:rPr/>
        <w:t>计期间，根据规定的计提基础和计提比例计算确定相应的职工薪酬金额。 职工福利费为非货币性福利的，如能够可靠计量的，按照公允价值计量。</w:t>
      </w:r>
    </w:p>
    <w:p>
      <w:pPr>
        <w:spacing w:after="0" w:line="316" w:lineRule="auto"/>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离职后福利的会计处理方法" w:id="216"/>
      <w:bookmarkEnd w:id="216"/>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0"/>
        <w:jc w:val="left"/>
      </w:pPr>
      <w:r>
        <w:rPr/>
        <w:t>（</w:t>
      </w:r>
      <w:r>
        <w:rPr>
          <w:rFonts w:ascii="Times New Roman" w:hAnsi="Times New Roman" w:cs="Times New Roman" w:eastAsia="Times New Roman" w:hint="default"/>
        </w:rPr>
        <w:t>1</w:t>
      </w:r>
      <w:r>
        <w:rPr/>
        <w:t>）设定提存计划 </w:t>
      </w:r>
      <w:r>
        <w:rPr>
          <w:spacing w:val="-2"/>
        </w:rPr>
        <w:t>本公司按当地政府的相关规定为职工缴纳基本养老保险和失业保险，在职工为本公司提供服务的会计期间，按以当地规定的</w:t>
      </w:r>
      <w:r>
        <w:rPr>
          <w:spacing w:val="-64"/>
        </w:rPr>
        <w:t> </w:t>
      </w:r>
      <w:r>
        <w:rPr>
          <w:spacing w:val="-64"/>
        </w:rPr>
      </w:r>
      <w:r>
        <w:rPr/>
        <w:t>缴纳基数和比例计算应缴纳金额，确认为负债，并计入当期损益或相关资产成本。 </w:t>
      </w:r>
      <w:r>
        <w:rPr>
          <w:spacing w:val="-3"/>
        </w:rPr>
        <w:t>除基本养老保险外，本公司还依据国家企业年金制度的相关政策建立了企业年金缴费制度（补充养老保险）</w:t>
      </w:r>
      <w:r>
        <w:rPr>
          <w:rFonts w:ascii="Times New Roman" w:hAnsi="Times New Roman" w:cs="Times New Roman" w:eastAsia="Times New Roman" w:hint="default"/>
          <w:spacing w:val="-3"/>
        </w:rPr>
        <w:t>/</w:t>
      </w:r>
      <w:r>
        <w:rPr>
          <w:spacing w:val="-3"/>
        </w:rPr>
        <w:t>企业年金计划。</w:t>
      </w:r>
      <w:r>
        <w:rPr>
          <w:spacing w:val="-59"/>
        </w:rPr>
        <w:t> </w:t>
      </w:r>
      <w:r>
        <w:rPr/>
        <w:t>本公司按职工工资总额的一定比例向当地社会保险机构缴费</w:t>
      </w:r>
      <w:r>
        <w:rPr>
          <w:rFonts w:ascii="Times New Roman" w:hAnsi="Times New Roman" w:cs="Times New Roman" w:eastAsia="Times New Roman" w:hint="default"/>
        </w:rPr>
        <w:t>/</w:t>
      </w:r>
      <w:r>
        <w:rPr/>
        <w:t>年金计划缴费，相应支出计入当期损益或相关资产成本。</w:t>
      </w:r>
    </w:p>
    <w:p>
      <w:pPr>
        <w:pStyle w:val="BodyText"/>
        <w:spacing w:line="316" w:lineRule="auto" w:before="5"/>
        <w:ind w:right="0"/>
        <w:jc w:val="left"/>
      </w:pPr>
      <w:r>
        <w:rPr/>
        <w:t>（</w:t>
      </w:r>
      <w:r>
        <w:rPr>
          <w:rFonts w:ascii="Times New Roman" w:hAnsi="Times New Roman" w:cs="Times New Roman" w:eastAsia="Times New Roman" w:hint="default"/>
        </w:rPr>
        <w:t>2</w:t>
      </w:r>
      <w:r>
        <w:rPr/>
        <w:t>）设定受益计划 </w:t>
      </w:r>
      <w:r>
        <w:rPr>
          <w:spacing w:val="-2"/>
        </w:rPr>
        <w:t>本公司根据预期累计福利单位法确定的公式将设定受益计划产生的福利义务归属于职工提供服务的期间，并计入当期损益或</w:t>
      </w:r>
      <w:r>
        <w:rPr>
          <w:spacing w:val="-64"/>
        </w:rPr>
        <w:t> </w:t>
      </w:r>
      <w:r>
        <w:rPr>
          <w:spacing w:val="-64"/>
        </w:rPr>
      </w:r>
      <w:r>
        <w:rPr/>
        <w:t>相关资产成本。 </w:t>
      </w:r>
      <w:r>
        <w:rPr>
          <w:spacing w:val="-2"/>
        </w:rPr>
        <w:t>设定受益计划义务现值减去设定受益计划资产公允价值所形成的赤字或盈余确认为一项设定受益计划净负债或净资产。设定</w:t>
      </w:r>
      <w:r>
        <w:rPr>
          <w:spacing w:val="-64"/>
        </w:rPr>
        <w:t> </w:t>
      </w:r>
      <w:r>
        <w:rPr>
          <w:spacing w:val="-64"/>
        </w:rPr>
      </w:r>
      <w:r>
        <w:rPr/>
        <w:t>受益计划存在盈余的，本公司以设定受益计划的盈余和资产上限两项的孰低者计量设定受益计划净资产。 </w:t>
      </w:r>
      <w:r>
        <w:rPr>
          <w:spacing w:val="-2"/>
        </w:rPr>
        <w:t>所有设定受益计划义务，包括预期在职工提供服务的年度报告期间结束后的十二个月内支付的义务，根据资产负债表日与设</w:t>
      </w:r>
      <w:r>
        <w:rPr>
          <w:spacing w:val="-64"/>
        </w:rPr>
        <w:t> </w:t>
      </w:r>
      <w:r>
        <w:rPr>
          <w:spacing w:val="-64"/>
        </w:rPr>
      </w:r>
      <w:r>
        <w:rPr/>
        <w:t>定受益计划义务期限和币种相匹配的国债或活跃市场上的高质量公司债券的市场收益率予以折现。 </w:t>
      </w:r>
      <w:r>
        <w:rPr>
          <w:spacing w:val="-2"/>
        </w:rPr>
        <w:t>设定受益计划产生的服务成本和设定受益计划净负债或净资产的利息净额计入当期损益或相关资产成本；重新计量设定受益</w:t>
      </w:r>
      <w:r>
        <w:rPr>
          <w:spacing w:val="-64"/>
        </w:rPr>
        <w:t> </w:t>
      </w:r>
      <w:r>
        <w:rPr>
          <w:spacing w:val="-64"/>
        </w:rPr>
      </w:r>
      <w:r>
        <w:rPr>
          <w:spacing w:val="-2"/>
        </w:rPr>
        <w:t>计划净负债或净资产所产生的变动计入其他综合收益，并且在后续会计期间不转回至损益，在原设定受益计划终止时在权益</w:t>
      </w:r>
      <w:r>
        <w:rPr>
          <w:spacing w:val="-64"/>
        </w:rPr>
        <w:t> </w:t>
      </w:r>
      <w:r>
        <w:rPr>
          <w:spacing w:val="-64"/>
        </w:rPr>
      </w:r>
      <w:r>
        <w:rPr/>
        <w:t>范围内将原计入其他综合收益的部分全部结转至未分配利润。 在设定受益计划结算时，按在结算日确定的设定受益计划义务现值和结算价格两者的差额，确认结算利得或损失。</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辞退福利的会计处理方法" w:id="217"/>
      <w:bookmarkEnd w:id="217"/>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jc w:val="left"/>
      </w:pPr>
      <w:r>
        <w:rPr>
          <w:spacing w:val="-2"/>
        </w:rPr>
        <w:t>本公司在不能单方面撤回因解除劳动关系计划或裁减建议所提供的辞退福利时，或确认与涉及支付辞退福利的重组相关的成</w:t>
      </w:r>
      <w:r>
        <w:rPr>
          <w:spacing w:val="-64"/>
        </w:rPr>
        <w:t> </w:t>
      </w:r>
      <w:r>
        <w:rPr>
          <w:spacing w:val="-64"/>
        </w:rPr>
      </w:r>
      <w:r>
        <w:rPr/>
        <w:t>本或费用时（两者孰早），确认辞退福利产生的职工薪酬负债，并计入当期损益。</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4）其他长期职工福利的会计处理方法" w:id="218"/>
      <w:bookmarkEnd w:id="218"/>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3、预计负债" w:id="219"/>
      <w:bookmarkEnd w:id="219"/>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932"/>
        <w:jc w:val="left"/>
      </w:pPr>
      <w:r>
        <w:rPr>
          <w:rFonts w:ascii="Times New Roman" w:hAnsi="Times New Roman" w:cs="Times New Roman" w:eastAsia="Times New Roman" w:hint="default"/>
        </w:rPr>
        <w:t>1</w:t>
      </w:r>
      <w:r>
        <w:rPr/>
        <w:t>、预计负债的确认标准 与诉讼、债务担保、亏损合同、重组事项等或有事项相关的义务同时满足下列条件时，本公司确认为预计负债：</w:t>
      </w:r>
    </w:p>
    <w:p>
      <w:pPr>
        <w:pStyle w:val="BodyText"/>
        <w:spacing w:line="240" w:lineRule="auto" w:before="31"/>
        <w:ind w:right="0"/>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63"/>
        <w:ind w:right="0"/>
        <w:jc w:val="left"/>
      </w:pPr>
      <w:r>
        <w:rPr/>
        <w:t>（</w:t>
      </w:r>
      <w:r>
        <w:rPr>
          <w:rFonts w:ascii="Times New Roman" w:hAnsi="Times New Roman" w:cs="Times New Roman" w:eastAsia="Times New Roman" w:hint="default"/>
        </w:rPr>
        <w:t>2</w:t>
      </w:r>
      <w:r>
        <w:rPr/>
        <w:t>）履行该义务很可能导致经济利益流出本公司；</w:t>
      </w:r>
    </w:p>
    <w:p>
      <w:pPr>
        <w:pStyle w:val="BodyText"/>
        <w:spacing w:line="240" w:lineRule="auto" w:before="63"/>
        <w:ind w:right="0"/>
        <w:jc w:val="left"/>
      </w:pPr>
      <w:r>
        <w:rPr/>
        <w:t>（</w:t>
      </w:r>
      <w:r>
        <w:rPr>
          <w:rFonts w:ascii="Times New Roman" w:hAnsi="Times New Roman" w:cs="Times New Roman" w:eastAsia="Times New Roman" w:hint="default"/>
        </w:rPr>
        <w:t>3</w:t>
      </w:r>
      <w:r>
        <w:rPr/>
        <w:t>）该义务的金额能够可靠地计量。</w:t>
      </w:r>
    </w:p>
    <w:p>
      <w:pPr>
        <w:spacing w:line="240" w:lineRule="auto" w:before="0"/>
        <w:rPr>
          <w:rFonts w:ascii="宋体" w:hAnsi="宋体" w:cs="宋体" w:eastAsia="宋体" w:hint="default"/>
          <w:sz w:val="18"/>
          <w:szCs w:val="18"/>
        </w:rPr>
      </w:pPr>
    </w:p>
    <w:p>
      <w:pPr>
        <w:pStyle w:val="BodyText"/>
        <w:spacing w:line="300" w:lineRule="auto" w:before="139"/>
        <w:ind w:right="4632"/>
        <w:jc w:val="left"/>
      </w:pPr>
      <w:r>
        <w:rPr>
          <w:rFonts w:ascii="Times New Roman" w:hAnsi="Times New Roman" w:cs="Times New Roman" w:eastAsia="Times New Roman" w:hint="default"/>
        </w:rPr>
        <w:t>2</w:t>
      </w:r>
      <w:r>
        <w:rPr/>
        <w:t>、各类预计负债的计量方法 本公司预计负债按履行相关现时义务所需的支出的最佳估计数进行初始计量。</w:t>
      </w:r>
    </w:p>
    <w:p>
      <w:pPr>
        <w:pStyle w:val="BodyText"/>
        <w:spacing w:line="316" w:lineRule="auto" w:before="31"/>
        <w:ind w:right="0"/>
        <w:jc w:val="left"/>
      </w:pPr>
      <w:r>
        <w:rPr>
          <w:spacing w:val="-2"/>
        </w:rPr>
        <w:t>本公司在确定最佳估计数时，综合考虑与或有事项有关的风险、不确定性和货币时间价值等因素。对于货币时间价值影响重</w:t>
      </w:r>
      <w:r>
        <w:rPr>
          <w:spacing w:val="-66"/>
        </w:rPr>
        <w:t> </w:t>
      </w:r>
      <w:r>
        <w:rPr>
          <w:spacing w:val="-66"/>
        </w:rPr>
      </w:r>
      <w:r>
        <w:rPr/>
        <w:t>大的，通过对相关未来现金流出进行折现后确定最佳估计数。</w:t>
      </w:r>
    </w:p>
    <w:p>
      <w:pPr>
        <w:pStyle w:val="BodyText"/>
        <w:spacing w:line="316" w:lineRule="auto" w:before="19"/>
        <w:ind w:right="0"/>
        <w:jc w:val="left"/>
      </w:pPr>
      <w:r>
        <w:rPr/>
        <w:t>最佳估计数分别以下情况处理： </w:t>
      </w:r>
      <w:r>
        <w:rPr>
          <w:spacing w:val="-2"/>
        </w:rPr>
        <w:t>所需支出存在一个连续范围（或区间），且该范围内各种结果发生的可能性相同的，则最佳估计数按照该范围的中间值即上</w:t>
      </w:r>
      <w:r>
        <w:rPr>
          <w:spacing w:val="-66"/>
        </w:rPr>
        <w:t> </w:t>
      </w:r>
      <w:r>
        <w:rPr>
          <w:spacing w:val="-66"/>
        </w:rPr>
      </w:r>
      <w:r>
        <w:rPr/>
        <w:t>下限金额的平均数确定。 </w:t>
      </w:r>
      <w:r>
        <w:rPr>
          <w:spacing w:val="-2"/>
        </w:rPr>
        <w:t>所需支出不存在一个连续范围（或区间），或虽然存在一个连续范围但该范围内各种结果发生的可能性不相同的，如或有事</w:t>
      </w:r>
      <w:r>
        <w:rPr>
          <w:spacing w:val="-66"/>
        </w:rPr>
        <w:t> </w:t>
      </w:r>
      <w:r>
        <w:rPr>
          <w:spacing w:val="-66"/>
        </w:rPr>
      </w:r>
      <w:r>
        <w:rPr>
          <w:spacing w:val="-2"/>
        </w:rPr>
        <w:t>项涉及单个项目的，则最佳估计数按照最可能发生金额确定；如或有事项涉及多个项目的，则最佳估计数按各种可能结果及</w:t>
      </w:r>
    </w:p>
    <w:p>
      <w:pPr>
        <w:spacing w:after="0" w:line="316"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0"/>
        <w:jc w:val="left"/>
      </w:pPr>
      <w:r>
        <w:rPr/>
        <w:t>相关概率计算确定。 </w:t>
      </w:r>
      <w:r>
        <w:rPr>
          <w:spacing w:val="-2"/>
        </w:rPr>
        <w:t>本公司清偿预计负债所需支出全部或部分预期由第三方补偿的，补偿金额在基本确定能够收到时，作为资产单独确认，确认</w:t>
      </w:r>
      <w:r>
        <w:rPr>
          <w:spacing w:val="-66"/>
        </w:rPr>
        <w:t> </w:t>
      </w:r>
      <w:r>
        <w:rPr>
          <w:spacing w:val="-66"/>
        </w:rPr>
      </w:r>
      <w:r>
        <w:rPr/>
        <w:t>的补偿金额不超过预计负债的账面价值。</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4、股份支付" w:id="220"/>
      <w:bookmarkEnd w:id="220"/>
      <w:r>
        <w:rPr>
          <w:b w:val="0"/>
          <w:bCs w:val="0"/>
        </w:rPr>
      </w:r>
      <w:r>
        <w:rPr>
          <w:rFonts w:ascii="Times New Roman" w:hAnsi="Times New Roman" w:cs="Times New Roman" w:eastAsia="Times New Roman" w:hint="default"/>
        </w:rPr>
        <w:t>24</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jc w:val="left"/>
      </w:pPr>
      <w:r>
        <w:rPr>
          <w:spacing w:val="-1"/>
        </w:rPr>
        <w:t>本公司的股份支付是为了获取职工</w:t>
      </w:r>
      <w:r>
        <w:rPr>
          <w:rFonts w:ascii="Times New Roman" w:hAnsi="Times New Roman" w:cs="Times New Roman" w:eastAsia="Times New Roman" w:hint="default"/>
          <w:spacing w:val="-1"/>
        </w:rPr>
        <w:t>[</w:t>
      </w:r>
      <w:r>
        <w:rPr>
          <w:spacing w:val="-1"/>
        </w:rPr>
        <w:t>或其他方</w:t>
      </w:r>
      <w:r>
        <w:rPr>
          <w:rFonts w:ascii="Times New Roman" w:hAnsi="Times New Roman" w:cs="Times New Roman" w:eastAsia="Times New Roman" w:hint="default"/>
          <w:spacing w:val="-1"/>
        </w:rPr>
        <w:t>]</w:t>
      </w:r>
      <w:r>
        <w:rPr>
          <w:spacing w:val="-1"/>
        </w:rPr>
        <w:t>提供服务而授予权益工具或者承担以权益工具为基础确定的负债的交易。本公</w:t>
      </w:r>
      <w:r>
        <w:rPr>
          <w:spacing w:val="-58"/>
        </w:rPr>
        <w:t> </w:t>
      </w:r>
      <w:r>
        <w:rPr>
          <w:spacing w:val="-58"/>
        </w:rPr>
      </w:r>
      <w:r>
        <w:rPr/>
        <w:t>司的股份支付分为以权益结算的股份支付和以现金结算的股份支付。</w:t>
      </w:r>
    </w:p>
    <w:p>
      <w:pPr>
        <w:pStyle w:val="BodyText"/>
        <w:spacing w:line="316" w:lineRule="auto" w:before="31"/>
        <w:ind w:right="1032"/>
        <w:jc w:val="left"/>
      </w:pPr>
      <w:r>
        <w:rPr>
          <w:rFonts w:ascii="Times New Roman" w:hAnsi="Times New Roman" w:cs="Times New Roman" w:eastAsia="Times New Roman" w:hint="default"/>
        </w:rPr>
        <w:t>1</w:t>
      </w:r>
      <w:r>
        <w:rPr/>
        <w:t>、以权益结算的股份支付及权益工具 以权益结算的股份支付换取职工提供服务的，以授予职工权益工具的公允价值计量。本公司以限制性股票进行股份支付的，</w:t>
      </w:r>
      <w:r>
        <w:rPr>
          <w:spacing w:val="-85"/>
        </w:rPr>
        <w:t> </w:t>
      </w:r>
      <w:r>
        <w:rPr>
          <w:spacing w:val="-85"/>
        </w:rPr>
      </w:r>
      <w:r>
        <w:rPr/>
        <w:t>职工出资认购股票，股票在达到解锁条件并解锁前不得上市流通或转让；如果最终股权激励计划规定的解锁条件未能达到，</w:t>
      </w:r>
      <w:r>
        <w:rPr>
          <w:spacing w:val="-85"/>
        </w:rPr>
        <w:t> </w:t>
      </w:r>
      <w:r>
        <w:rPr>
          <w:spacing w:val="-85"/>
        </w:rPr>
      </w:r>
      <w:r>
        <w:rPr>
          <w:spacing w:val="-2"/>
        </w:rPr>
        <w:t>则本公司按照事先约定的价格回购股票。本公司取得职工认购限制性股票支付的款项时，按照取得的认股款确认股本和资本</w:t>
      </w:r>
      <w:r>
        <w:rPr>
          <w:spacing w:val="-64"/>
        </w:rPr>
        <w:t> </w:t>
      </w:r>
      <w:r>
        <w:rPr>
          <w:spacing w:val="-64"/>
        </w:rPr>
      </w:r>
      <w:r>
        <w:rPr>
          <w:spacing w:val="-2"/>
        </w:rPr>
        <w:t>公积（股本溢价），同时就回购义务全额确认一项负债并确认库存股。在等待期内每个资产负债表日，本公司根据最新取得</w:t>
      </w:r>
      <w:r>
        <w:rPr>
          <w:spacing w:val="-66"/>
        </w:rPr>
        <w:t> </w:t>
      </w:r>
      <w:r>
        <w:rPr>
          <w:spacing w:val="-66"/>
        </w:rPr>
      </w:r>
      <w:r>
        <w:rPr/>
        <w:t>的</w:t>
      </w:r>
      <w:r>
        <w:rPr>
          <w:rFonts w:ascii="Times New Roman" w:hAnsi="Times New Roman" w:cs="Times New Roman" w:eastAsia="Times New Roman" w:hint="default"/>
        </w:rPr>
        <w:t>[</w:t>
      </w:r>
      <w:r>
        <w:rPr/>
        <w:t>可行权职工人数变动</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w:t>
      </w:r>
      <w:r>
        <w:rPr>
          <w:rFonts w:ascii="Times New Roman" w:hAnsi="Times New Roman" w:cs="Times New Roman" w:eastAsia="Times New Roman" w:hint="default"/>
        </w:rPr>
        <w:t>[</w:t>
      </w:r>
      <w:r>
        <w:rPr/>
        <w:t>是否达到规定业绩条件</w:t>
      </w:r>
      <w:r>
        <w:rPr>
          <w:rFonts w:ascii="Times New Roman" w:hAnsi="Times New Roman" w:cs="Times New Roman" w:eastAsia="Times New Roman" w:hint="default"/>
        </w:rPr>
        <w:t>]</w:t>
      </w:r>
      <w:r>
        <w:rPr/>
        <w:t>等后续信息对可行权权益工具数量作出最佳估计，以此为基础，按照授 </w:t>
      </w:r>
      <w:r>
        <w:rPr>
          <w:spacing w:val="-2"/>
        </w:rPr>
        <w:t>予日的公允价值，将当期取得的服务计入相关成本或费用，相应增加资本公积。在可行权日之后不再对已确认的相关成本或</w:t>
      </w:r>
      <w:r>
        <w:rPr>
          <w:spacing w:val="-66"/>
        </w:rPr>
        <w:t> </w:t>
      </w:r>
      <w:r>
        <w:rPr>
          <w:spacing w:val="-66"/>
        </w:rPr>
      </w:r>
      <w:r>
        <w:rPr>
          <w:spacing w:val="-5"/>
        </w:rPr>
        <w:t>费用和所有者权益总额进行调整。但授予后立即可行权的，在授予日按照公允价值计入相关成本或费用，相应增加资本公积。</w:t>
      </w:r>
      <w:r>
        <w:rPr>
          <w:spacing w:val="-79"/>
        </w:rPr>
        <w:t> </w:t>
      </w:r>
      <w:r>
        <w:rPr>
          <w:spacing w:val="-79"/>
        </w:rPr>
      </w:r>
      <w:r>
        <w:rPr>
          <w:spacing w:val="-2"/>
        </w:rPr>
        <w:t>对于最终未能行权的股份支付，不确认成本或费用，除非行权条件是市场条件或非可行权条件，此时无论是否满足市场条件</w:t>
      </w:r>
      <w:r>
        <w:rPr>
          <w:spacing w:val="-65"/>
        </w:rPr>
        <w:t> </w:t>
      </w:r>
      <w:r>
        <w:rPr>
          <w:spacing w:val="-65"/>
        </w:rPr>
      </w:r>
      <w:r>
        <w:rPr/>
        <w:t>或非可行权条件，只要满足所有可行权条件中的非市场条件，即视为可行权。 </w:t>
      </w:r>
      <w:r>
        <w:rPr>
          <w:spacing w:val="-2"/>
        </w:rPr>
        <w:t>如果修改了以权益结算的股份支付的条款，至少按照未修改条款的情况确认取得的服务。此外，任何增加所授予权益工具公</w:t>
      </w:r>
      <w:r>
        <w:rPr>
          <w:spacing w:val="-66"/>
        </w:rPr>
        <w:t> </w:t>
      </w:r>
      <w:r>
        <w:rPr>
          <w:spacing w:val="-66"/>
        </w:rPr>
      </w:r>
      <w:r>
        <w:rPr/>
        <w:t>允价值的修改，或在修改日对职工有利的变更，均确认取得服务的增加。 </w:t>
      </w:r>
      <w:r>
        <w:rPr>
          <w:spacing w:val="-2"/>
        </w:rPr>
        <w:t>如果取消了以权益结算的股份支付，则于取消日作为加速行权处理，立即确认尚未确认的金额。职工或其他方能够选择满足</w:t>
      </w:r>
      <w:r>
        <w:rPr>
          <w:spacing w:val="-66"/>
        </w:rPr>
        <w:t> </w:t>
      </w:r>
      <w:r>
        <w:rPr>
          <w:spacing w:val="-66"/>
        </w:rPr>
      </w:r>
      <w:r>
        <w:rPr>
          <w:spacing w:val="-2"/>
        </w:rPr>
        <w:t>非可行权条件但在等待期内未满足的，作为取消以权益结算的股份支付处理。但是，如果授予新的权益工具，并在新权益工</w:t>
      </w:r>
      <w:r>
        <w:rPr>
          <w:spacing w:val="-66"/>
        </w:rPr>
        <w:t> </w:t>
      </w:r>
      <w:r>
        <w:rPr>
          <w:spacing w:val="-66"/>
        </w:rPr>
      </w:r>
      <w:r>
        <w:rPr>
          <w:spacing w:val="-2"/>
        </w:rPr>
        <w:t>具授予日认定所授予的新权益工具是用于替代被取消的权益工具的，则以与处理原权益工具条款和条件修改相同的方式，对</w:t>
      </w:r>
      <w:r>
        <w:rPr>
          <w:spacing w:val="-64"/>
        </w:rPr>
        <w:t> </w:t>
      </w:r>
      <w:r>
        <w:rPr>
          <w:spacing w:val="-64"/>
        </w:rPr>
      </w:r>
      <w:r>
        <w:rPr/>
        <w:t>所授予的替代权益工具进行处理。</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5、收入" w:id="221"/>
      <w:bookmarkEnd w:id="221"/>
      <w:r>
        <w:rPr>
          <w:b w:val="0"/>
          <w:bCs w:val="0"/>
        </w:rPr>
      </w:r>
      <w:r>
        <w:rPr>
          <w:rFonts w:ascii="Times New Roman" w:hAnsi="Times New Roman" w:cs="Times New Roman" w:eastAsia="Times New Roman" w:hint="default"/>
        </w:rPr>
        <w:t>25</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9"/>
        <w:ind w:right="0"/>
        <w:jc w:val="left"/>
      </w:pPr>
      <w:r>
        <w:rPr/>
        <w:t>软件与信息技术服务业</w:t>
      </w:r>
    </w:p>
    <w:p>
      <w:pPr>
        <w:pStyle w:val="BodyText"/>
        <w:spacing w:line="240" w:lineRule="auto" w:before="116"/>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1"/>
        <w:ind w:right="0"/>
        <w:jc w:val="left"/>
      </w:pPr>
      <w:r>
        <w:rPr>
          <w:rFonts w:ascii="Times New Roman" w:hAnsi="Times New Roman" w:cs="Times New Roman" w:eastAsia="Times New Roman" w:hint="default"/>
        </w:rPr>
        <w:t>1</w:t>
      </w:r>
      <w:r>
        <w:rPr/>
        <w:t>、销售商品收入确认的一般原则：</w:t>
      </w:r>
    </w:p>
    <w:p>
      <w:pPr>
        <w:pStyle w:val="BodyText"/>
        <w:spacing w:line="240" w:lineRule="auto" w:before="63"/>
        <w:ind w:right="0"/>
        <w:jc w:val="left"/>
      </w:pPr>
      <w:r>
        <w:rPr/>
        <w:t>（</w:t>
      </w:r>
      <w:r>
        <w:rPr>
          <w:rFonts w:ascii="Times New Roman" w:hAnsi="Times New Roman" w:cs="Times New Roman" w:eastAsia="Times New Roman" w:hint="default"/>
        </w:rPr>
        <w:t>1</w:t>
      </w:r>
      <w:r>
        <w:rPr/>
        <w:t>）本公司已将商品所有权上的主要风险和报酬转移给购货方；</w:t>
      </w:r>
    </w:p>
    <w:p>
      <w:pPr>
        <w:pStyle w:val="BodyText"/>
        <w:spacing w:line="240" w:lineRule="auto" w:before="63"/>
        <w:ind w:right="0"/>
        <w:jc w:val="left"/>
      </w:pPr>
      <w:r>
        <w:rPr/>
        <w:t>（</w:t>
      </w:r>
      <w:r>
        <w:rPr>
          <w:rFonts w:ascii="Times New Roman" w:hAnsi="Times New Roman" w:cs="Times New Roman" w:eastAsia="Times New Roman" w:hint="default"/>
        </w:rPr>
        <w:t>2</w:t>
      </w:r>
      <w:r>
        <w:rPr/>
        <w:t>）本公司既没有保留通常与所有权相联系的继续管理权，也没有对已售出的商品实施有效控制；</w:t>
      </w:r>
    </w:p>
    <w:p>
      <w:pPr>
        <w:pStyle w:val="BodyText"/>
        <w:spacing w:line="240" w:lineRule="auto" w:before="63"/>
        <w:ind w:right="0"/>
        <w:jc w:val="left"/>
      </w:pPr>
      <w:r>
        <w:rPr/>
        <w:t>（</w:t>
      </w:r>
      <w:r>
        <w:rPr>
          <w:rFonts w:ascii="Times New Roman" w:hAnsi="Times New Roman" w:cs="Times New Roman" w:eastAsia="Times New Roman" w:hint="default"/>
        </w:rPr>
        <w:t>3</w:t>
      </w:r>
      <w:r>
        <w:rPr/>
        <w:t>）收入的金额能够可靠地计量；</w:t>
      </w:r>
    </w:p>
    <w:p>
      <w:pPr>
        <w:pStyle w:val="BodyText"/>
        <w:spacing w:line="240" w:lineRule="auto" w:before="63"/>
        <w:ind w:right="0"/>
        <w:jc w:val="left"/>
      </w:pPr>
      <w:r>
        <w:rPr/>
        <w:t>（</w:t>
      </w:r>
      <w:r>
        <w:rPr>
          <w:rFonts w:ascii="Times New Roman" w:hAnsi="Times New Roman" w:cs="Times New Roman" w:eastAsia="Times New Roman" w:hint="default"/>
        </w:rPr>
        <w:t>4</w:t>
      </w:r>
      <w:r>
        <w:rPr/>
        <w:t>）相关的经济利益很可能流入本公司；</w:t>
      </w:r>
    </w:p>
    <w:p>
      <w:pPr>
        <w:pStyle w:val="BodyText"/>
        <w:spacing w:line="240" w:lineRule="auto" w:before="63"/>
        <w:ind w:right="0"/>
        <w:jc w:val="left"/>
      </w:pPr>
      <w:r>
        <w:rPr/>
        <w:t>（</w:t>
      </w:r>
      <w:r>
        <w:rPr>
          <w:rFonts w:ascii="Times New Roman" w:hAnsi="Times New Roman" w:cs="Times New Roman" w:eastAsia="Times New Roman" w:hint="default"/>
        </w:rPr>
        <w:t>5</w:t>
      </w:r>
      <w:r>
        <w:rPr/>
        <w:t>）相关的、已发生或将发生的成本能够可靠地计量。</w:t>
      </w:r>
    </w:p>
    <w:p>
      <w:pPr>
        <w:spacing w:line="240" w:lineRule="auto" w:before="0"/>
        <w:rPr>
          <w:rFonts w:ascii="宋体" w:hAnsi="宋体" w:cs="宋体" w:eastAsia="宋体" w:hint="default"/>
          <w:sz w:val="18"/>
          <w:szCs w:val="18"/>
        </w:rPr>
      </w:pPr>
    </w:p>
    <w:p>
      <w:pPr>
        <w:pStyle w:val="BodyText"/>
        <w:spacing w:line="240" w:lineRule="auto" w:before="139"/>
        <w:ind w:right="0"/>
        <w:jc w:val="left"/>
      </w:pPr>
      <w:r>
        <w:rPr>
          <w:rFonts w:ascii="Times New Roman" w:hAnsi="Times New Roman" w:cs="Times New Roman" w:eastAsia="Times New Roman" w:hint="default"/>
        </w:rPr>
        <w:t>2</w:t>
      </w:r>
      <w:r>
        <w:rPr/>
        <w:t>、具体原则</w:t>
      </w:r>
    </w:p>
    <w:p>
      <w:pPr>
        <w:pStyle w:val="BodyText"/>
        <w:spacing w:line="319" w:lineRule="auto" w:before="63"/>
        <w:ind w:right="0"/>
        <w:jc w:val="left"/>
      </w:pPr>
      <w:r>
        <w:rPr/>
        <w:t>①自行开发研制的软件产品销售收入确认和计量方法 </w:t>
      </w:r>
      <w:r>
        <w:rPr>
          <w:spacing w:val="-2"/>
        </w:rPr>
        <w:t>自行开发研制的软件产品是指经过信息产业部认证并获得著作权，销售时不转让所有权的软件产品，由此开发出来的软件具</w:t>
      </w:r>
      <w:r>
        <w:rPr>
          <w:spacing w:val="-64"/>
        </w:rPr>
        <w:t> </w:t>
      </w:r>
      <w:r>
        <w:rPr>
          <w:spacing w:val="-64"/>
        </w:rPr>
      </w:r>
      <w:r>
        <w:rPr/>
        <w:t>有自主知识产权、无差异化、可批量复制的特性。 </w:t>
      </w:r>
      <w:r>
        <w:rPr>
          <w:spacing w:val="-2"/>
        </w:rPr>
        <w:t>不需要安装的以产品交付并经购货方验收后确认收入；需安装调试的按合同约定在项目实施完成并经对方验收合格后确认收</w:t>
      </w:r>
      <w:r>
        <w:rPr>
          <w:spacing w:val="-63"/>
        </w:rPr>
        <w:t> </w:t>
      </w:r>
      <w:r>
        <w:rPr>
          <w:spacing w:val="-63"/>
        </w:rPr>
      </w:r>
      <w:r>
        <w:rPr/>
        <w:t>入，对合同约定完工比例的，按合同约定的完工确认条件确认收入。</w:t>
      </w:r>
    </w:p>
    <w:p>
      <w:pPr>
        <w:spacing w:after="0" w:line="319"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9" w:lineRule="auto" w:before="44"/>
        <w:ind w:right="1118"/>
        <w:jc w:val="left"/>
      </w:pPr>
      <w:r>
        <w:rPr/>
        <w:t>②定制软件产品销售收入确认和计量方法 </w:t>
      </w:r>
      <w:r>
        <w:rPr>
          <w:spacing w:val="-2"/>
        </w:rPr>
        <w:t>定制软件是指根据与客户签订的技术开发、技术转让合同，对用户的业务进行充分实地调查，并根据用户的实际需求进行专</w:t>
      </w:r>
      <w:r>
        <w:rPr>
          <w:spacing w:val="-66"/>
        </w:rPr>
        <w:t> </w:t>
      </w:r>
      <w:r>
        <w:rPr>
          <w:spacing w:val="-66"/>
        </w:rPr>
      </w:r>
      <w:r>
        <w:rPr/>
        <w:t>门的软件设计与开发，由此开发出来的软件不具有通用性。 </w:t>
      </w:r>
      <w:r>
        <w:rPr>
          <w:spacing w:val="-2"/>
        </w:rPr>
        <w:t>定制软件项目按合同约定在项目实施完成并经对方验收合格后确认收入，对合同约定完工比例的，按合同约定的完工确认条</w:t>
      </w:r>
      <w:r>
        <w:rPr>
          <w:spacing w:val="-64"/>
        </w:rPr>
        <w:t> </w:t>
      </w:r>
      <w:r>
        <w:rPr>
          <w:spacing w:val="-64"/>
        </w:rPr>
      </w:r>
      <w:r>
        <w:rPr/>
        <w:t>件确认收入。</w:t>
      </w:r>
    </w:p>
    <w:p>
      <w:pPr>
        <w:pStyle w:val="BodyText"/>
        <w:spacing w:line="316" w:lineRule="auto" w:before="17"/>
        <w:ind w:right="1118"/>
        <w:jc w:val="left"/>
      </w:pPr>
      <w:r>
        <w:rPr/>
        <w:t>③系统集成收入确认和计量方法 系统集成收入是指与客户订立软件产品销售的同时，为其提供软件嵌入所需的设备配件和安装服务。 </w:t>
      </w:r>
      <w:r>
        <w:rPr>
          <w:spacing w:val="-2"/>
        </w:rPr>
        <w:t>对于系统集成业务，如果软件收入与设备配件及安装服务收入能分开核算，则硬件收入按上述商品销售的原则进行确认，软</w:t>
      </w:r>
      <w:r>
        <w:rPr>
          <w:spacing w:val="-66"/>
        </w:rPr>
        <w:t> </w:t>
      </w:r>
      <w:r>
        <w:rPr>
          <w:spacing w:val="-66"/>
        </w:rPr>
      </w:r>
      <w:r>
        <w:rPr>
          <w:spacing w:val="-2"/>
        </w:rPr>
        <w:t>件收入按上述软件产品销售的原则进行确认。如果软件收入与设备配件及安装服务收入不能分开核算，则将其一并核算，待</w:t>
      </w:r>
      <w:r>
        <w:rPr>
          <w:spacing w:val="-66"/>
        </w:rPr>
        <w:t> </w:t>
      </w:r>
      <w:r>
        <w:rPr>
          <w:spacing w:val="-66"/>
        </w:rPr>
      </w:r>
      <w:r>
        <w:rPr/>
        <w:t>系统集成于安装完成后确认收入，或根据合同约定的完工确认条件确认收入。</w:t>
      </w:r>
    </w:p>
    <w:p>
      <w:pPr>
        <w:pStyle w:val="BodyText"/>
        <w:spacing w:line="316" w:lineRule="auto" w:before="19"/>
        <w:ind w:right="3732"/>
        <w:jc w:val="left"/>
      </w:pPr>
      <w:r>
        <w:rPr/>
        <w:t>④技术服务收入确认和计量方法 技术服务收入，主要是指按合同要求向客户提供技术咨询、实施和产品售后服务等业务。 技术服务收入在劳务已经提供，收到价款或取得收取款项的证据时，确认劳务收入。</w:t>
      </w:r>
    </w:p>
    <w:p>
      <w:pPr>
        <w:pStyle w:val="BodyText"/>
        <w:spacing w:line="316" w:lineRule="auto" w:before="19"/>
        <w:ind w:right="0"/>
        <w:jc w:val="left"/>
      </w:pPr>
      <w:r>
        <w:rPr/>
        <w:t>⑤信息服务收入确认和计量方法 </w:t>
      </w:r>
      <w:r>
        <w:rPr>
          <w:spacing w:val="-2"/>
        </w:rPr>
        <w:t>信息服务收入是指利用数字营销平台、游戏发行和推广平台、互联网金融平台等信息技术，给客户提供信息或者利用信息传</w:t>
      </w:r>
      <w:r>
        <w:rPr>
          <w:spacing w:val="-66"/>
        </w:rPr>
        <w:t> </w:t>
      </w:r>
      <w:r>
        <w:rPr>
          <w:spacing w:val="-66"/>
        </w:rPr>
      </w:r>
      <w:r>
        <w:rPr>
          <w:spacing w:val="-2"/>
        </w:rPr>
        <w:t>播、交流等帮客户实现信息增值的服务收入；没有明确服务期限的，在信息服务已经提供，并获取客户确认的相关证据，确</w:t>
      </w:r>
      <w:r>
        <w:rPr>
          <w:spacing w:val="-66"/>
        </w:rPr>
        <w:t> </w:t>
      </w:r>
      <w:r>
        <w:rPr>
          <w:spacing w:val="-66"/>
        </w:rPr>
      </w:r>
      <w:r>
        <w:rPr/>
        <w:t>认收入；有明确服务期限的，根据信息服务的期限，分期确认信息服务收入。</w:t>
      </w:r>
    </w:p>
    <w:p>
      <w:pPr>
        <w:pStyle w:val="BodyText"/>
        <w:spacing w:line="316" w:lineRule="auto" w:before="19"/>
        <w:ind w:right="1118"/>
        <w:jc w:val="left"/>
      </w:pPr>
      <w:r>
        <w:rPr/>
        <w:t>⑥应收账款保理收入确认和计量方法 </w:t>
      </w:r>
      <w:r>
        <w:rPr>
          <w:spacing w:val="-2"/>
        </w:rPr>
        <w:t>应收账款保理利息收入根据权责发生制原则按实际利率法确认。实际利率法是一种计算某项金融资产或负债的摊余成本以及</w:t>
      </w:r>
      <w:r>
        <w:rPr>
          <w:spacing w:val="-63"/>
        </w:rPr>
        <w:t> </w:t>
      </w:r>
      <w:r>
        <w:rPr>
          <w:spacing w:val="-63"/>
        </w:rPr>
      </w:r>
      <w:r>
        <w:rPr>
          <w:spacing w:val="-2"/>
        </w:rPr>
        <w:t>在相关期间分摊利息收入的方法。实际利率是在金融工具预计到期日或某一恰当较短期限内，将其未来现金流量贴现为账面</w:t>
      </w:r>
      <w:r>
        <w:rPr>
          <w:spacing w:val="-64"/>
        </w:rPr>
        <w:t> </w:t>
      </w:r>
      <w:r>
        <w:rPr>
          <w:spacing w:val="-64"/>
        </w:rPr>
      </w:r>
      <w:r>
        <w:rPr>
          <w:spacing w:val="-2"/>
        </w:rPr>
        <w:t>净额所使用的利率。本公司在估计未来现金流量时考虑金融工具的所有合同条款，但不考虑未来的信用损失。计算实际利率</w:t>
      </w:r>
      <w:r>
        <w:rPr>
          <w:spacing w:val="-66"/>
        </w:rPr>
        <w:t> </w:t>
      </w:r>
      <w:r>
        <w:rPr>
          <w:spacing w:val="-66"/>
        </w:rPr>
      </w:r>
      <w:r>
        <w:rPr/>
        <w:t>时考虑交易成本、折溢价和合同各方之间收付的所有与实际利率相关的费用。 手续费及佣金收入在服务期间按权责发生制确认； </w:t>
      </w:r>
      <w:r>
        <w:rPr>
          <w:spacing w:val="-2"/>
        </w:rPr>
        <w:t>本公司对外提供保理服务形成的应收债权保理款，向保理方应收的合同或协议价款作为初始确认金额。保理期间按约定利率</w:t>
      </w:r>
      <w:r>
        <w:rPr>
          <w:spacing w:val="-64"/>
        </w:rPr>
        <w:t> </w:t>
      </w:r>
      <w:r>
        <w:rPr>
          <w:spacing w:val="-64"/>
        </w:rPr>
      </w:r>
      <w:r>
        <w:rPr/>
        <w:t>分期收取融资利息，确认收入。</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6、政府补助" w:id="222"/>
      <w:bookmarkEnd w:id="222"/>
      <w:r>
        <w:rPr>
          <w:b w:val="0"/>
          <w:bCs w:val="0"/>
        </w:rPr>
      </w:r>
      <w:r>
        <w:rPr>
          <w:rFonts w:ascii="Times New Roman" w:hAnsi="Times New Roman" w:cs="Times New Roman" w:eastAsia="Times New Roman" w:hint="default"/>
        </w:rPr>
        <w:t>26</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032"/>
        <w:jc w:val="left"/>
      </w:pPr>
      <w:r>
        <w:rPr>
          <w:rFonts w:ascii="Times New Roman" w:hAnsi="Times New Roman" w:cs="Times New Roman" w:eastAsia="Times New Roman" w:hint="default"/>
        </w:rPr>
        <w:t>1</w:t>
      </w:r>
      <w:r>
        <w:rPr/>
        <w:t>、类型 政府补助，是本公司从政府无偿取得的货币性资产与非货币性资产。分为与资产相关的政府补助和与收益相关的政府补助。</w:t>
      </w:r>
      <w:r>
        <w:rPr>
          <w:spacing w:val="-85"/>
        </w:rPr>
        <w:t> </w:t>
      </w:r>
      <w:r>
        <w:rPr>
          <w:spacing w:val="-85"/>
        </w:rPr>
      </w:r>
      <w:r>
        <w:rPr>
          <w:spacing w:val="-2"/>
        </w:rPr>
        <w:t>与资产相关的政府补助，是指本公司取得的、用于购建或以其他方式形成长期资产的政府补助。与收益相关的政府补助，是</w:t>
      </w:r>
      <w:r>
        <w:rPr>
          <w:spacing w:val="-66"/>
        </w:rPr>
        <w:t> </w:t>
      </w:r>
      <w:r>
        <w:rPr>
          <w:spacing w:val="-66"/>
        </w:rPr>
      </w:r>
      <w:r>
        <w:rPr/>
        <w:t>指除与资产相关的政府补助之外的政府补助。 本公司将政府补助划分为与资产相关的具体标准为：指本公司取得的、用于购建或以其他方式形成长期资产的政府补助 本公司将政府补助划分为与收益相关的具体标准为：指除与资产相关的政府补助之外的政府补助。</w:t>
      </w:r>
    </w:p>
    <w:p>
      <w:pPr>
        <w:spacing w:line="240" w:lineRule="auto" w:before="6"/>
        <w:rPr>
          <w:rFonts w:ascii="宋体" w:hAnsi="宋体" w:cs="宋体" w:eastAsia="宋体" w:hint="default"/>
          <w:sz w:val="25"/>
          <w:szCs w:val="25"/>
        </w:rPr>
      </w:pPr>
    </w:p>
    <w:p>
      <w:pPr>
        <w:pStyle w:val="BodyText"/>
        <w:spacing w:line="300" w:lineRule="auto"/>
        <w:ind w:right="6792"/>
        <w:jc w:val="left"/>
      </w:pPr>
      <w:r>
        <w:rPr>
          <w:rFonts w:ascii="Times New Roman" w:hAnsi="Times New Roman" w:cs="Times New Roman" w:eastAsia="Times New Roman" w:hint="default"/>
        </w:rPr>
        <w:t>2</w:t>
      </w:r>
      <w:r>
        <w:rPr/>
        <w:t>、确认时点 政府补助在同时满足下列条件的，才能予以确认：</w:t>
      </w:r>
    </w:p>
    <w:p>
      <w:pPr>
        <w:pStyle w:val="BodyText"/>
        <w:spacing w:line="240" w:lineRule="auto" w:before="31"/>
        <w:ind w:right="0"/>
        <w:jc w:val="left"/>
      </w:pPr>
      <w:r>
        <w:rPr/>
        <w:t>（一）企业能够满足政府补助所附条件；</w:t>
      </w:r>
    </w:p>
    <w:p>
      <w:pPr>
        <w:pStyle w:val="BodyText"/>
        <w:spacing w:line="240" w:lineRule="auto" w:before="76"/>
        <w:ind w:right="0"/>
        <w:jc w:val="left"/>
      </w:pPr>
      <w:r>
        <w:rPr/>
        <w:t>（二）企业能够收到政府补助。</w:t>
      </w:r>
    </w:p>
    <w:p>
      <w:pPr>
        <w:spacing w:line="240" w:lineRule="auto" w:before="0"/>
        <w:rPr>
          <w:rFonts w:ascii="宋体" w:hAnsi="宋体" w:cs="宋体" w:eastAsia="宋体" w:hint="default"/>
          <w:sz w:val="18"/>
          <w:szCs w:val="18"/>
        </w:rPr>
      </w:pPr>
    </w:p>
    <w:p>
      <w:pPr>
        <w:pStyle w:val="BodyText"/>
        <w:spacing w:line="312" w:lineRule="auto" w:before="153"/>
        <w:ind w:right="1032"/>
        <w:jc w:val="left"/>
      </w:pPr>
      <w:r>
        <w:rPr>
          <w:rFonts w:ascii="Times New Roman" w:hAnsi="Times New Roman" w:cs="Times New Roman" w:eastAsia="Times New Roman" w:hint="default"/>
        </w:rPr>
        <w:t>3</w:t>
      </w:r>
      <w:r>
        <w:rPr/>
        <w:t>、会计处理 与资产相关的政府补助，冲减相关资产账面价值或确认为递延收益。确认为递延收益的，在相关资产使用寿命内按照合理、</w:t>
      </w:r>
      <w:r>
        <w:rPr>
          <w:spacing w:val="-85"/>
        </w:rPr>
        <w:t> </w:t>
      </w:r>
      <w:r>
        <w:rPr>
          <w:spacing w:val="-85"/>
        </w:rPr>
      </w:r>
      <w:r>
        <w:rPr/>
        <w:t>系统的方法分期计入当期损益（与本公司日常活动相关的，计入其他收益；与本公司日常活动无关的，计入营业外收入）；</w:t>
      </w:r>
      <w:r>
        <w:rPr>
          <w:spacing w:val="-85"/>
        </w:rPr>
        <w:t> </w:t>
      </w:r>
      <w:r>
        <w:rPr>
          <w:spacing w:val="-85"/>
        </w:rPr>
      </w:r>
      <w:r>
        <w:rPr>
          <w:spacing w:val="-2"/>
        </w:rPr>
        <w:t>与收益相关的政府补助，用于补偿本公司以后期间的相关成本费用或损失的，确认为递延收益，并在确认相关成本费用或损</w:t>
      </w:r>
    </w:p>
    <w:p>
      <w:pPr>
        <w:spacing w:after="0" w:line="312"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0"/>
        <w:jc w:val="left"/>
      </w:pPr>
      <w:r>
        <w:rPr>
          <w:spacing w:val="-2"/>
        </w:rPr>
        <w:t>失的期间，计入当期损益（与本公司日常活动相关的，计入其他收益；与本公司日常活动无关的，计入营业外收入）或冲减</w:t>
      </w:r>
      <w:r>
        <w:rPr>
          <w:spacing w:val="-68"/>
        </w:rPr>
        <w:t> </w:t>
      </w:r>
      <w:r>
        <w:rPr>
          <w:spacing w:val="-68"/>
        </w:rPr>
      </w:r>
      <w:r>
        <w:rPr>
          <w:spacing w:val="-2"/>
        </w:rPr>
        <w:t>相关成本费用或损失；用于补偿本公司已发生的相关成本费用或损失的，直接计入当期损益（与本公司日常活动相关的，计</w:t>
      </w:r>
      <w:r>
        <w:rPr>
          <w:spacing w:val="-66"/>
        </w:rPr>
        <w:t> </w:t>
      </w:r>
      <w:r>
        <w:rPr>
          <w:spacing w:val="-66"/>
        </w:rPr>
      </w:r>
      <w:r>
        <w:rPr/>
        <w:t>入其他收益；与本公司日常活动无关的，计入营业外收入）或冲减相关成本费用或损失。 本公司取得的政策性优惠贷款贴息，区分以下两种情况，分别进行会计处理：</w:t>
      </w:r>
    </w:p>
    <w:p>
      <w:pPr>
        <w:pStyle w:val="BodyText"/>
        <w:spacing w:line="300" w:lineRule="auto" w:before="19"/>
        <w:ind w:right="1122"/>
        <w:jc w:val="left"/>
      </w:pPr>
      <w:r>
        <w:rPr/>
        <w:t>（</w:t>
      </w:r>
      <w:r>
        <w:rPr>
          <w:rFonts w:ascii="Times New Roman" w:hAnsi="Times New Roman" w:cs="Times New Roman" w:eastAsia="Times New Roman" w:hint="default"/>
        </w:rPr>
        <w:t>1</w:t>
      </w:r>
      <w:r>
        <w:rPr/>
        <w:t>）财政将贴息资金拨付给贷款银行，由贷款银行以政策性优惠利率向本公司提供贷款的，本公司以实际收到的借款金额</w:t>
      </w:r>
      <w:r>
        <w:rPr>
          <w:spacing w:val="-83"/>
        </w:rPr>
        <w:t> </w:t>
      </w:r>
      <w:r>
        <w:rPr>
          <w:spacing w:val="-83"/>
        </w:rPr>
      </w:r>
      <w:r>
        <w:rPr/>
        <w:t>作为借款的入账价值，按照借款本金和该政策性优惠利率计算相关借款费用。</w:t>
      </w:r>
    </w:p>
    <w:p>
      <w:pPr>
        <w:pStyle w:val="BodyText"/>
        <w:spacing w:line="240" w:lineRule="auto" w:before="31"/>
        <w:ind w:right="0"/>
        <w:jc w:val="left"/>
      </w:pPr>
      <w:r>
        <w:rPr/>
        <w:t>（</w:t>
      </w:r>
      <w:r>
        <w:rPr>
          <w:rFonts w:ascii="Times New Roman" w:hAnsi="Times New Roman" w:cs="Times New Roman" w:eastAsia="Times New Roman" w:hint="default"/>
        </w:rPr>
        <w:t>2</w:t>
      </w:r>
      <w:r>
        <w:rPr/>
        <w:t>）财政将贴息资金直接拨付给本公司的，本公司将对应的贴息冲减相关借款费用。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7、递延所得税资产/递延所得税负债" w:id="223"/>
      <w:bookmarkEnd w:id="223"/>
      <w:r>
        <w:rPr>
          <w:b w:val="0"/>
          <w:bCs w:val="0"/>
        </w:rPr>
      </w: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jc w:val="both"/>
      </w:pPr>
      <w:r>
        <w:rPr>
          <w:spacing w:val="-2"/>
        </w:rPr>
        <w:t>对于可抵扣暂时性差异确认递延所得税资产，以未来期间很可能取得的用来抵扣可抵扣暂时性差异的应纳税所得额为限。对</w:t>
      </w:r>
      <w:r>
        <w:rPr>
          <w:spacing w:val="-64"/>
        </w:rPr>
        <w:t> </w:t>
      </w:r>
      <w:r>
        <w:rPr>
          <w:spacing w:val="-64"/>
        </w:rPr>
      </w:r>
      <w:r>
        <w:rPr>
          <w:spacing w:val="-2"/>
        </w:rPr>
        <w:t>于能够结转以后年度的可抵扣亏损和税款抵减，以很可能获得用来抵扣可抵扣亏损和税款抵减的未来应纳税所得额为限，确</w:t>
      </w:r>
      <w:r>
        <w:rPr>
          <w:spacing w:val="-64"/>
        </w:rPr>
        <w:t> </w:t>
      </w:r>
      <w:r>
        <w:rPr>
          <w:spacing w:val="-64"/>
        </w:rPr>
      </w:r>
      <w:r>
        <w:rPr/>
        <w:t>认相应的递延所得税资产。</w:t>
      </w:r>
    </w:p>
    <w:p>
      <w:pPr>
        <w:pStyle w:val="BodyText"/>
        <w:spacing w:line="316" w:lineRule="auto" w:before="19"/>
        <w:ind w:right="0"/>
        <w:jc w:val="left"/>
      </w:pPr>
      <w:r>
        <w:rPr/>
        <w:t>对于应纳税暂时性差异，除特殊情况外，确认递延所得税负债。 </w:t>
      </w:r>
      <w:r>
        <w:rPr>
          <w:spacing w:val="-2"/>
        </w:rPr>
        <w:t>不确认递延所得税资产或递延所得税负债的特殊情况包括：商誉的初始确认；除企业合并以外的发生时既不影响会计利润也</w:t>
      </w:r>
      <w:r>
        <w:rPr>
          <w:spacing w:val="-64"/>
        </w:rPr>
        <w:t> </w:t>
      </w:r>
      <w:r>
        <w:rPr>
          <w:spacing w:val="-64"/>
        </w:rPr>
      </w:r>
      <w:r>
        <w:rPr/>
        <w:t>不影响应纳税所得额（或可抵扣亏损）的其他交易或事项。 </w:t>
      </w:r>
      <w:r>
        <w:rPr>
          <w:spacing w:val="-2"/>
        </w:rPr>
        <w:t>当拥有以净额结算的法定权利，且意图以净额结算或取得资产、清偿负债同时进行时，当期所得税资产及当期所得税负债以</w:t>
      </w:r>
      <w:r>
        <w:rPr>
          <w:spacing w:val="-66"/>
        </w:rPr>
        <w:t> </w:t>
      </w:r>
      <w:r>
        <w:rPr>
          <w:spacing w:val="-66"/>
        </w:rPr>
      </w:r>
      <w:r>
        <w:rPr/>
        <w:t>抵销后的净额列报。 </w:t>
      </w:r>
      <w:r>
        <w:rPr>
          <w:spacing w:val="-2"/>
        </w:rPr>
        <w:t>当拥有以净额结算当期所得税资产及当期所得税负债的法定权利，且递延所得税资产及递延所得税负债是与同一税收征管部</w:t>
      </w:r>
      <w:r>
        <w:rPr>
          <w:spacing w:val="-64"/>
        </w:rPr>
        <w:t> </w:t>
      </w:r>
      <w:r>
        <w:rPr>
          <w:spacing w:val="-64"/>
        </w:rPr>
      </w:r>
      <w:r>
        <w:rPr>
          <w:spacing w:val="-2"/>
        </w:rPr>
        <w:t>门对同一纳税主体征收的所得税相关或者是对不同的纳税主体相关，但在未来每一具有重要性的递延所得税资产及负债转回</w:t>
      </w:r>
      <w:r>
        <w:rPr>
          <w:spacing w:val="-64"/>
        </w:rPr>
        <w:t> </w:t>
      </w:r>
      <w:r>
        <w:rPr>
          <w:spacing w:val="-64"/>
        </w:rPr>
      </w:r>
      <w:r>
        <w:rPr>
          <w:spacing w:val="-2"/>
        </w:rPr>
        <w:t>的期间内，涉及的纳税主体意图以净额结算当期所得税资产和负债或是同时取得资产、清偿负债时，递延所得税资产及递延</w:t>
      </w:r>
      <w:r>
        <w:rPr>
          <w:spacing w:val="-66"/>
        </w:rPr>
        <w:t> </w:t>
      </w:r>
      <w:r>
        <w:rPr>
          <w:spacing w:val="-66"/>
        </w:rPr>
      </w:r>
      <w:r>
        <w:rPr/>
        <w:t>所得税负债以抵销后的净额列报。</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8、 回购本公司股份" w:id="224"/>
      <w:bookmarkEnd w:id="224"/>
      <w:r>
        <w:rPr>
          <w:b w:val="0"/>
          <w:bCs w:val="0"/>
        </w:rPr>
      </w:r>
      <w:r>
        <w:rPr>
          <w:rFonts w:ascii="Times New Roman" w:hAnsi="Times New Roman" w:cs="Times New Roman" w:eastAsia="Times New Roman" w:hint="default"/>
        </w:rPr>
        <w:t>28</w:t>
      </w:r>
      <w:r>
        <w:rPr/>
        <w:t>、</w:t>
      </w:r>
      <w:r>
        <w:rPr>
          <w:spacing w:val="-2"/>
        </w:rPr>
        <w:t> </w:t>
      </w:r>
      <w:r>
        <w:rPr/>
        <w:t>回购本公司股份</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公司回购股份用于注销，减少注册资本。实际回购股份时，按照回购股份的全部支出计入库存股。股份注销时，公司减少库</w:t>
      </w:r>
      <w:r>
        <w:rPr>
          <w:spacing w:val="-66"/>
        </w:rPr>
        <w:t> </w:t>
      </w:r>
      <w:r>
        <w:rPr>
          <w:spacing w:val="-66"/>
        </w:rPr>
      </w:r>
      <w:r>
        <w:rPr/>
        <w:t>存股，同时按面值减少股本，超出面值付出的价格，调整资本公积；资本公积不足冲减的，调整留存收益。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9、租赁" w:id="225"/>
      <w:bookmarkEnd w:id="225"/>
      <w:r>
        <w:rPr>
          <w:b w:val="0"/>
          <w:bCs w:val="0"/>
        </w:rPr>
      </w:r>
      <w:r>
        <w:rPr>
          <w:rFonts w:ascii="Times New Roman" w:hAnsi="Times New Roman" w:cs="Times New Roman" w:eastAsia="Times New Roman" w:hint="default"/>
        </w:rPr>
        <w:t>29</w:t>
      </w:r>
      <w:r>
        <w:rPr/>
        <w:t>、租赁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（一）经营租赁的会计处理方法</w:t>
      </w:r>
    </w:p>
    <w:p>
      <w:pPr>
        <w:pStyle w:val="BodyText"/>
        <w:spacing w:line="312" w:lineRule="auto" w:before="76"/>
        <w:ind w:right="1122"/>
        <w:jc w:val="left"/>
      </w:pPr>
      <w:r>
        <w:rPr/>
        <w:t>（</w:t>
      </w:r>
      <w:r>
        <w:rPr>
          <w:rFonts w:ascii="Times New Roman" w:hAnsi="Times New Roman" w:cs="Times New Roman" w:eastAsia="Times New Roman" w:hint="default"/>
        </w:rPr>
        <w:t>1</w:t>
      </w:r>
      <w:r>
        <w:rPr/>
        <w:t>）公司租入资产所支付的租赁费，在不扣除免租期的整个租赁期内，按直线法进行分摊，计入当期费用。公司支付的与</w:t>
      </w:r>
      <w:r>
        <w:rPr>
          <w:spacing w:val="-83"/>
        </w:rPr>
        <w:t> </w:t>
      </w:r>
      <w:r>
        <w:rPr>
          <w:spacing w:val="-83"/>
        </w:rPr>
      </w:r>
      <w:r>
        <w:rPr/>
        <w:t>租赁交易相关的初始直接费用，计入当期费用。 </w:t>
      </w:r>
      <w:r>
        <w:rPr>
          <w:spacing w:val="-2"/>
        </w:rPr>
        <w:t>资产出租方承担了应由公司承担的与租赁相关的费用时，公司将该部分费用从租金总额中扣除，按扣除后的租金费用在租赁</w:t>
      </w:r>
      <w:r>
        <w:rPr>
          <w:spacing w:val="-64"/>
        </w:rPr>
        <w:t> </w:t>
      </w:r>
      <w:r>
        <w:rPr>
          <w:spacing w:val="-64"/>
        </w:rPr>
      </w:r>
      <w:r>
        <w:rPr/>
        <w:t>期内分摊，计入当期费用。</w:t>
      </w:r>
    </w:p>
    <w:p>
      <w:pPr>
        <w:pStyle w:val="BodyText"/>
        <w:spacing w:line="314" w:lineRule="auto" w:before="22"/>
        <w:ind w:right="1122"/>
        <w:jc w:val="left"/>
      </w:pPr>
      <w:r>
        <w:rPr/>
        <w:t>（</w:t>
      </w:r>
      <w:r>
        <w:rPr>
          <w:rFonts w:ascii="Times New Roman" w:hAnsi="Times New Roman" w:cs="Times New Roman" w:eastAsia="Times New Roman" w:hint="default"/>
        </w:rPr>
        <w:t>2</w:t>
      </w:r>
      <w:r>
        <w:rPr/>
        <w:t>）公司出租资产所收取的租赁费，在不扣除免租期的整个租赁期内，按直线法进行分摊，确认为租赁相关收入。公司支</w:t>
      </w:r>
      <w:r>
        <w:rPr>
          <w:spacing w:val="-83"/>
        </w:rPr>
        <w:t> </w:t>
      </w:r>
      <w:r>
        <w:rPr>
          <w:spacing w:val="-83"/>
        </w:rPr>
      </w:r>
      <w:r>
        <w:rPr>
          <w:spacing w:val="-2"/>
        </w:rPr>
        <w:t>付的与租赁交易相关的初始直接费用，计入当期费用；如金额较大的，则予以资本化，在整个租赁期间内按照与租赁相关收</w:t>
      </w:r>
      <w:r>
        <w:rPr>
          <w:spacing w:val="-66"/>
        </w:rPr>
        <w:t> </w:t>
      </w:r>
      <w:r>
        <w:rPr>
          <w:spacing w:val="-66"/>
        </w:rPr>
      </w:r>
      <w:r>
        <w:rPr/>
        <w:t>入确认相同的基础分期计入当期收益。 </w:t>
      </w:r>
      <w:r>
        <w:rPr>
          <w:spacing w:val="-2"/>
        </w:rPr>
        <w:t>公司承担了应由承租方承担的与租赁相关的费用时，公司将该部分费用从租金收入总额中扣除，按扣除后的租金费用在租赁</w:t>
      </w:r>
      <w:r>
        <w:rPr>
          <w:spacing w:val="-64"/>
        </w:rPr>
        <w:t> </w:t>
      </w:r>
      <w:r>
        <w:rPr>
          <w:spacing w:val="-64"/>
        </w:rPr>
      </w:r>
      <w:r>
        <w:rPr/>
        <w:t>期内分配。</w:t>
      </w:r>
    </w:p>
    <w:p>
      <w:pPr>
        <w:pStyle w:val="BodyText"/>
        <w:spacing w:line="240" w:lineRule="auto" w:before="21"/>
        <w:ind w:right="0"/>
        <w:jc w:val="left"/>
      </w:pPr>
      <w:r>
        <w:rPr/>
        <w:t>（二）融资租赁的会计处理方法</w:t>
      </w:r>
    </w:p>
    <w:p>
      <w:pPr>
        <w:pStyle w:val="BodyText"/>
        <w:spacing w:line="309" w:lineRule="auto" w:before="76"/>
        <w:ind w:right="1131"/>
        <w:jc w:val="both"/>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）融资租入资产：公司在承租开始日，将租赁资产公允价值与最低租赁付款额现值两者中较低者作为租入资产的入账价</w:t>
      </w:r>
      <w:r>
        <w:rPr>
          <w:spacing w:val="-83"/>
        </w:rPr>
        <w:t> </w:t>
      </w:r>
      <w:r>
        <w:rPr>
          <w:spacing w:val="-83"/>
        </w:rPr>
      </w:r>
      <w:r>
        <w:rPr>
          <w:spacing w:val="-2"/>
        </w:rPr>
        <w:t>值，将最低租赁付款额作为长期应付款的入账价值，其差额作为未确认的融资费用。公司采用实际利率法对未确认的融资费</w:t>
      </w:r>
      <w:r>
        <w:rPr>
          <w:spacing w:val="-66"/>
        </w:rPr>
        <w:t> </w:t>
      </w:r>
      <w:r>
        <w:rPr>
          <w:spacing w:val="-66"/>
        </w:rPr>
      </w:r>
      <w:r>
        <w:rPr/>
        <w:t>用，在资产租赁期间内摊销，计入财务费用。公司发生的初始直接费用，计入租入资产价值。</w:t>
      </w:r>
    </w:p>
    <w:p>
      <w:pPr>
        <w:pStyle w:val="BodyText"/>
        <w:spacing w:line="240" w:lineRule="auto" w:before="24"/>
        <w:ind w:right="0"/>
        <w:jc w:val="left"/>
      </w:pPr>
      <w:r>
        <w:rPr/>
        <w:t>（</w:t>
      </w:r>
      <w:r>
        <w:rPr>
          <w:rFonts w:ascii="Times New Roman" w:hAnsi="Times New Roman" w:cs="Times New Roman" w:eastAsia="Times New Roman" w:hint="default"/>
        </w:rPr>
        <w:t>2</w:t>
      </w:r>
      <w:r>
        <w:rPr/>
        <w:t>）融资租出资产：公司在租赁开始日，将应收融资租赁款，未担保余值之和与其现值的差额确认为未实现融资收益，在</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0"/>
        <w:jc w:val="left"/>
      </w:pPr>
      <w:r>
        <w:rPr>
          <w:spacing w:val="-4"/>
        </w:rPr>
        <w:t>将来收到租金的各期间内确认为租赁收入。公司发生的与出租交易相关的初始直接费用，计入应收融资租赁款的初始计量中，</w:t>
      </w:r>
      <w:r>
        <w:rPr>
          <w:spacing w:val="-43"/>
        </w:rPr>
        <w:t> </w:t>
      </w:r>
      <w:r>
        <w:rPr>
          <w:spacing w:val="-43"/>
        </w:rPr>
      </w:r>
      <w:r>
        <w:rPr/>
        <w:t>并减少租赁期内确认的收益金额。</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0、 终止经营" w:id="226"/>
      <w:bookmarkEnd w:id="226"/>
      <w:r>
        <w:rPr>
          <w:b w:val="0"/>
          <w:bCs w:val="0"/>
        </w:rPr>
      </w:r>
      <w:r>
        <w:rPr>
          <w:rFonts w:ascii="Times New Roman" w:hAnsi="Times New Roman" w:cs="Times New Roman" w:eastAsia="Times New Roman" w:hint="default"/>
        </w:rPr>
        <w:t>30</w:t>
      </w:r>
      <w:r>
        <w:rPr/>
        <w:t>、</w:t>
      </w:r>
      <w:r>
        <w:rPr>
          <w:spacing w:val="-3"/>
        </w:rPr>
        <w:t> </w:t>
      </w:r>
      <w:r>
        <w:rPr/>
        <w:t>终止经营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终止经营是满足下列条件之一的</w:t>
      </w:r>
      <w:r>
        <w:rPr>
          <w:spacing w:val="-87"/>
        </w:rPr>
        <w:t>、</w:t>
      </w:r>
      <w:r>
        <w:rPr/>
        <w:t>能够单独区分的组成部分</w:t>
      </w:r>
      <w:r>
        <w:rPr>
          <w:spacing w:val="-87"/>
        </w:rPr>
        <w:t>，</w:t>
      </w:r>
      <w:r>
        <w:rPr/>
        <w:t>且该组成部分已被本公司处置或被本公司划归为持有待售类别：</w:t>
      </w:r>
    </w:p>
    <w:p>
      <w:pPr>
        <w:pStyle w:val="BodyText"/>
        <w:spacing w:line="240" w:lineRule="auto" w:before="76"/>
        <w:ind w:right="0"/>
        <w:jc w:val="left"/>
      </w:pPr>
      <w:r>
        <w:rPr/>
        <w:t>（</w:t>
      </w:r>
      <w:r>
        <w:rPr>
          <w:rFonts w:ascii="Times New Roman" w:hAnsi="Times New Roman" w:cs="Times New Roman" w:eastAsia="Times New Roman" w:hint="default"/>
        </w:rPr>
        <w:t>1</w:t>
      </w:r>
      <w:r>
        <w:rPr/>
        <w:t>）该组成部分代表一项独立的主要业务或一个单独的主要经营地区；</w:t>
      </w:r>
    </w:p>
    <w:p>
      <w:pPr>
        <w:pStyle w:val="BodyText"/>
        <w:spacing w:line="240" w:lineRule="auto" w:before="63"/>
        <w:ind w:right="0"/>
        <w:jc w:val="left"/>
      </w:pPr>
      <w:r>
        <w:rPr/>
        <w:t>（</w:t>
      </w:r>
      <w:r>
        <w:rPr>
          <w:rFonts w:ascii="Times New Roman" w:hAnsi="Times New Roman" w:cs="Times New Roman" w:eastAsia="Times New Roman" w:hint="default"/>
        </w:rPr>
        <w:t>2</w:t>
      </w:r>
      <w:r>
        <w:rPr/>
        <w:t>）该组成部分是拟对一项独立的主要业务或一个单独的主要经营地区进行处置的一项相关联计划的一部分；</w:t>
      </w:r>
    </w:p>
    <w:p>
      <w:pPr>
        <w:pStyle w:val="BodyText"/>
        <w:spacing w:line="240" w:lineRule="auto" w:before="63"/>
        <w:ind w:right="0"/>
        <w:jc w:val="left"/>
      </w:pPr>
      <w:r>
        <w:rPr/>
        <w:t>（</w:t>
      </w:r>
      <w:r>
        <w:rPr>
          <w:rFonts w:ascii="Times New Roman" w:hAnsi="Times New Roman" w:cs="Times New Roman" w:eastAsia="Times New Roman" w:hint="default"/>
        </w:rPr>
        <w:t>3</w:t>
      </w:r>
      <w:r>
        <w:rPr/>
        <w:t>）该组成部分是专为转售而取得的子公司。</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31、重要会计政策和会计估计变更" w:id="227"/>
      <w:bookmarkEnd w:id="227"/>
      <w:r>
        <w:rPr>
          <w:b w:val="0"/>
          <w:bCs w:val="0"/>
        </w:rPr>
      </w:r>
      <w:r>
        <w:rPr>
          <w:rFonts w:ascii="Times New Roman" w:hAnsi="Times New Roman" w:cs="Times New Roman" w:eastAsia="Times New Roman" w:hint="default"/>
        </w:rPr>
        <w:t>31</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28"/>
      <w:bookmarkEnd w:id="228"/>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4390"/>
        <w:gridCol w:w="850"/>
        <w:gridCol w:w="4389"/>
      </w:tblGrid>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586"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17"/>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）资产负债表中</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应收票据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合并列示为</w:t>
            </w:r>
            <w:r>
              <w:rPr>
                <w:rFonts w:ascii="宋体" w:hAnsi="宋体" w:cs="宋体" w:eastAsia="宋体" w:hint="default"/>
                <w:spacing w:val="-73"/>
                <w:sz w:val="18"/>
                <w:szCs w:val="18"/>
              </w:rPr>
              <w:t> </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应收票据及应收账款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应付票据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合并</w:t>
            </w:r>
            <w:r>
              <w:rPr>
                <w:rFonts w:ascii="宋体" w:hAnsi="宋体" w:cs="宋体" w:eastAsia="宋体" w:hint="default"/>
                <w:spacing w:val="-77"/>
                <w:sz w:val="18"/>
                <w:szCs w:val="18"/>
              </w:rPr>
              <w:t> </w:t>
            </w:r>
            <w:r>
              <w:rPr>
                <w:rFonts w:ascii="宋体" w:hAnsi="宋体" w:cs="宋体" w:eastAsia="宋体" w:hint="default"/>
                <w:spacing w:val="5"/>
                <w:sz w:val="18"/>
                <w:szCs w:val="18"/>
              </w:rPr>
              <w:t>列示为</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应付票据及应付账款</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应收利息</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和</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应收股</w:t>
            </w:r>
            <w:r>
              <w:rPr>
                <w:rFonts w:ascii="宋体" w:hAnsi="宋体" w:cs="宋体" w:eastAsia="宋体" w:hint="default"/>
                <w:spacing w:val="-68"/>
                <w:sz w:val="18"/>
                <w:szCs w:val="18"/>
              </w:rPr>
              <w:t> </w:t>
            </w:r>
            <w:r>
              <w:rPr>
                <w:rFonts w:ascii="宋体" w:hAnsi="宋体" w:cs="宋体" w:eastAsia="宋体" w:hint="default"/>
                <w:sz w:val="18"/>
                <w:szCs w:val="18"/>
              </w:rPr>
              <w:t>利</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应付利息</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应付股利</w:t>
            </w:r>
            <w:r>
              <w:rPr>
                <w:rFonts w:ascii="Times New Roman" w:hAnsi="Times New Roman" w:cs="Times New Roman" w:eastAsia="Times New Roman" w:hint="default"/>
                <w:sz w:val="18"/>
                <w:szCs w:val="18"/>
              </w:rPr>
              <w:t>”</w:t>
            </w:r>
            <w:r>
              <w:rPr>
                <w:rFonts w:ascii="宋体" w:hAnsi="宋体" w:cs="宋体" w:eastAsia="宋体" w:hint="default"/>
                <w:sz w:val="18"/>
                <w:szCs w:val="18"/>
              </w:rPr>
              <w:t>并 </w:t>
            </w:r>
            <w:r>
              <w:rPr>
                <w:rFonts w:ascii="宋体" w:hAnsi="宋体" w:cs="宋体" w:eastAsia="宋体" w:hint="default"/>
                <w:spacing w:val="2"/>
                <w:sz w:val="18"/>
                <w:szCs w:val="18"/>
              </w:rPr>
              <w:t>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其他应付款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列示；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固定资产清理</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并入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固定资产</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8"/>
                <w:sz w:val="18"/>
                <w:szCs w:val="18"/>
              </w:rPr>
              <w:t> </w:t>
            </w:r>
            <w:r>
              <w:rPr>
                <w:rFonts w:ascii="宋体" w:hAnsi="宋体" w:cs="宋体" w:eastAsia="宋体" w:hint="default"/>
                <w:spacing w:val="2"/>
                <w:sz w:val="18"/>
                <w:szCs w:val="18"/>
              </w:rPr>
              <w:t>列示；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工程物资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并入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在建工程</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列示；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专项应付款</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列示。比较数据相应调整。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应收票据</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和</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应收账款</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合并列示为</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应收票据及应收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1"/>
                <w:sz w:val="18"/>
                <w:szCs w:val="18"/>
              </w:rPr>
              <w:t>账款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pacing w:val="34"/>
                <w:sz w:val="18"/>
                <w:szCs w:val="18"/>
              </w:rPr>
              <w:t>，本期金额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529,518,836.46</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元</w:t>
            </w:r>
            <w:r>
              <w:rPr>
                <w:rFonts w:ascii="宋体" w:hAnsi="宋体" w:cs="宋体" w:eastAsia="宋体" w:hint="default"/>
                <w:spacing w:val="-49"/>
                <w:sz w:val="18"/>
                <w:szCs w:val="18"/>
              </w:rPr>
              <w:t> </w:t>
            </w:r>
            <w:r>
              <w:rPr>
                <w:rFonts w:ascii="宋体" w:hAnsi="宋体" w:cs="宋体" w:eastAsia="宋体" w:hint="default"/>
                <w:sz w:val="18"/>
                <w:szCs w:val="18"/>
              </w:rPr>
              <w:t>，</w:t>
            </w:r>
            <w:r>
              <w:rPr>
                <w:rFonts w:ascii="宋体" w:hAnsi="宋体" w:cs="宋体" w:eastAsia="宋体" w:hint="default"/>
                <w:spacing w:val="-47"/>
                <w:sz w:val="18"/>
                <w:szCs w:val="18"/>
              </w:rPr>
              <w:t> </w:t>
            </w:r>
            <w:r>
              <w:rPr>
                <w:rFonts w:ascii="宋体" w:hAnsi="宋体" w:cs="宋体" w:eastAsia="宋体" w:hint="default"/>
                <w:sz w:val="18"/>
                <w:szCs w:val="18"/>
              </w:rPr>
              <w:t>上</w:t>
            </w:r>
            <w:r>
              <w:rPr>
                <w:rFonts w:ascii="宋体" w:hAnsi="宋体" w:cs="宋体" w:eastAsia="宋体" w:hint="default"/>
                <w:spacing w:val="-47"/>
                <w:sz w:val="18"/>
                <w:szCs w:val="18"/>
              </w:rPr>
              <w:t> </w:t>
            </w:r>
            <w:r>
              <w:rPr>
                <w:rFonts w:ascii="宋体" w:hAnsi="宋体" w:cs="宋体" w:eastAsia="宋体" w:hint="default"/>
                <w:sz w:val="18"/>
                <w:szCs w:val="18"/>
              </w:rPr>
              <w:t>期</w:t>
            </w:r>
            <w:r>
              <w:rPr>
                <w:rFonts w:ascii="宋体" w:hAnsi="宋体" w:cs="宋体" w:eastAsia="宋体" w:hint="default"/>
                <w:spacing w:val="-47"/>
                <w:sz w:val="18"/>
                <w:szCs w:val="18"/>
              </w:rPr>
              <w:t> </w:t>
            </w:r>
            <w:r>
              <w:rPr>
                <w:rFonts w:ascii="宋体" w:hAnsi="宋体" w:cs="宋体" w:eastAsia="宋体" w:hint="default"/>
                <w:sz w:val="18"/>
                <w:szCs w:val="18"/>
              </w:rPr>
              <w:t>金</w:t>
            </w:r>
            <w:r>
              <w:rPr>
                <w:rFonts w:ascii="宋体" w:hAnsi="宋体" w:cs="宋体" w:eastAsia="宋体" w:hint="default"/>
                <w:spacing w:val="-47"/>
                <w:sz w:val="18"/>
                <w:szCs w:val="18"/>
              </w:rPr>
              <w:t> </w:t>
            </w:r>
            <w:r>
              <w:rPr>
                <w:rFonts w:ascii="宋体" w:hAnsi="宋体" w:cs="宋体" w:eastAsia="宋体" w:hint="default"/>
                <w:sz w:val="18"/>
                <w:szCs w:val="18"/>
              </w:rPr>
              <w:t>额</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488,366,872.31</w:t>
            </w:r>
            <w:r>
              <w:rPr>
                <w:rFonts w:ascii="Times New Roman" w:hAnsi="Times New Roman" w:cs="Times New Roman" w:eastAsia="Times New Roman" w:hint="default"/>
                <w:spacing w:val="11"/>
                <w:sz w:val="18"/>
                <w:szCs w:val="18"/>
              </w:rPr>
              <w:t> </w:t>
            </w:r>
            <w:r>
              <w:rPr>
                <w:rFonts w:ascii="宋体" w:hAnsi="宋体" w:cs="宋体" w:eastAsia="宋体" w:hint="default"/>
                <w:spacing w:val="-2"/>
                <w:sz w:val="18"/>
                <w:szCs w:val="18"/>
              </w:rPr>
              <w:t>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应付票据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合并列示为</w:t>
            </w:r>
          </w:p>
          <w:p>
            <w:pPr>
              <w:pStyle w:val="TableParagraph"/>
              <w:spacing w:line="240" w:lineRule="auto" w:before="1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 </w:t>
            </w:r>
            <w:r>
              <w:rPr>
                <w:rFonts w:ascii="Times New Roman" w:hAnsi="Times New Roman" w:cs="Times New Roman" w:eastAsia="Times New Roman" w:hint="default"/>
                <w:sz w:val="18"/>
                <w:szCs w:val="18"/>
              </w:rPr>
              <w:t>183,810,965.70</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元，</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上期金额 </w:t>
            </w:r>
            <w:r>
              <w:rPr>
                <w:rFonts w:ascii="Times New Roman" w:hAnsi="Times New Roman" w:cs="Times New Roman" w:eastAsia="Times New Roman" w:hint="default"/>
                <w:sz w:val="18"/>
                <w:szCs w:val="18"/>
              </w:rPr>
              <w:t>220,967,020.59</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元；调增</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418,500.00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元，上期金额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1,075,506.77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元；调增</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应付款</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本期金额</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2,457,701.65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上期金额</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1,488,394.40</w:t>
            </w:r>
          </w:p>
          <w:p>
            <w:pPr>
              <w:pStyle w:val="TableParagraph"/>
              <w:spacing w:line="240" w:lineRule="auto" w:before="64"/>
              <w:ind w:left="23" w:right="0"/>
              <w:jc w:val="both"/>
              <w:rPr>
                <w:rFonts w:ascii="宋体" w:hAnsi="宋体" w:cs="宋体" w:eastAsia="宋体" w:hint="default"/>
                <w:sz w:val="18"/>
                <w:szCs w:val="18"/>
              </w:rPr>
            </w:pPr>
            <w:r>
              <w:rPr>
                <w:rFonts w:ascii="宋体" w:hAnsi="宋体" w:cs="宋体" w:eastAsia="宋体" w:hint="default"/>
                <w:sz w:val="18"/>
                <w:szCs w:val="18"/>
              </w:rPr>
              <w:t>元；</w:t>
            </w:r>
          </w:p>
        </w:tc>
      </w:tr>
      <w:tr>
        <w:trPr>
          <w:trHeight w:val="1650"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7"/>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项目，将原</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中的研发费用重分类至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单独列示；在利润表</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2"/>
                <w:sz w:val="18"/>
                <w:szCs w:val="18"/>
              </w:rPr>
              <w:t>中财务费用项下新增</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其中：利息费用</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利息收入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项</w:t>
            </w:r>
            <w:r>
              <w:rPr>
                <w:rFonts w:ascii="宋体" w:hAnsi="宋体" w:cs="宋体" w:eastAsia="宋体" w:hint="default"/>
                <w:spacing w:val="-70"/>
                <w:sz w:val="18"/>
                <w:szCs w:val="18"/>
              </w:rPr>
              <w:t> </w:t>
            </w:r>
            <w:r>
              <w:rPr>
                <w:rFonts w:ascii="宋体" w:hAnsi="宋体" w:cs="宋体" w:eastAsia="宋体" w:hint="default"/>
                <w:spacing w:val="2"/>
                <w:sz w:val="18"/>
                <w:szCs w:val="18"/>
              </w:rPr>
              <w:t>目。将</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营业外收入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个税返还调整至</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其他收益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。比较</w:t>
            </w:r>
            <w:r>
              <w:rPr>
                <w:rFonts w:ascii="宋体" w:hAnsi="宋体" w:cs="宋体" w:eastAsia="宋体" w:hint="default"/>
                <w:spacing w:val="-67"/>
                <w:sz w:val="18"/>
                <w:szCs w:val="18"/>
              </w:rPr>
              <w:t> </w:t>
            </w:r>
            <w:r>
              <w:rPr>
                <w:rFonts w:ascii="宋体" w:hAnsi="宋体" w:cs="宋体" w:eastAsia="宋体" w:hint="default"/>
                <w:sz w:val="18"/>
                <w:szCs w:val="18"/>
              </w:rPr>
              <w:t>数据相应调整。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both"/>
              <w:rPr>
                <w:rFonts w:ascii="宋体" w:hAnsi="宋体" w:cs="宋体" w:eastAsia="宋体" w:hint="default"/>
                <w:sz w:val="18"/>
                <w:szCs w:val="18"/>
              </w:rPr>
            </w:pP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 </w:t>
            </w:r>
            <w:r>
              <w:rPr>
                <w:rFonts w:ascii="Times New Roman" w:hAnsi="Times New Roman" w:cs="Times New Roman" w:eastAsia="Times New Roman" w:hint="default"/>
                <w:sz w:val="18"/>
                <w:szCs w:val="18"/>
              </w:rPr>
              <w:t>272,619,937.55</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元，上期金额</w:t>
            </w:r>
          </w:p>
          <w:p>
            <w:pPr>
              <w:pStyle w:val="TableParagraph"/>
              <w:spacing w:line="300" w:lineRule="auto" w:before="61"/>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232,757,317.80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w:t>
            </w:r>
            <w:r>
              <w:rPr>
                <w:rFonts w:ascii="宋体" w:hAnsi="宋体" w:cs="宋体" w:eastAsia="宋体" w:hint="default"/>
                <w:spacing w:val="-88"/>
                <w:sz w:val="18"/>
                <w:szCs w:val="18"/>
              </w:rPr>
              <w:t> </w:t>
            </w:r>
            <w:r>
              <w:rPr>
                <w:rFonts w:ascii="宋体" w:hAnsi="宋体" w:cs="宋体" w:eastAsia="宋体" w:hint="default"/>
                <w:spacing w:val="11"/>
                <w:sz w:val="18"/>
                <w:szCs w:val="18"/>
              </w:rPr>
              <w:t>收入</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3"/>
                <w:sz w:val="18"/>
                <w:szCs w:val="18"/>
              </w:rPr>
              <w:t> </w:t>
            </w:r>
            <w:r>
              <w:rPr>
                <w:rFonts w:ascii="宋体" w:hAnsi="宋体" w:cs="宋体" w:eastAsia="宋体" w:hint="default"/>
                <w:spacing w:val="11"/>
                <w:sz w:val="18"/>
                <w:szCs w:val="18"/>
              </w:rPr>
              <w:t>本期</w:t>
            </w:r>
            <w:r>
              <w:rPr>
                <w:rFonts w:ascii="宋体" w:hAnsi="宋体" w:cs="宋体" w:eastAsia="宋体" w:hint="default"/>
                <w:spacing w:val="-68"/>
                <w:sz w:val="18"/>
                <w:szCs w:val="18"/>
              </w:rPr>
              <w:t> </w:t>
            </w:r>
            <w:r>
              <w:rPr>
                <w:rFonts w:ascii="宋体" w:hAnsi="宋体" w:cs="宋体" w:eastAsia="宋体" w:hint="default"/>
                <w:spacing w:val="16"/>
                <w:sz w:val="18"/>
                <w:szCs w:val="18"/>
              </w:rPr>
              <w:t>个税返还</w:t>
            </w:r>
            <w:r>
              <w:rPr>
                <w:rFonts w:ascii="宋体" w:hAnsi="宋体" w:cs="宋体" w:eastAsia="宋体" w:hint="default"/>
                <w:spacing w:val="-68"/>
                <w:sz w:val="18"/>
                <w:szCs w:val="18"/>
              </w:rPr>
              <w:t> </w:t>
            </w:r>
            <w:r>
              <w:rPr>
                <w:rFonts w:ascii="宋体" w:hAnsi="宋体" w:cs="宋体" w:eastAsia="宋体" w:hint="default"/>
                <w:spacing w:val="11"/>
                <w:sz w:val="18"/>
                <w:szCs w:val="18"/>
              </w:rPr>
              <w:t>金额</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833,580.96</w:t>
            </w:r>
            <w:r>
              <w:rPr>
                <w:rFonts w:ascii="Times New Roman" w:hAnsi="Times New Roman" w:cs="Times New Roman" w:eastAsia="Times New Roman" w:hint="default"/>
                <w:spacing w:val="23"/>
                <w:sz w:val="18"/>
                <w:szCs w:val="18"/>
              </w:rPr>
              <w:t> </w:t>
            </w:r>
            <w:r>
              <w:rPr>
                <w:rFonts w:ascii="宋体" w:hAnsi="宋体" w:cs="宋体" w:eastAsia="宋体" w:hint="default"/>
                <w:spacing w:val="10"/>
                <w:sz w:val="18"/>
                <w:szCs w:val="18"/>
              </w:rPr>
              <w:t>元，</w:t>
            </w:r>
            <w:r>
              <w:rPr>
                <w:rFonts w:ascii="宋体" w:hAnsi="宋体" w:cs="宋体" w:eastAsia="宋体" w:hint="default"/>
                <w:spacing w:val="-68"/>
                <w:sz w:val="18"/>
                <w:szCs w:val="18"/>
              </w:rPr>
              <w:t> </w:t>
            </w:r>
            <w:r>
              <w:rPr>
                <w:rFonts w:ascii="宋体" w:hAnsi="宋体" w:cs="宋体" w:eastAsia="宋体" w:hint="default"/>
                <w:sz w:val="18"/>
                <w:szCs w:val="18"/>
              </w:rPr>
              <w:t>上</w:t>
            </w:r>
            <w:r>
              <w:rPr>
                <w:rFonts w:ascii="宋体" w:hAnsi="宋体" w:cs="宋体" w:eastAsia="宋体" w:hint="default"/>
                <w:spacing w:val="-68"/>
                <w:sz w:val="18"/>
                <w:szCs w:val="18"/>
              </w:rPr>
              <w:t> </w:t>
            </w:r>
            <w:r>
              <w:rPr>
                <w:rFonts w:ascii="宋体" w:hAnsi="宋体" w:cs="宋体" w:eastAsia="宋体" w:hint="default"/>
                <w:sz w:val="18"/>
                <w:szCs w:val="18"/>
              </w:rPr>
              <w:t>期</w:t>
            </w:r>
            <w:r>
              <w:rPr>
                <w:rFonts w:ascii="宋体" w:hAnsi="宋体" w:cs="宋体" w:eastAsia="宋体" w:hint="default"/>
                <w:spacing w:val="-68"/>
                <w:sz w:val="18"/>
                <w:szCs w:val="18"/>
              </w:rPr>
              <w:t> </w:t>
            </w:r>
            <w:r>
              <w:rPr>
                <w:rFonts w:ascii="宋体" w:hAnsi="宋体" w:cs="宋体" w:eastAsia="宋体" w:hint="default"/>
                <w:sz w:val="18"/>
                <w:szCs w:val="18"/>
              </w:rPr>
              <w:t>金</w:t>
            </w:r>
            <w:r>
              <w:rPr>
                <w:rFonts w:ascii="宋体" w:hAnsi="宋体" w:cs="宋体" w:eastAsia="宋体" w:hint="default"/>
                <w:spacing w:val="-68"/>
                <w:sz w:val="18"/>
                <w:szCs w:val="18"/>
              </w:rPr>
              <w:t> </w:t>
            </w:r>
            <w:r>
              <w:rPr>
                <w:rFonts w:ascii="宋体" w:hAnsi="宋体" w:cs="宋体" w:eastAsia="宋体" w:hint="default"/>
                <w:sz w:val="18"/>
                <w:szCs w:val="18"/>
              </w:rPr>
              <w:t>额</w:t>
            </w:r>
            <w:r>
              <w:rPr>
                <w:rFonts w:ascii="宋体" w:hAnsi="宋体" w:cs="宋体" w:eastAsia="宋体" w:hint="default"/>
                <w:sz w:val="18"/>
                <w:szCs w:val="18"/>
              </w:rPr>
              <w:t> </w:t>
            </w:r>
            <w:r>
              <w:rPr>
                <w:rFonts w:ascii="Times New Roman" w:hAnsi="Times New Roman" w:cs="Times New Roman" w:eastAsia="Times New Roman" w:hint="default"/>
                <w:sz w:val="18"/>
                <w:szCs w:val="18"/>
              </w:rPr>
              <w:t>2,079,288.88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会计估计变更" w:id="229"/>
      <w:bookmarkEnd w:id="229"/>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税项" w:id="230"/>
      <w:bookmarkEnd w:id="230"/>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主要税种及税率" w:id="231"/>
      <w:bookmarkEnd w:id="231"/>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582"/>
        <w:gridCol w:w="2798"/>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税种</w:t>
            </w:r>
          </w:p>
        </w:tc>
        <w:tc>
          <w:tcPr>
            <w:tcW w:w="3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2" w:type="dxa"/>
            <w:vMerge w:val="restart"/>
            <w:tcBorders>
              <w:top w:val="single" w:sz="4" w:space="0" w:color="000000"/>
              <w:left w:val="single" w:sz="9" w:space="0" w:color="D2D2D2"/>
              <w:right w:val="single" w:sz="4" w:space="0" w:color="000000"/>
            </w:tcBorders>
          </w:tcPr>
          <w:p>
            <w:pPr>
              <w:pStyle w:val="TableParagraph"/>
              <w:spacing w:line="319" w:lineRule="auto" w:before="51"/>
              <w:ind w:left="16" w:right="22"/>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按税法规定计算的销售货物和应税劳务收入 </w:t>
            </w:r>
            <w:r>
              <w:rPr>
                <w:rFonts w:ascii="宋体" w:hAnsi="宋体" w:cs="宋体" w:eastAsia="宋体" w:hint="default"/>
                <w:spacing w:val="-4"/>
                <w:sz w:val="18"/>
                <w:szCs w:val="18"/>
              </w:rPr>
              <w:t>为基础计算销项税额，在扣除当期允许抵扣的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进项税额后，差额部分为应交增值税</w:t>
            </w:r>
          </w:p>
        </w:tc>
        <w:tc>
          <w:tcPr>
            <w:tcW w:w="2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582" w:type="dxa"/>
            <w:vMerge/>
            <w:tcBorders>
              <w:left w:val="single" w:sz="9" w:space="0" w:color="D2D2D2"/>
              <w:right w:val="single" w:sz="4" w:space="0" w:color="000000"/>
            </w:tcBorders>
          </w:tcPr>
          <w:p>
            <w:pPr/>
          </w:p>
        </w:tc>
        <w:tc>
          <w:tcPr>
            <w:tcW w:w="2798" w:type="dxa"/>
            <w:vMerge/>
            <w:tcBorders>
              <w:left w:val="single" w:sz="4" w:space="0" w:color="000000"/>
              <w:right w:val="single" w:sz="4" w:space="0" w:color="000000"/>
            </w:tcBorders>
          </w:tcPr>
          <w:p>
            <w:pPr/>
          </w:p>
        </w:tc>
      </w:tr>
      <w:tr>
        <w:trPr>
          <w:trHeight w:val="317"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582" w:type="dxa"/>
            <w:vMerge/>
            <w:tcBorders>
              <w:left w:val="single" w:sz="9" w:space="0" w:color="D2D2D2"/>
              <w:bottom w:val="single" w:sz="4" w:space="0" w:color="000000"/>
              <w:right w:val="single" w:sz="4" w:space="0" w:color="000000"/>
            </w:tcBorders>
          </w:tcPr>
          <w:p>
            <w:pPr/>
          </w:p>
        </w:tc>
        <w:tc>
          <w:tcPr>
            <w:tcW w:w="2798"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5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按实际缴纳的增值税及消费税计缴</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60" w:type="dxa"/>
        <w:tblLayout w:type="fixed"/>
        <w:tblCellMar>
          <w:top w:w="0" w:type="dxa"/>
          <w:left w:w="0" w:type="dxa"/>
          <w:bottom w:w="0" w:type="dxa"/>
          <w:right w:w="0" w:type="dxa"/>
        </w:tblCellMar>
        <w:tblLook w:val="01E0"/>
      </w:tblPr>
      <w:tblGrid>
        <w:gridCol w:w="3167"/>
        <w:gridCol w:w="3594"/>
        <w:gridCol w:w="2798"/>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pStyle w:val="BodyText"/>
        <w:spacing w:line="240" w:lineRule="auto" w:before="51"/>
        <w:ind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北京久其软件股份有限公司武汉分公司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北京久其软件股份有限公司郑州分公司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北京久其软件股份有限公司南京分公司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北京久其软件股份有限公司南昌分公司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北京久其软件股份有限公司石家庄分公司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北京久其软件股份有限公司贵州分公司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北京久其软件股份有限公司杭州分公司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北京久其软件股份有限公司沈阳分公司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北京久其软件股份有限公司安徽分公司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北京久其软件股份有限公司银川分公司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北京久其软件股份有限公司兰州分公司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北京久其软件股份有限公司青岛分公司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北京久其软件股份有限公司研发中心</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不独立核算</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北京久其政务软件股份有限公司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西安久其软件有限公司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上海久其软件有限公司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成都久其软件有限公司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广东久其软件有限公司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新疆久其科技有限公司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重庆久其软件有限公司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海南久其云计算科技有限公司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北京久其智通数据科技有限公司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北京久其互联网金融信息服务有限公司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北京蜂语网络科技有限公司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北京亿起联科技有限公司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北京华夏电通科技有限公司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北京中民颐养科技服务有限公司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北京瑞意恒动科技有限公司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海南久其互联网产业研究院有限公司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深圳市久金保商业保理有限公司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上海移通网络有限公司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北京久其金建科技有限公司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久其数字传播有限公司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雄安久其数字科技有限公司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232"/>
      <w:bookmarkEnd w:id="232"/>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28"/>
        <w:jc w:val="left"/>
      </w:pPr>
      <w:r>
        <w:rPr>
          <w:rFonts w:ascii="Times New Roman" w:hAnsi="Times New Roman" w:cs="Times New Roman" w:eastAsia="Times New Roman" w:hint="default"/>
        </w:rPr>
        <w:t>1</w:t>
      </w:r>
      <w:r>
        <w:rPr/>
        <w:t>、所得税： </w:t>
      </w:r>
      <w:r>
        <w:rPr>
          <w:spacing w:val="-2"/>
        </w:rPr>
        <w:t>北京久其软件股份有限公司、北京华夏电通科技有限公司符合财政部、国家税务总局、发展改革委、工业和信息化部《关于</w:t>
      </w:r>
      <w:r>
        <w:rPr>
          <w:spacing w:val="-66"/>
        </w:rPr>
        <w:t> </w:t>
      </w:r>
      <w:r>
        <w:rPr>
          <w:spacing w:val="-66"/>
        </w:rPr>
      </w:r>
      <w:r>
        <w:rPr/>
        <w:t>软件和集成电路产业企业所得税优惠政策有关问题的通知》（财税</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rFonts w:ascii="Times New Roman" w:hAnsi="Times New Roman" w:cs="Times New Roman" w:eastAsia="Times New Roman" w:hint="default"/>
        </w:rPr>
        <w:t>49</w:t>
      </w:r>
      <w:r>
        <w:rPr/>
        <w:t>号）要求，执行</w:t>
      </w:r>
      <w:r>
        <w:rPr>
          <w:rFonts w:ascii="Times New Roman" w:hAnsi="Times New Roman" w:cs="Times New Roman" w:eastAsia="Times New Roman" w:hint="default"/>
        </w:rPr>
        <w:t>10%</w:t>
      </w:r>
      <w:r>
        <w:rPr/>
        <w:t>的所得税税率。 </w:t>
      </w:r>
      <w:r>
        <w:rPr>
          <w:spacing w:val="-2"/>
        </w:rPr>
        <w:t>北京久其政务软件股份有限公司、北京亿起联科技有限公司、广东久其软件有限公司、海南久其云计算科技有限公司、上海</w:t>
      </w:r>
      <w:r>
        <w:rPr>
          <w:spacing w:val="-66"/>
        </w:rPr>
        <w:t> </w:t>
      </w:r>
      <w:r>
        <w:rPr>
          <w:spacing w:val="-66"/>
        </w:rPr>
      </w:r>
      <w:r>
        <w:rPr>
          <w:spacing w:val="-2"/>
        </w:rPr>
        <w:t>久其软件有限公司、北京瑞意恒动科技有限公司、西安久其软件有限公司、成都久其软件有限公司、北京久其龙信数据科技</w:t>
      </w:r>
      <w:r>
        <w:rPr>
          <w:spacing w:val="-66"/>
        </w:rPr>
        <w:t> </w:t>
      </w:r>
      <w:r>
        <w:rPr>
          <w:spacing w:val="-66"/>
        </w:rPr>
      </w:r>
      <w:r>
        <w:rPr/>
        <w:t>有限公司、上海移通网络有限公司系高新技术企业，执行</w:t>
      </w:r>
      <w:r>
        <w:rPr>
          <w:rFonts w:ascii="Times New Roman" w:hAnsi="Times New Roman" w:cs="Times New Roman" w:eastAsia="Times New Roman" w:hint="default"/>
        </w:rPr>
        <w:t>15%</w:t>
      </w:r>
      <w:r>
        <w:rPr/>
        <w:t>的企业所得税税率</w:t>
      </w:r>
      <w:r>
        <w:rPr>
          <w:spacing w:val="24"/>
        </w:rPr>
        <w:t> </w:t>
      </w:r>
      <w:r>
        <w:rPr/>
        <w:t>；新疆久其科技有限公司系小微企业，执</w:t>
      </w:r>
      <w:r>
        <w:rPr>
          <w:spacing w:val="-83"/>
        </w:rPr>
        <w:t> </w:t>
      </w:r>
      <w:r>
        <w:rPr>
          <w:spacing w:val="-83"/>
        </w:rPr>
      </w:r>
      <w:r>
        <w:rPr/>
        <w:t>行</w:t>
      </w:r>
      <w:r>
        <w:rPr>
          <w:rFonts w:ascii="Times New Roman" w:hAnsi="Times New Roman" w:cs="Times New Roman" w:eastAsia="Times New Roman" w:hint="default"/>
        </w:rPr>
        <w:t>20%</w:t>
      </w:r>
      <w:r>
        <w:rPr/>
        <w:t>的企业所得税税率。</w:t>
      </w:r>
    </w:p>
    <w:p>
      <w:pPr>
        <w:spacing w:line="240" w:lineRule="auto" w:before="3"/>
        <w:rPr>
          <w:rFonts w:ascii="宋体" w:hAnsi="宋体" w:cs="宋体" w:eastAsia="宋体" w:hint="default"/>
          <w:sz w:val="24"/>
          <w:szCs w:val="24"/>
        </w:rPr>
      </w:pPr>
    </w:p>
    <w:p>
      <w:pPr>
        <w:pStyle w:val="BodyText"/>
        <w:spacing w:line="309" w:lineRule="auto"/>
        <w:ind w:right="1117"/>
        <w:jc w:val="left"/>
      </w:pPr>
      <w:r>
        <w:rPr>
          <w:rFonts w:ascii="Times New Roman" w:hAnsi="Times New Roman" w:cs="Times New Roman" w:eastAsia="Times New Roman" w:hint="default"/>
        </w:rPr>
        <w:t>2</w:t>
      </w:r>
      <w:r>
        <w:rPr/>
        <w:t>、增值税： </w:t>
      </w:r>
      <w:r>
        <w:rPr>
          <w:spacing w:val="-2"/>
        </w:rPr>
        <w:t>公司及其控股子公司上海久其软件有限公司、广东久其软件有限公司、北京久其政务软件股份有限公司、成都久其软件有限</w:t>
      </w:r>
      <w:r>
        <w:rPr>
          <w:spacing w:val="-66"/>
        </w:rPr>
        <w:t> </w:t>
      </w:r>
      <w:r>
        <w:rPr>
          <w:spacing w:val="-66"/>
        </w:rPr>
      </w:r>
      <w:r>
        <w:rPr>
          <w:spacing w:val="-2"/>
        </w:rPr>
        <w:t>公司、新疆久其科技有限公司、西安久其软件有限公司、北京久其智通数据科技有限公司、北京亿起联科技有限公司、北京</w:t>
      </w:r>
      <w:r>
        <w:rPr>
          <w:spacing w:val="-66"/>
        </w:rPr>
        <w:t> </w:t>
      </w:r>
      <w:r>
        <w:rPr>
          <w:spacing w:val="-66"/>
        </w:rPr>
      </w:r>
      <w:r>
        <w:rPr>
          <w:spacing w:val="-2"/>
        </w:rPr>
        <w:t>华夏电通科技有限公司、上海移通网络有限公司、北京久其龙信数据科技有限公司、北京蜂语网络科技有限公司、海南久其</w:t>
      </w:r>
      <w:r>
        <w:rPr>
          <w:spacing w:val="-66"/>
        </w:rPr>
        <w:t> </w:t>
      </w:r>
      <w:r>
        <w:rPr>
          <w:spacing w:val="-66"/>
        </w:rPr>
      </w:r>
      <w:r>
        <w:rPr>
          <w:spacing w:val="-2"/>
        </w:rPr>
        <w:t>云计算科技有限公司、北京久其金建科技有限公司、久其数字传播有限公司、北京瑞意恒动科技有限公司为增值税一般纳税</w:t>
      </w:r>
      <w:r>
        <w:rPr>
          <w:spacing w:val="-66"/>
        </w:rPr>
        <w:t> </w:t>
      </w:r>
      <w:r>
        <w:rPr>
          <w:spacing w:val="-66"/>
        </w:rPr>
      </w:r>
      <w:r>
        <w:rPr/>
        <w:t>人，安徽分公司、武汉分公司为增值税一般纳税人，分别适用</w:t>
      </w:r>
      <w:r>
        <w:rPr>
          <w:rFonts w:ascii="Times New Roman" w:hAnsi="Times New Roman" w:cs="Times New Roman" w:eastAsia="Times New Roman" w:hint="default"/>
        </w:rPr>
        <w:t>17%</w:t>
      </w:r>
      <w:r>
        <w:rPr/>
        <w:t>和</w:t>
      </w:r>
      <w:r>
        <w:rPr>
          <w:rFonts w:ascii="Times New Roman" w:hAnsi="Times New Roman" w:cs="Times New Roman" w:eastAsia="Times New Roman" w:hint="default"/>
        </w:rPr>
        <w:t>6%</w:t>
      </w:r>
      <w:r>
        <w:rPr/>
        <w:t>的增值税税率。公司其他分子公司均为小规模纳税</w:t>
      </w:r>
      <w:r>
        <w:rPr>
          <w:spacing w:val="-29"/>
        </w:rPr>
        <w:t> </w:t>
      </w:r>
      <w:r>
        <w:rPr>
          <w:spacing w:val="-29"/>
        </w:rPr>
      </w:r>
      <w:r>
        <w:rPr/>
        <w:t>人，按</w:t>
      </w:r>
      <w:r>
        <w:rPr>
          <w:rFonts w:ascii="Times New Roman" w:hAnsi="Times New Roman" w:cs="Times New Roman" w:eastAsia="Times New Roman" w:hint="default"/>
        </w:rPr>
        <w:t>3%</w:t>
      </w:r>
      <w:r>
        <w:rPr/>
        <w:t>的征收率计算缴纳增值税。根据国务院国发</w:t>
      </w:r>
      <w:r>
        <w:rPr>
          <w:rFonts w:ascii="Times New Roman" w:hAnsi="Times New Roman" w:cs="Times New Roman" w:eastAsia="Times New Roman" w:hint="default"/>
        </w:rPr>
        <w:t>[2011]4</w:t>
      </w:r>
      <w:r>
        <w:rPr/>
        <w:t>号文件《国务院关于印发进一步鼓励软件产业和集成电路产业</w:t>
      </w:r>
      <w:r>
        <w:rPr>
          <w:spacing w:val="-86"/>
        </w:rPr>
        <w:t> </w:t>
      </w:r>
      <w:r>
        <w:rPr>
          <w:spacing w:val="-86"/>
        </w:rPr>
      </w:r>
      <w:r>
        <w:rPr>
          <w:spacing w:val="-1"/>
        </w:rPr>
        <w:t>发展若干政策的通知》的规定，对增值税一般纳税人销售其自行开发生产的软件产品，按</w:t>
      </w:r>
      <w:r>
        <w:rPr>
          <w:rFonts w:ascii="Times New Roman" w:hAnsi="Times New Roman" w:cs="Times New Roman" w:eastAsia="Times New Roman" w:hint="default"/>
          <w:spacing w:val="-1"/>
        </w:rPr>
        <w:t>16%</w:t>
      </w:r>
      <w:r>
        <w:rPr>
          <w:spacing w:val="-1"/>
        </w:rPr>
        <w:t>税率征收增值税后，对其增值</w:t>
      </w:r>
      <w:r>
        <w:rPr/>
        <w:t> 税实际税负超过</w:t>
      </w:r>
      <w:r>
        <w:rPr>
          <w:rFonts w:ascii="Times New Roman" w:hAnsi="Times New Roman" w:cs="Times New Roman" w:eastAsia="Times New Roman" w:hint="default"/>
        </w:rPr>
        <w:t>3%</w:t>
      </w:r>
      <w:r>
        <w:rPr/>
        <w:t>的部分实行即征即退政策，公司及其控股子公司上海久其软件有限公司、广东久其软件有限公司、北京</w:t>
      </w:r>
      <w:r>
        <w:rPr>
          <w:spacing w:val="-56"/>
        </w:rPr>
        <w:t> </w:t>
      </w:r>
      <w:r>
        <w:rPr>
          <w:spacing w:val="-56"/>
        </w:rPr>
      </w:r>
      <w:r>
        <w:rPr>
          <w:spacing w:val="-2"/>
        </w:rPr>
        <w:t>久其政务软件股份有限公司、北京华夏电通科技有限公司、重庆久其软件有限公司、成都久其软件有限公司、广东久其软件</w:t>
      </w:r>
      <w:r>
        <w:rPr>
          <w:spacing w:val="-66"/>
        </w:rPr>
        <w:t> </w:t>
      </w:r>
      <w:r>
        <w:rPr>
          <w:spacing w:val="-66"/>
        </w:rPr>
      </w:r>
      <w:r>
        <w:rPr>
          <w:spacing w:val="-2"/>
        </w:rPr>
        <w:t>有限公司、海南久其云计算科技有限公司、北京亿起联科技有限公司、北京蜂语网络科技有限公司、北京久其金建科技有限</w:t>
      </w:r>
      <w:r>
        <w:rPr>
          <w:spacing w:val="-66"/>
        </w:rPr>
        <w:t> </w:t>
      </w:r>
      <w:r>
        <w:rPr>
          <w:spacing w:val="-66"/>
        </w:rPr>
      </w:r>
      <w:r>
        <w:rPr/>
        <w:t>公司适用此规定。</w:t>
      </w:r>
    </w:p>
    <w:p>
      <w:pPr>
        <w:spacing w:line="240" w:lineRule="auto" w:before="0"/>
        <w:rPr>
          <w:rFonts w:ascii="宋体" w:hAnsi="宋体" w:cs="宋体" w:eastAsia="宋体" w:hint="default"/>
          <w:sz w:val="18"/>
          <w:szCs w:val="18"/>
        </w:rPr>
      </w:pPr>
    </w:p>
    <w:p>
      <w:pPr>
        <w:pStyle w:val="BodyText"/>
        <w:spacing w:line="240" w:lineRule="auto" w:before="141"/>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2"/>
        <w:ind w:right="0"/>
        <w:jc w:val="left"/>
        <w:rPr>
          <w:rFonts w:ascii="Times New Roman" w:hAnsi="Times New Roman" w:cs="Times New Roman" w:eastAsia="Times New Roman" w:hint="default"/>
        </w:rPr>
      </w:pPr>
      <w:r>
        <w:rPr/>
        <w:t>报告期公司及其子公司享受软件产品增值税优惠政策，收到软件增值税即征即退款项</w:t>
      </w:r>
      <w:r>
        <w:rPr>
          <w:spacing w:val="-58"/>
        </w:rPr>
        <w:t> </w:t>
      </w:r>
      <w:r>
        <w:rPr>
          <w:rFonts w:ascii="Times New Roman" w:hAnsi="Times New Roman" w:cs="Times New Roman" w:eastAsia="Times New Roman" w:hint="default"/>
        </w:rPr>
        <w:t>2,420.65</w:t>
      </w:r>
      <w:r>
        <w:rPr>
          <w:rFonts w:ascii="Times New Roman" w:hAnsi="Times New Roman" w:cs="Times New Roman" w:eastAsia="Times New Roman" w:hint="default"/>
          <w:spacing w:val="-13"/>
        </w:rPr>
        <w:t> </w:t>
      </w:r>
      <w:r>
        <w:rPr/>
        <w:t>万元，增加利润总额</w:t>
      </w:r>
      <w:r>
        <w:rPr>
          <w:spacing w:val="-58"/>
        </w:rPr>
        <w:t> </w:t>
      </w:r>
      <w:r>
        <w:rPr>
          <w:rFonts w:ascii="Times New Roman" w:hAnsi="Times New Roman" w:cs="Times New Roman" w:eastAsia="Times New Roman" w:hint="default"/>
        </w:rPr>
        <w:t>2,420.65</w:t>
      </w:r>
    </w:p>
    <w:p>
      <w:pPr>
        <w:pStyle w:val="BodyText"/>
        <w:spacing w:line="240" w:lineRule="auto" w:before="64"/>
        <w:ind w:right="0"/>
        <w:jc w:val="left"/>
      </w:pPr>
      <w:r>
        <w:rPr/>
        <w:t>万元。报告期公司及其子公司享受企业所得税优惠政策，减少所得税费用</w:t>
      </w:r>
      <w:r>
        <w:rPr>
          <w:spacing w:val="-45"/>
        </w:rPr>
        <w:t> </w:t>
      </w:r>
      <w:r>
        <w:rPr>
          <w:rFonts w:ascii="Times New Roman" w:hAnsi="Times New Roman" w:cs="Times New Roman" w:eastAsia="Times New Roman" w:hint="default"/>
        </w:rPr>
        <w:t>3,957.25</w:t>
      </w:r>
      <w:r>
        <w:rPr>
          <w:rFonts w:ascii="Times New Roman" w:hAnsi="Times New Roman" w:cs="Times New Roman" w:eastAsia="Times New Roman" w:hint="default"/>
          <w:spacing w:val="-1"/>
        </w:rPr>
        <w:t> </w:t>
      </w:r>
      <w:r>
        <w:rPr/>
        <w:t>万元。</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合并财务报表项目注释" w:id="233"/>
      <w:bookmarkEnd w:id="233"/>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货币资金" w:id="234"/>
      <w:bookmarkEnd w:id="234"/>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397,302.61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551,375.25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771,097,197.90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908,215,833.27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22,422,806.74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24,180,916.79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793,917,307.25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932,948,125.31</w:t>
            </w:r>
          </w:p>
        </w:tc>
      </w:tr>
    </w:tbl>
    <w:p>
      <w:pPr>
        <w:pStyle w:val="BodyText"/>
        <w:spacing w:line="357" w:lineRule="auto" w:before="51"/>
        <w:ind w:right="2832"/>
        <w:jc w:val="left"/>
      </w:pPr>
      <w:r>
        <w:rPr/>
        <w:t>其他说明 其中因抵押、质押或冻结等对使用有限制，以及放在境外且资金汇回受到限制的货币资金明细如下：</w:t>
      </w:r>
    </w:p>
    <w:tbl>
      <w:tblPr>
        <w:tblW w:w="0" w:type="auto"/>
        <w:jc w:val="left"/>
        <w:tblInd w:w="141" w:type="dxa"/>
        <w:tblLayout w:type="fixed"/>
        <w:tblCellMar>
          <w:top w:w="0" w:type="dxa"/>
          <w:left w:w="0" w:type="dxa"/>
          <w:bottom w:w="0" w:type="dxa"/>
          <w:right w:w="0" w:type="dxa"/>
        </w:tblCellMar>
        <w:tblLook w:val="01E0"/>
      </w:tblPr>
      <w:tblGrid>
        <w:gridCol w:w="4124"/>
        <w:gridCol w:w="2766"/>
        <w:gridCol w:w="2766"/>
      </w:tblGrid>
      <w:tr>
        <w:trPr>
          <w:trHeight w:val="412" w:hRule="exact"/>
        </w:trPr>
        <w:tc>
          <w:tcPr>
            <w:tcW w:w="41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21" w:hRule="exact"/>
        </w:trPr>
        <w:tc>
          <w:tcPr>
            <w:tcW w:w="41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766" w:type="dxa"/>
            <w:tcBorders>
              <w:top w:val="single" w:sz="8" w:space="0" w:color="000000"/>
              <w:left w:val="single" w:sz="6" w:space="0" w:color="000000"/>
              <w:bottom w:val="single" w:sz="4" w:space="0" w:color="000000"/>
              <w:right w:val="single" w:sz="4" w:space="0" w:color="000000"/>
            </w:tcBorders>
          </w:tcPr>
          <w:p>
            <w:pPr>
              <w:pStyle w:val="TableParagraph"/>
              <w:spacing w:line="240" w:lineRule="auto" w:before="83"/>
              <w:ind w:right="3"/>
              <w:jc w:val="right"/>
              <w:rPr>
                <w:rFonts w:ascii="Times New Roman" w:hAnsi="Times New Roman" w:cs="Times New Roman" w:eastAsia="Times New Roman" w:hint="default"/>
                <w:sz w:val="18"/>
                <w:szCs w:val="18"/>
              </w:rPr>
            </w:pPr>
            <w:r>
              <w:rPr>
                <w:rFonts w:ascii="Times New Roman"/>
                <w:sz w:val="18"/>
              </w:rPr>
              <w:t>40,000.00</w:t>
            </w:r>
          </w:p>
        </w:tc>
        <w:tc>
          <w:tcPr>
            <w:tcW w:w="276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3"/>
              <w:ind w:right="3"/>
              <w:jc w:val="right"/>
              <w:rPr>
                <w:rFonts w:ascii="Times New Roman" w:hAnsi="Times New Roman" w:cs="Times New Roman" w:eastAsia="Times New Roman" w:hint="default"/>
                <w:sz w:val="18"/>
                <w:szCs w:val="18"/>
              </w:rPr>
            </w:pPr>
            <w:r>
              <w:rPr>
                <w:rFonts w:ascii="Times New Roman"/>
                <w:spacing w:val="-1"/>
                <w:sz w:val="18"/>
              </w:rPr>
              <w:t>2,218,496.43</w:t>
            </w:r>
          </w:p>
        </w:tc>
      </w:tr>
      <w:tr>
        <w:trPr>
          <w:trHeight w:val="422" w:hRule="exact"/>
        </w:trPr>
        <w:tc>
          <w:tcPr>
            <w:tcW w:w="41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76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90"/>
              <w:ind w:right="3"/>
              <w:jc w:val="right"/>
              <w:rPr>
                <w:rFonts w:ascii="Times New Roman" w:hAnsi="Times New Roman" w:cs="Times New Roman" w:eastAsia="Times New Roman" w:hint="default"/>
                <w:sz w:val="18"/>
                <w:szCs w:val="18"/>
              </w:rPr>
            </w:pPr>
            <w:r>
              <w:rPr>
                <w:rFonts w:ascii="Times New Roman"/>
                <w:spacing w:val="-1"/>
                <w:sz w:val="18"/>
              </w:rPr>
              <w:t>21,930,706.32</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3"/>
              <w:jc w:val="right"/>
              <w:rPr>
                <w:rFonts w:ascii="Times New Roman" w:hAnsi="Times New Roman" w:cs="Times New Roman" w:eastAsia="Times New Roman" w:hint="default"/>
                <w:sz w:val="18"/>
                <w:szCs w:val="18"/>
              </w:rPr>
            </w:pPr>
            <w:r>
              <w:rPr>
                <w:rFonts w:ascii="Times New Roman"/>
                <w:spacing w:val="-1"/>
                <w:sz w:val="18"/>
              </w:rPr>
              <w:t>21,149,555.06</w:t>
            </w:r>
          </w:p>
        </w:tc>
      </w:tr>
      <w:tr>
        <w:trPr>
          <w:trHeight w:val="422" w:hRule="exact"/>
        </w:trPr>
        <w:tc>
          <w:tcPr>
            <w:tcW w:w="41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6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90"/>
              <w:ind w:right="3"/>
              <w:jc w:val="right"/>
              <w:rPr>
                <w:rFonts w:ascii="Times New Roman" w:hAnsi="Times New Roman" w:cs="Times New Roman" w:eastAsia="Times New Roman" w:hint="default"/>
                <w:sz w:val="18"/>
                <w:szCs w:val="18"/>
              </w:rPr>
            </w:pPr>
            <w:r>
              <w:rPr>
                <w:rFonts w:ascii="Times New Roman"/>
                <w:spacing w:val="-1"/>
                <w:sz w:val="18"/>
              </w:rPr>
              <w:t>21,970,706.32</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3"/>
              <w:jc w:val="right"/>
              <w:rPr>
                <w:rFonts w:ascii="Times New Roman" w:hAnsi="Times New Roman" w:cs="Times New Roman" w:eastAsia="Times New Roman" w:hint="default"/>
                <w:sz w:val="18"/>
                <w:szCs w:val="18"/>
              </w:rPr>
            </w:pPr>
            <w:r>
              <w:rPr>
                <w:rFonts w:ascii="Times New Roman"/>
                <w:spacing w:val="-1"/>
                <w:sz w:val="18"/>
              </w:rPr>
              <w:t>23,368,051.49</w:t>
            </w:r>
          </w:p>
        </w:tc>
      </w:tr>
    </w:tbl>
    <w:p>
      <w:pPr>
        <w:spacing w:line="240" w:lineRule="auto" w:before="3"/>
        <w:rPr>
          <w:rFonts w:ascii="宋体" w:hAnsi="宋体" w:cs="宋体" w:eastAsia="宋体" w:hint="default"/>
          <w:sz w:val="18"/>
          <w:szCs w:val="18"/>
        </w:rPr>
      </w:pPr>
    </w:p>
    <w:p>
      <w:pPr>
        <w:pStyle w:val="Heading3"/>
        <w:spacing w:line="240" w:lineRule="auto" w:before="35"/>
        <w:ind w:right="0"/>
        <w:jc w:val="left"/>
        <w:rPr>
          <w:b w:val="0"/>
          <w:bCs w:val="0"/>
        </w:rPr>
      </w:pPr>
      <w:bookmarkStart w:name="2、应收票据及应收账款" w:id="235"/>
      <w:bookmarkEnd w:id="235"/>
      <w:r>
        <w:rPr>
          <w:b w:val="0"/>
          <w:bCs w:val="0"/>
        </w:rPr>
      </w:r>
      <w:r>
        <w:rPr>
          <w:rFonts w:ascii="Times New Roman" w:hAnsi="Times New Roman" w:cs="Times New Roman" w:eastAsia="Times New Roman" w:hint="default"/>
        </w:rPr>
        <w:t>2</w:t>
      </w:r>
      <w:r>
        <w:rPr/>
        <w:t>、应收票据及应收账款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11,928,010.71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517,590,825.75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488,216,872.31</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529,518,836.46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488,366,872.31</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1）应收票据" w:id="236"/>
      <w:bookmarkEnd w:id="236"/>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11,928,010.71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150,000.00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11,928,010.71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150,000.00</w:t>
            </w:r>
          </w:p>
        </w:tc>
      </w:tr>
    </w:tbl>
    <w:p>
      <w:pPr>
        <w:pStyle w:val="BodyText"/>
        <w:spacing w:line="240" w:lineRule="auto" w:before="51"/>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期末公司已背书或贴现且在资产负债表日尚未到期的应收票据</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1,086,500.00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51"/>
        <w:ind w:right="6642"/>
        <w:jc w:val="left"/>
      </w:pPr>
      <w:r>
        <w:rPr>
          <w:rFonts w:ascii="Times New Roman" w:hAnsi="Times New Roman" w:cs="Times New Roman" w:eastAsia="Times New Roman" w:hint="default"/>
        </w:rPr>
        <w:t>3)</w:t>
      </w:r>
      <w:r>
        <w:rPr/>
        <w:t>期末公司因出票人未履约而将其转应收账款的票据 无</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2）应收账款" w:id="237"/>
      <w:bookmarkEnd w:id="237"/>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after="0" w:line="240" w:lineRule="auto"/>
        <w:jc w:val="righ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16,849,2</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05.96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8,424,60</w:t>
            </w:r>
          </w:p>
          <w:p>
            <w:pPr>
              <w:pStyle w:val="TableParagraph"/>
              <w:spacing w:line="240" w:lineRule="auto" w:before="106"/>
              <w:ind w:left="412" w:right="0"/>
              <w:jc w:val="left"/>
              <w:rPr>
                <w:rFonts w:ascii="Times New Roman" w:hAnsi="Times New Roman" w:cs="Times New Roman" w:eastAsia="Times New Roman" w:hint="default"/>
                <w:sz w:val="18"/>
                <w:szCs w:val="18"/>
              </w:rPr>
            </w:pPr>
            <w:r>
              <w:rPr>
                <w:rFonts w:ascii="Times New Roman"/>
                <w:sz w:val="18"/>
              </w:rPr>
              <w:t>2.98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8,424,602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.98</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517,810,</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589.34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9,517,27</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1.16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508,293,3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18.18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496,443</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,738.58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99.54%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8,226,866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488,216,87</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2.31</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3,640,58</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6.02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2,767,68</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1.43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76.02%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872,904.5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2,288,7</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45.13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2,288,745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538,300,</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381.32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20,709,5</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55.57</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517,590,8</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25.75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498,732</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,483.71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10,515,61</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1.40</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488,216,87</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2.31</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pStyle w:val="BodyText"/>
        <w:spacing w:line="240" w:lineRule="auto" w:before="51"/>
        <w:ind w:right="-20"/>
        <w:jc w:val="left"/>
      </w:pPr>
      <w:r>
        <w:rPr/>
        <w:t>期末单项金额重大并单项计提坏账准备的应收账款：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70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16,849,205.96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8,424,602.98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涉及仲裁</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16,849,205.96</w:t>
            </w:r>
          </w:p>
        </w:tc>
        <w:tc>
          <w:tcPr>
            <w:tcW w:w="19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8,424,602.98</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700" w:left="980" w:right="0"/>
        </w:sectPr>
      </w:pPr>
    </w:p>
    <w:p>
      <w:pPr>
        <w:pStyle w:val="BodyText"/>
        <w:spacing w:line="240" w:lineRule="auto" w:before="51"/>
        <w:ind w:right="-20"/>
        <w:jc w:val="left"/>
      </w:pPr>
      <w:r>
        <w:rPr/>
        <w:t>组合中，按账龄分析法计提坏账准备的应收账款：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700" w:left="980" w:right="0"/>
          <w:cols w:num="2" w:equalWidth="0">
            <w:col w:w="4115" w:space="471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450,192,492.42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20,474,692.01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1,017,434.60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21,383,113.39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2,138,311.35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11,224,016.72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1,689,902.51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12,330,815.12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2,466,163.02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2,205,459.68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2,205,459.68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517,810,589.34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9,517,271.16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6432"/>
        <w:jc w:val="left"/>
      </w:pPr>
      <w:r>
        <w:rPr/>
        <w:t>确定该组合依据的说明： 组合中，采用余额百分比法计提坏账准备的应收账款：</w:t>
      </w:r>
    </w:p>
    <w:p>
      <w:pPr>
        <w:spacing w:after="0" w:line="357" w:lineRule="auto"/>
        <w:jc w:val="left"/>
        <w:sectPr>
          <w:type w:val="continuous"/>
          <w:pgSz w:w="11910" w:h="16840"/>
          <w:pgMar w:top="1060" w:bottom="700" w:left="980" w:right="0"/>
        </w:sectPr>
      </w:pPr>
    </w:p>
    <w:p>
      <w:pPr>
        <w:spacing w:line="240" w:lineRule="auto" w:before="13"/>
        <w:rPr>
          <w:rFonts w:ascii="宋体" w:hAnsi="宋体" w:cs="宋体" w:eastAsia="宋体" w:hint="default"/>
          <w:sz w:val="21"/>
          <w:szCs w:val="21"/>
        </w:rPr>
      </w:pPr>
    </w:p>
    <w:p>
      <w:pPr>
        <w:pStyle w:val="BodyText"/>
        <w:spacing w:line="338" w:lineRule="auto" w:before="44"/>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338" w:lineRule="auto"/>
        <w:ind w:right="1843"/>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报告期内不存在账龄超过三年的单项金额重大的应收账款。</w:t>
      </w:r>
    </w:p>
    <w:p>
      <w:pPr>
        <w:spacing w:line="240" w:lineRule="auto" w:before="0"/>
        <w:rPr>
          <w:rFonts w:ascii="宋体" w:hAnsi="宋体" w:cs="宋体" w:eastAsia="宋体" w:hint="default"/>
          <w:sz w:val="18"/>
          <w:szCs w:val="18"/>
        </w:rPr>
      </w:pPr>
    </w:p>
    <w:p>
      <w:pPr>
        <w:pStyle w:val="BodyText"/>
        <w:spacing w:line="240" w:lineRule="auto" w:before="159"/>
        <w:ind w:right="0"/>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3"/>
        <w:ind w:right="0"/>
        <w:jc w:val="left"/>
      </w:pPr>
      <w:r>
        <w:rPr/>
        <w:t>本期计提坏账准备金额</w:t>
      </w:r>
      <w:r>
        <w:rPr>
          <w:spacing w:val="-47"/>
        </w:rPr>
        <w:t> </w:t>
      </w:r>
      <w:r>
        <w:rPr>
          <w:rFonts w:ascii="Times New Roman" w:hAnsi="Times New Roman" w:cs="Times New Roman" w:eastAsia="Times New Roman" w:hint="default"/>
        </w:rPr>
        <w:t>16,898,935.40</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ind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6,704,991.23</w:t>
            </w:r>
          </w:p>
        </w:tc>
      </w:tr>
    </w:tbl>
    <w:p>
      <w:pPr>
        <w:pStyle w:val="BodyText"/>
        <w:spacing w:line="240" w:lineRule="auto" w:before="51"/>
        <w:ind w:right="0"/>
        <w:jc w:val="left"/>
      </w:pPr>
      <w:r>
        <w:rPr/>
        <w:t>其中重要的应收账款核销情况：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3,250,000.00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27"/>
          <w:szCs w:val="27"/>
        </w:rPr>
      </w:pPr>
    </w:p>
    <w:p>
      <w:pPr>
        <w:pStyle w:val="BodyText"/>
        <w:spacing w:line="240" w:lineRule="auto" w:before="44"/>
        <w:ind w:right="0"/>
        <w:jc w:val="left"/>
      </w:pPr>
      <w:r>
        <w:rPr>
          <w:rFonts w:ascii="Times New Roman" w:hAnsi="Times New Roman" w:cs="Times New Roman" w:eastAsia="Times New Roman" w:hint="default"/>
        </w:rPr>
        <w:t>4)</w:t>
      </w:r>
      <w:r>
        <w:rPr/>
        <w:t>按欠款方归集的期末余额前五名的应收账款情况</w:t>
      </w:r>
    </w:p>
    <w:p>
      <w:pPr>
        <w:spacing w:line="240" w:lineRule="auto" w:before="0"/>
        <w:rPr>
          <w:rFonts w:ascii="宋体" w:hAnsi="宋体" w:cs="宋体" w:eastAsia="宋体" w:hint="default"/>
          <w:sz w:val="7"/>
          <w:szCs w:val="7"/>
        </w:rPr>
      </w:pPr>
    </w:p>
    <w:tbl>
      <w:tblPr>
        <w:tblW w:w="0" w:type="auto"/>
        <w:jc w:val="left"/>
        <w:tblInd w:w="139" w:type="dxa"/>
        <w:tblLayout w:type="fixed"/>
        <w:tblCellMar>
          <w:top w:w="0" w:type="dxa"/>
          <w:left w:w="0" w:type="dxa"/>
          <w:bottom w:w="0" w:type="dxa"/>
          <w:right w:w="0" w:type="dxa"/>
        </w:tblCellMar>
        <w:tblLook w:val="01E0"/>
      </w:tblPr>
      <w:tblGrid>
        <w:gridCol w:w="1384"/>
        <w:gridCol w:w="2302"/>
        <w:gridCol w:w="4250"/>
        <w:gridCol w:w="1723"/>
      </w:tblGrid>
      <w:tr>
        <w:trPr>
          <w:trHeight w:val="421" w:hRule="exact"/>
        </w:trPr>
        <w:tc>
          <w:tcPr>
            <w:tcW w:w="138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8275"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2" w:hRule="exact"/>
        </w:trPr>
        <w:tc>
          <w:tcPr>
            <w:tcW w:w="1384" w:type="dxa"/>
            <w:vMerge/>
            <w:tcBorders>
              <w:left w:val="single" w:sz="4" w:space="0" w:color="000000"/>
              <w:bottom w:val="single" w:sz="4" w:space="0" w:color="000000"/>
              <w:right w:val="single" w:sz="4" w:space="0" w:color="000000"/>
            </w:tcBorders>
            <w:shd w:val="clear" w:color="auto" w:fill="D9D9D9"/>
          </w:tcPr>
          <w:p>
            <w:pPr/>
          </w:p>
        </w:tc>
        <w:tc>
          <w:tcPr>
            <w:tcW w:w="23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42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99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占应收账款合计数的比例</w:t>
            </w:r>
            <w:r>
              <w:rPr>
                <w:rFonts w:ascii="Times New Roman" w:hAnsi="Times New Roman" w:cs="Times New Roman" w:eastAsia="Times New Roman" w:hint="default"/>
                <w:sz w:val="18"/>
                <w:szCs w:val="18"/>
              </w:rPr>
              <w:t>(%)</w:t>
            </w:r>
          </w:p>
        </w:tc>
        <w:tc>
          <w:tcPr>
            <w:tcW w:w="17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49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22"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
              <w:jc w:val="right"/>
              <w:rPr>
                <w:rFonts w:ascii="Times New Roman" w:hAnsi="Times New Roman" w:cs="Times New Roman" w:eastAsia="Times New Roman" w:hint="default"/>
                <w:sz w:val="18"/>
                <w:szCs w:val="18"/>
              </w:rPr>
            </w:pPr>
            <w:r>
              <w:rPr>
                <w:rFonts w:ascii="Times New Roman"/>
                <w:spacing w:val="-1"/>
                <w:sz w:val="18"/>
              </w:rPr>
              <w:t>33,931,589.37</w:t>
            </w:r>
          </w:p>
        </w:tc>
        <w:tc>
          <w:tcPr>
            <w:tcW w:w="4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6.30</w:t>
            </w:r>
          </w:p>
        </w:tc>
        <w:tc>
          <w:tcPr>
            <w:tcW w:w="1723" w:type="dxa"/>
            <w:tcBorders>
              <w:top w:val="single" w:sz="4" w:space="0" w:color="000000"/>
              <w:left w:val="single" w:sz="4" w:space="0" w:color="000000"/>
              <w:bottom w:val="single" w:sz="4" w:space="0" w:color="000000"/>
              <w:right w:val="single" w:sz="4" w:space="0" w:color="000000"/>
            </w:tcBorders>
          </w:tcPr>
          <w:p>
            <w:pPr/>
          </w:p>
        </w:tc>
      </w:tr>
      <w:tr>
        <w:trPr>
          <w:trHeight w:val="421"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pacing w:val="-1"/>
                <w:sz w:val="18"/>
              </w:rPr>
              <w:t>29,620,000.00</w:t>
            </w:r>
          </w:p>
        </w:tc>
        <w:tc>
          <w:tcPr>
            <w:tcW w:w="4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5.50</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z w:val="18"/>
              </w:rPr>
              <w:t>222,900.00</w:t>
            </w:r>
          </w:p>
        </w:tc>
      </w:tr>
      <w:tr>
        <w:trPr>
          <w:trHeight w:val="422"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
              <w:jc w:val="right"/>
              <w:rPr>
                <w:rFonts w:ascii="Times New Roman" w:hAnsi="Times New Roman" w:cs="Times New Roman" w:eastAsia="Times New Roman" w:hint="default"/>
                <w:sz w:val="18"/>
                <w:szCs w:val="18"/>
              </w:rPr>
            </w:pPr>
            <w:r>
              <w:rPr>
                <w:rFonts w:ascii="Times New Roman"/>
                <w:spacing w:val="-1"/>
                <w:sz w:val="18"/>
              </w:rPr>
              <w:t>19,760,152.89</w:t>
            </w:r>
          </w:p>
        </w:tc>
        <w:tc>
          <w:tcPr>
            <w:tcW w:w="4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3.67</w:t>
            </w:r>
          </w:p>
        </w:tc>
        <w:tc>
          <w:tcPr>
            <w:tcW w:w="1723"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16,849,205.96</w:t>
            </w:r>
          </w:p>
        </w:tc>
        <w:tc>
          <w:tcPr>
            <w:tcW w:w="4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3.13</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8,424,602.98</w:t>
            </w:r>
          </w:p>
        </w:tc>
      </w:tr>
      <w:tr>
        <w:trPr>
          <w:trHeight w:val="421"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pacing w:val="-1"/>
                <w:sz w:val="18"/>
              </w:rPr>
              <w:t>16,088,268.36</w:t>
            </w:r>
          </w:p>
        </w:tc>
        <w:tc>
          <w:tcPr>
            <w:tcW w:w="4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2.99</w:t>
            </w:r>
          </w:p>
        </w:tc>
        <w:tc>
          <w:tcPr>
            <w:tcW w:w="1723"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13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116,249,216.58</w:t>
            </w:r>
          </w:p>
        </w:tc>
        <w:tc>
          <w:tcPr>
            <w:tcW w:w="4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21.59</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8,647,502.98</w:t>
            </w:r>
          </w:p>
        </w:tc>
      </w:tr>
    </w:tbl>
    <w:p>
      <w:pPr>
        <w:spacing w:line="240" w:lineRule="auto" w:before="5"/>
        <w:rPr>
          <w:rFonts w:ascii="宋体" w:hAnsi="宋体" w:cs="宋体" w:eastAsia="宋体" w:hint="default"/>
          <w:sz w:val="24"/>
          <w:szCs w:val="24"/>
        </w:rPr>
      </w:pPr>
    </w:p>
    <w:p>
      <w:pPr>
        <w:pStyle w:val="BodyText"/>
        <w:spacing w:line="338" w:lineRule="auto" w:before="44"/>
        <w:ind w:right="7542"/>
        <w:jc w:val="left"/>
      </w:pPr>
      <w:r>
        <w:rPr>
          <w:rFonts w:ascii="Times New Roman" w:hAnsi="Times New Roman" w:cs="Times New Roman" w:eastAsia="Times New Roman" w:hint="default"/>
        </w:rPr>
        <w:t>5)</w:t>
      </w:r>
      <w:r>
        <w:rPr/>
        <w:t>因金融资产转移而终止确认的应收账款</w:t>
      </w:r>
      <w:r>
        <w:rPr>
          <w:w w:val="99"/>
        </w:rPr>
        <w:t> </w:t>
      </w:r>
      <w:r>
        <w:rPr/>
        <w:t>无</w:t>
      </w:r>
    </w:p>
    <w:p>
      <w:pPr>
        <w:spacing w:line="240" w:lineRule="auto" w:before="0"/>
        <w:rPr>
          <w:rFonts w:ascii="宋体" w:hAnsi="宋体" w:cs="宋体" w:eastAsia="宋体" w:hint="default"/>
          <w:sz w:val="18"/>
          <w:szCs w:val="18"/>
        </w:rPr>
      </w:pPr>
    </w:p>
    <w:p>
      <w:pPr>
        <w:pStyle w:val="BodyText"/>
        <w:spacing w:line="338" w:lineRule="auto" w:before="160"/>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无</w:t>
      </w:r>
    </w:p>
    <w:p>
      <w:pPr>
        <w:spacing w:after="0" w:line="338" w:lineRule="auto"/>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3、预付款项" w:id="238"/>
      <w:bookmarkEnd w:id="238"/>
      <w:r>
        <w:rPr>
          <w:b w:val="0"/>
          <w:bCs w:val="0"/>
        </w:rPr>
      </w:r>
      <w:r>
        <w:rPr>
          <w:rFonts w:ascii="Times New Roman" w:hAnsi="Times New Roman" w:cs="Times New Roman" w:eastAsia="Times New Roman" w:hint="default"/>
        </w:rPr>
        <w:t>3</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39"/>
      <w:bookmarkEnd w:id="239"/>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68,975,528.07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39,753,372.44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89.41%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1,074,702.99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2,294,203.08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414,992.72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2,305,239.93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418,405.81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111,245.33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70,883,629.59</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44,464,060.78</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right="5894"/>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账龄超过一年的预付款项系为未结算的购货尾款。</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2）按预付对象归集的期末余额前五名的预付款情况" w:id="240"/>
      <w:bookmarkEnd w:id="240"/>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1853"/>
        <w:gridCol w:w="3827"/>
        <w:gridCol w:w="3978"/>
      </w:tblGrid>
      <w:tr>
        <w:trPr>
          <w:trHeight w:val="421" w:hRule="exact"/>
        </w:trPr>
        <w:tc>
          <w:tcPr>
            <w:tcW w:w="18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560" w:right="0"/>
              <w:jc w:val="left"/>
              <w:rPr>
                <w:rFonts w:ascii="宋体" w:hAnsi="宋体" w:cs="宋体" w:eastAsia="宋体" w:hint="default"/>
                <w:sz w:val="18"/>
                <w:szCs w:val="18"/>
              </w:rPr>
            </w:pPr>
            <w:r>
              <w:rPr>
                <w:rFonts w:ascii="宋体" w:hAnsi="宋体" w:cs="宋体" w:eastAsia="宋体" w:hint="default"/>
                <w:sz w:val="18"/>
                <w:szCs w:val="18"/>
              </w:rPr>
              <w:t>预付对象</w:t>
            </w:r>
          </w:p>
        </w:tc>
        <w:tc>
          <w:tcPr>
            <w:tcW w:w="38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4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占预付款项期末余额合计数的比例</w:t>
            </w:r>
            <w:r>
              <w:rPr>
                <w:rFonts w:ascii="Times New Roman" w:hAnsi="Times New Roman" w:cs="Times New Roman" w:eastAsia="Times New Roman" w:hint="default"/>
                <w:sz w:val="18"/>
                <w:szCs w:val="18"/>
              </w:rPr>
              <w:t>(%)</w:t>
            </w:r>
          </w:p>
        </w:tc>
      </w:tr>
      <w:tr>
        <w:trPr>
          <w:trHeight w:val="342"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1</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9,516,981.13</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13.43</w:t>
            </w:r>
          </w:p>
        </w:tc>
      </w:tr>
      <w:tr>
        <w:trPr>
          <w:trHeight w:val="342"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2</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7,211,808.12</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10.17</w:t>
            </w:r>
          </w:p>
        </w:tc>
      </w:tr>
      <w:tr>
        <w:trPr>
          <w:trHeight w:val="342"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3</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6,330,288.47</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8.93</w:t>
            </w:r>
          </w:p>
        </w:tc>
      </w:tr>
      <w:tr>
        <w:trPr>
          <w:trHeight w:val="342"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4</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4,759,965.95</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6.72</w:t>
            </w:r>
          </w:p>
        </w:tc>
      </w:tr>
      <w:tr>
        <w:trPr>
          <w:trHeight w:val="342"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5</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3,967,120.00</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5.60</w:t>
            </w:r>
          </w:p>
        </w:tc>
      </w:tr>
      <w:tr>
        <w:trPr>
          <w:trHeight w:val="343" w:hRule="exact"/>
        </w:trPr>
        <w:tc>
          <w:tcPr>
            <w:tcW w:w="18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31,786,163.67</w:t>
            </w:r>
          </w:p>
        </w:tc>
        <w:tc>
          <w:tcPr>
            <w:tcW w:w="3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44.85</w:t>
            </w:r>
          </w:p>
        </w:tc>
      </w:tr>
    </w:tbl>
    <w:p>
      <w:pPr>
        <w:pStyle w:val="BodyText"/>
        <w:spacing w:line="240" w:lineRule="auto" w:before="52"/>
        <w:ind w:right="0"/>
        <w:jc w:val="both"/>
      </w:pPr>
      <w:r>
        <w:rPr/>
        <w:t>其他说明：</w:t>
      </w:r>
    </w:p>
    <w:p>
      <w:pPr>
        <w:pStyle w:val="BodyText"/>
        <w:spacing w:line="309" w:lineRule="auto" w:before="115"/>
        <w:ind w:right="113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月三级公司上海恒瑞网络信息有限公司预付给中云通科技股份有限公司</w:t>
      </w:r>
      <w:r>
        <w:rPr>
          <w:rFonts w:ascii="Times New Roman" w:hAnsi="Times New Roman" w:cs="Times New Roman" w:eastAsia="Times New Roman" w:hint="default"/>
          <w:spacing w:val="-2"/>
        </w:rPr>
        <w:t>2,200.00</w:t>
      </w:r>
      <w:r>
        <w:rPr>
          <w:spacing w:val="-2"/>
        </w:rPr>
        <w:t>万作为合同押金，</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月中云通</w:t>
      </w:r>
      <w:r>
        <w:rPr>
          <w:spacing w:val="-45"/>
        </w:rPr>
        <w:t> </w:t>
      </w:r>
      <w:r>
        <w:rPr>
          <w:spacing w:val="-2"/>
        </w:rPr>
        <w:t>科技股份有限公司被最高人民法院列为失信公司，未按时履行法律义务而被法院强制执行，公司预计无法收回该笔押金，单</w:t>
      </w:r>
      <w:r>
        <w:rPr>
          <w:spacing w:val="-66"/>
        </w:rPr>
        <w:t> </w:t>
      </w:r>
      <w:r>
        <w:rPr>
          <w:spacing w:val="-66"/>
        </w:rPr>
      </w:r>
      <w:r>
        <w:rPr/>
        <w:t>项计提减值</w:t>
      </w:r>
      <w:r>
        <w:rPr>
          <w:rFonts w:ascii="Times New Roman" w:hAnsi="Times New Roman" w:cs="Times New Roman" w:eastAsia="Times New Roman" w:hint="default"/>
        </w:rPr>
        <w:t>2,200.00</w:t>
      </w:r>
      <w:r>
        <w:rPr/>
        <w:t>万。</w:t>
      </w:r>
    </w:p>
    <w:p>
      <w:pPr>
        <w:spacing w:line="240" w:lineRule="auto" w:before="6"/>
        <w:rPr>
          <w:rFonts w:ascii="宋体" w:hAnsi="宋体" w:cs="宋体" w:eastAsia="宋体" w:hint="default"/>
          <w:sz w:val="21"/>
          <w:szCs w:val="21"/>
        </w:rPr>
      </w:pPr>
    </w:p>
    <w:p>
      <w:pPr>
        <w:pStyle w:val="Heading3"/>
        <w:spacing w:line="240" w:lineRule="auto"/>
        <w:ind w:right="0"/>
        <w:jc w:val="both"/>
        <w:rPr>
          <w:b w:val="0"/>
          <w:bCs w:val="0"/>
        </w:rPr>
      </w:pPr>
      <w:bookmarkStart w:name="4、 应收保理款" w:id="241"/>
      <w:bookmarkEnd w:id="241"/>
      <w:r>
        <w:rPr>
          <w:b w:val="0"/>
          <w:bCs w:val="0"/>
        </w:rPr>
      </w:r>
      <w:r>
        <w:rPr>
          <w:rFonts w:ascii="Times New Roman" w:hAnsi="Times New Roman" w:cs="Times New Roman" w:eastAsia="Times New Roman" w:hint="default"/>
        </w:rPr>
        <w:t>4</w:t>
      </w:r>
      <w:r>
        <w:rPr/>
        <w:t>、</w:t>
      </w:r>
      <w:r>
        <w:rPr>
          <w:spacing w:val="-3"/>
        </w:rPr>
        <w:t> </w:t>
      </w:r>
      <w:r>
        <w:rPr/>
        <w:t>应收保理款</w:t>
      </w:r>
      <w:r>
        <w:rPr>
          <w:b w:val="0"/>
          <w:bCs w:val="0"/>
        </w:rPr>
      </w:r>
    </w:p>
    <w:p>
      <w:pPr>
        <w:spacing w:line="240" w:lineRule="auto" w:before="9"/>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3770"/>
        <w:gridCol w:w="3065"/>
        <w:gridCol w:w="2824"/>
      </w:tblGrid>
      <w:tr>
        <w:trPr>
          <w:trHeight w:val="422" w:hRule="exact"/>
        </w:trPr>
        <w:tc>
          <w:tcPr>
            <w:tcW w:w="37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right="1698"/>
              <w:jc w:val="right"/>
              <w:rPr>
                <w:rFonts w:ascii="宋体" w:hAnsi="宋体" w:cs="宋体" w:eastAsia="宋体" w:hint="default"/>
                <w:sz w:val="18"/>
                <w:szCs w:val="18"/>
              </w:rPr>
            </w:pPr>
            <w:r>
              <w:rPr>
                <w:rFonts w:ascii="宋体" w:hAnsi="宋体" w:cs="宋体" w:eastAsia="宋体" w:hint="default"/>
                <w:sz w:val="18"/>
                <w:szCs w:val="18"/>
              </w:rPr>
              <w:t>项目</w:t>
            </w:r>
          </w:p>
        </w:tc>
        <w:tc>
          <w:tcPr>
            <w:tcW w:w="3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22" w:hRule="exact"/>
        </w:trPr>
        <w:tc>
          <w:tcPr>
            <w:tcW w:w="3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应收保理款</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130,125,330.00</w:t>
            </w:r>
          </w:p>
        </w:tc>
        <w:tc>
          <w:tcPr>
            <w:tcW w:w="2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253,120,711.94</w:t>
            </w:r>
          </w:p>
        </w:tc>
      </w:tr>
      <w:tr>
        <w:trPr>
          <w:trHeight w:val="417" w:hRule="exact"/>
        </w:trPr>
        <w:tc>
          <w:tcPr>
            <w:tcW w:w="37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1698"/>
              <w:jc w:val="right"/>
              <w:rPr>
                <w:rFonts w:ascii="宋体" w:hAnsi="宋体" w:cs="宋体" w:eastAsia="宋体" w:hint="default"/>
                <w:sz w:val="18"/>
                <w:szCs w:val="18"/>
              </w:rPr>
            </w:pPr>
            <w:r>
              <w:rPr>
                <w:rFonts w:ascii="宋体" w:hAnsi="宋体" w:cs="宋体" w:eastAsia="宋体" w:hint="default"/>
                <w:sz w:val="18"/>
                <w:szCs w:val="18"/>
              </w:rPr>
              <w:t>合计</w:t>
            </w:r>
          </w:p>
        </w:tc>
        <w:tc>
          <w:tcPr>
            <w:tcW w:w="3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130,125,330.00</w:t>
            </w:r>
          </w:p>
        </w:tc>
        <w:tc>
          <w:tcPr>
            <w:tcW w:w="28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253,120,711.94</w:t>
            </w:r>
          </w:p>
        </w:tc>
      </w:tr>
    </w:tbl>
    <w:p>
      <w:pPr>
        <w:pStyle w:val="BodyText"/>
        <w:spacing w:line="300" w:lineRule="auto" w:before="16"/>
        <w:ind w:right="0"/>
        <w:jc w:val="left"/>
      </w:pPr>
      <w:r>
        <w:rPr/>
        <w:t>说明：</w:t>
      </w:r>
      <w:r>
        <w:rPr>
          <w:rFonts w:ascii="Times New Roman" w:hAnsi="Times New Roman" w:cs="Times New Roman" w:eastAsia="Times New Roman" w:hint="default"/>
        </w:rPr>
        <w:t>1</w:t>
      </w:r>
      <w:r>
        <w:rPr/>
        <w:t>、应收保理款均系子公司久金保的保理业务形成，且均附追索权。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年度，久金保与北京中新能业世纪科技有限公司（以下简称：中新能业）签订《国内有追索权保理业务合同》（合</w:t>
      </w:r>
      <w:r>
        <w:rPr>
          <w:spacing w:val="-83"/>
        </w:rPr>
        <w:t> </w:t>
      </w:r>
      <w:r>
        <w:rPr>
          <w:spacing w:val="-83"/>
        </w:rPr>
      </w:r>
      <w:r>
        <w:rPr/>
        <w:t>同编号</w:t>
      </w:r>
      <w:r>
        <w:rPr>
          <w:rFonts w:ascii="Times New Roman" w:hAnsi="Times New Roman" w:cs="Times New Roman" w:eastAsia="Times New Roman" w:hint="default"/>
        </w:rPr>
        <w:t>JJBZXNY20170808</w:t>
      </w:r>
      <w:r>
        <w:rPr/>
        <w:t>），中新能业向久金保转让对中核新能核工业工程有限责任公司、核工业理化工程研究院的应收</w:t>
      </w:r>
      <w:r>
        <w:rPr>
          <w:spacing w:val="-44"/>
        </w:rPr>
        <w:t> </w:t>
      </w:r>
      <w:r>
        <w:rPr>
          <w:spacing w:val="-44"/>
        </w:rPr>
      </w:r>
      <w:r>
        <w:rPr/>
        <w:t>账款进行保理，保理金额</w:t>
      </w:r>
      <w:r>
        <w:rPr>
          <w:rFonts w:ascii="Times New Roman" w:hAnsi="Times New Roman" w:cs="Times New Roman" w:eastAsia="Times New Roman" w:hint="default"/>
        </w:rPr>
        <w:t>6,000</w:t>
      </w:r>
      <w:r>
        <w:rPr/>
        <w:t>万元。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月，中新能业涉及多起经济纠纷并被列为失信被执行人。截至报 告出具日，久金保对中新能业的应收账款</w:t>
      </w:r>
      <w:r>
        <w:rPr>
          <w:rFonts w:ascii="Times New Roman" w:hAnsi="Times New Roman" w:cs="Times New Roman" w:eastAsia="Times New Roman" w:hint="default"/>
        </w:rPr>
        <w:t>6,000</w:t>
      </w:r>
      <w:r>
        <w:rPr/>
        <w:t>万元尚未收回。</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月及</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月，久金保向北京市西城区人民法院、</w:t>
      </w:r>
      <w:r>
        <w:rPr>
          <w:spacing w:val="-46"/>
        </w:rPr>
        <w:t> </w:t>
      </w:r>
      <w:r>
        <w:rPr>
          <w:spacing w:val="-46"/>
        </w:rPr>
      </w:r>
      <w:r>
        <w:rPr/>
        <w:t>天津市河东区人民法院对保理申请人、保证人、债务人提起诉讼并递交了材料。</w:t>
      </w:r>
    </w:p>
    <w:p>
      <w:pPr>
        <w:spacing w:after="0" w:line="30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0" w:lineRule="auto" w:before="44"/>
        <w:ind w:right="1129"/>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年度，久金保与北京华科光辉科技有限公司（以下简称：华科光辉）签订《国内有追索权保理业务合同》（合同编</w:t>
      </w:r>
      <w:r>
        <w:rPr>
          <w:spacing w:val="-83"/>
        </w:rPr>
        <w:t> </w:t>
      </w:r>
      <w:r>
        <w:rPr>
          <w:spacing w:val="-83"/>
        </w:rPr>
      </w:r>
      <w:r>
        <w:rPr>
          <w:spacing w:val="-1"/>
        </w:rPr>
        <w:t>号</w:t>
      </w:r>
      <w:r>
        <w:rPr>
          <w:rFonts w:ascii="Times New Roman" w:hAnsi="Times New Roman" w:cs="Times New Roman" w:eastAsia="Times New Roman" w:hint="default"/>
          <w:spacing w:val="-1"/>
        </w:rPr>
        <w:t>JJBHKGH20170803</w:t>
      </w:r>
      <w:r>
        <w:rPr>
          <w:spacing w:val="-1"/>
        </w:rPr>
        <w:t>），华科光辉转让对中核兰州铀浓缩有限责任公司的应收账款进行保理，保理金额</w:t>
      </w:r>
      <w:r>
        <w:rPr>
          <w:rFonts w:ascii="Times New Roman" w:hAnsi="Times New Roman" w:cs="Times New Roman" w:eastAsia="Times New Roman" w:hint="default"/>
          <w:spacing w:val="-1"/>
        </w:rPr>
        <w:t>4,000</w:t>
      </w:r>
      <w:r>
        <w:rPr>
          <w:spacing w:val="-1"/>
        </w:rPr>
        <w:t>万元。</w:t>
      </w:r>
      <w:r>
        <w:rPr>
          <w:rFonts w:ascii="Times New Roman" w:hAnsi="Times New Roman" w:cs="Times New Roman" w:eastAsia="Times New Roman" w:hint="default"/>
          <w:spacing w:val="-1"/>
        </w:rPr>
        <w:t>2018</w:t>
      </w:r>
      <w:r>
        <w:rPr>
          <w:spacing w:val="-1"/>
        </w:rPr>
        <w:t>年</w:t>
      </w:r>
      <w:r>
        <w:rPr>
          <w:spacing w:val="-39"/>
        </w:rPr>
        <w:t> </w:t>
      </w:r>
      <w:r>
        <w:rPr>
          <w:rFonts w:ascii="Times New Roman" w:hAnsi="Times New Roman" w:cs="Times New Roman" w:eastAsia="Times New Roman" w:hint="default"/>
          <w:spacing w:val="-4"/>
        </w:rPr>
        <w:t>10</w:t>
      </w:r>
      <w:r>
        <w:rPr>
          <w:spacing w:val="-4"/>
        </w:rPr>
        <w:t>月至</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3</w:t>
      </w:r>
      <w:r>
        <w:rPr>
          <w:spacing w:val="-4"/>
        </w:rPr>
        <w:t>月，华科光辉涉及多起经济纠纷并被列为失信被执行人。截至报告出具日，久金保对华科光辉的应收账款</w:t>
      </w:r>
      <w:r>
        <w:rPr>
          <w:rFonts w:ascii="Times New Roman" w:hAnsi="Times New Roman" w:cs="Times New Roman" w:eastAsia="Times New Roman" w:hint="default"/>
          <w:spacing w:val="-4"/>
        </w:rPr>
        <w:t>4,000</w:t>
      </w:r>
      <w:r>
        <w:rPr>
          <w:rFonts w:ascii="Times New Roman" w:hAnsi="Times New Roman" w:cs="Times New Roman" w:eastAsia="Times New Roman" w:hint="default"/>
          <w:spacing w:val="-17"/>
        </w:rPr>
        <w:t> </w:t>
      </w:r>
      <w:r>
        <w:rPr/>
        <w:t>万元尚未收回。</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bookmarkStart w:name="5、其他应收款" w:id="242"/>
      <w:bookmarkEnd w:id="242"/>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2,634,529.98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1,075,506.77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76,518,169.73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92,379,870.29</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79,152,699.71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93,455,377.06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利息" w:id="243"/>
      <w:bookmarkEnd w:id="243"/>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应收利息分类</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应收保理业务利息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2,216,029.98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1,075,506.77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应收理财收益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418,500.00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2,634,529.98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1,075,506.77</w:t>
            </w:r>
          </w:p>
        </w:tc>
      </w:tr>
    </w:tbl>
    <w:p>
      <w:pPr>
        <w:pStyle w:val="BodyText"/>
        <w:spacing w:line="338" w:lineRule="auto" w:before="51"/>
        <w:ind w:right="9522"/>
        <w:jc w:val="left"/>
      </w:pPr>
      <w:r>
        <w:rPr>
          <w:rFonts w:ascii="Times New Roman" w:hAnsi="Times New Roman" w:cs="Times New Roman" w:eastAsia="Times New Roman" w:hint="default"/>
        </w:rPr>
        <w:t>2)</w:t>
      </w:r>
      <w:r>
        <w:rPr/>
        <w:t>重要逾期利息</w:t>
      </w:r>
      <w:r>
        <w:rPr>
          <w:w w:val="99"/>
        </w:rPr>
        <w:t> </w:t>
      </w:r>
      <w:r>
        <w:rPr/>
        <w:t>无</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2）应收股利" w:id="244"/>
      <w:bookmarkEnd w:id="244"/>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其他应收款" w:id="245"/>
      <w:bookmarkEnd w:id="245"/>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000.00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20.36%</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按信用风险特征组</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87" w:right="0"/>
              <w:jc w:val="left"/>
              <w:rPr>
                <w:rFonts w:ascii="Times New Roman" w:hAnsi="Times New Roman" w:cs="Times New Roman" w:eastAsia="Times New Roman" w:hint="default"/>
                <w:sz w:val="18"/>
                <w:szCs w:val="18"/>
              </w:rPr>
            </w:pPr>
            <w:r>
              <w:rPr>
                <w:rFonts w:ascii="Times New Roman"/>
                <w:sz w:val="18"/>
              </w:rPr>
              <w:t>82,002,3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87.06%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8" w:right="0"/>
              <w:jc w:val="left"/>
              <w:rPr>
                <w:rFonts w:ascii="Times New Roman" w:hAnsi="Times New Roman" w:cs="Times New Roman" w:eastAsia="Times New Roman" w:hint="default"/>
                <w:sz w:val="18"/>
                <w:szCs w:val="18"/>
              </w:rPr>
            </w:pPr>
            <w:r>
              <w:rPr>
                <w:rFonts w:ascii="Times New Roman"/>
                <w:sz w:val="18"/>
              </w:rPr>
              <w:t>5,484,20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7" w:right="0"/>
              <w:jc w:val="left"/>
              <w:rPr>
                <w:rFonts w:ascii="Times New Roman" w:hAnsi="Times New Roman" w:cs="Times New Roman" w:eastAsia="Times New Roman" w:hint="default"/>
                <w:sz w:val="18"/>
                <w:szCs w:val="18"/>
              </w:rPr>
            </w:pPr>
            <w:r>
              <w:rPr>
                <w:rFonts w:ascii="Times New Roman"/>
                <w:sz w:val="18"/>
              </w:rPr>
              <w:t>76,518,16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0" w:right="0"/>
              <w:jc w:val="left"/>
              <w:rPr>
                <w:rFonts w:ascii="Times New Roman" w:hAnsi="Times New Roman" w:cs="Times New Roman" w:eastAsia="Times New Roman" w:hint="default"/>
                <w:sz w:val="18"/>
                <w:szCs w:val="18"/>
              </w:rPr>
            </w:pPr>
            <w:r>
              <w:rPr>
                <w:rFonts w:ascii="Times New Roman"/>
                <w:sz w:val="18"/>
              </w:rPr>
              <w:t>78,122,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79.54%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9" w:right="0"/>
              <w:jc w:val="left"/>
              <w:rPr>
                <w:rFonts w:ascii="Times New Roman" w:hAnsi="Times New Roman" w:cs="Times New Roman" w:eastAsia="Times New Roman" w:hint="default"/>
                <w:sz w:val="18"/>
                <w:szCs w:val="18"/>
              </w:rPr>
            </w:pPr>
            <w:r>
              <w:rPr>
                <w:rFonts w:ascii="Times New Roman"/>
                <w:sz w:val="18"/>
              </w:rPr>
              <w:t>5,743,064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5" w:right="0"/>
              <w:jc w:val="left"/>
              <w:rPr>
                <w:rFonts w:ascii="Times New Roman" w:hAnsi="Times New Roman" w:cs="Times New Roman" w:eastAsia="Times New Roman" w:hint="default"/>
                <w:sz w:val="18"/>
                <w:szCs w:val="18"/>
              </w:rPr>
            </w:pPr>
            <w:r>
              <w:rPr>
                <w:rFonts w:ascii="Times New Roman"/>
                <w:sz w:val="18"/>
              </w:rPr>
              <w:t>7.35%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72,379,870.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67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59"/>
              <w:jc w:val="left"/>
              <w:rPr>
                <w:rFonts w:ascii="宋体" w:hAnsi="宋体" w:cs="宋体" w:eastAsia="宋体" w:hint="default"/>
                <w:sz w:val="18"/>
                <w:szCs w:val="18"/>
              </w:rPr>
            </w:pPr>
            <w:r>
              <w:rPr>
                <w:rFonts w:ascii="宋体" w:hAnsi="宋体" w:cs="宋体" w:eastAsia="宋体" w:hint="default"/>
                <w:sz w:val="18"/>
                <w:szCs w:val="18"/>
              </w:rPr>
              <w:t>合计提坏账准备的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5" w:right="0"/>
              <w:jc w:val="left"/>
              <w:rPr>
                <w:rFonts w:ascii="Times New Roman" w:hAnsi="Times New Roman" w:cs="Times New Roman" w:eastAsia="Times New Roman" w:hint="default"/>
                <w:sz w:val="18"/>
                <w:szCs w:val="18"/>
              </w:rPr>
            </w:pPr>
            <w:r>
              <w:rPr>
                <w:rFonts w:ascii="Times New Roman"/>
                <w:sz w:val="18"/>
              </w:rPr>
              <w:t>77.05</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3" w:right="0"/>
              <w:jc w:val="left"/>
              <w:rPr>
                <w:rFonts w:ascii="Times New Roman" w:hAnsi="Times New Roman" w:cs="Times New Roman" w:eastAsia="Times New Roman" w:hint="default"/>
                <w:sz w:val="18"/>
                <w:szCs w:val="18"/>
              </w:rPr>
            </w:pPr>
            <w:r>
              <w:rPr>
                <w:rFonts w:ascii="Times New Roman"/>
                <w:sz w:val="18"/>
              </w:rPr>
              <w:t>7.32</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Times New Roman" w:hAnsi="Times New Roman" w:cs="Times New Roman" w:eastAsia="Times New Roman" w:hint="default"/>
                <w:sz w:val="18"/>
                <w:szCs w:val="18"/>
              </w:rPr>
            </w:pPr>
            <w:r>
              <w:rPr>
                <w:rFonts w:ascii="Times New Roman"/>
                <w:sz w:val="18"/>
              </w:rPr>
              <w:t>9.73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6" w:right="0"/>
              <w:jc w:val="left"/>
              <w:rPr>
                <w:rFonts w:ascii="Times New Roman" w:hAnsi="Times New Roman" w:cs="Times New Roman" w:eastAsia="Times New Roman" w:hint="default"/>
                <w:sz w:val="18"/>
                <w:szCs w:val="18"/>
              </w:rPr>
            </w:pPr>
            <w:r>
              <w:rPr>
                <w:rFonts w:ascii="Times New Roman"/>
                <w:sz w:val="18"/>
              </w:rPr>
              <w:t>935.13</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.84</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29</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185,392.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185,392.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101,232</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101,232.0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94,187,7</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69.05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17,669,5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99.32</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76,518,16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9.73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98,224,</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167.13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5,844,296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.84</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92,379,870.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70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6" w:right="0"/>
              <w:jc w:val="lef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12,000,000.00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700" w:left="980" w:right="0"/>
        </w:sectPr>
      </w:pPr>
    </w:p>
    <w:p>
      <w:pPr>
        <w:pStyle w:val="BodyText"/>
        <w:spacing w:line="240" w:lineRule="auto" w:before="51"/>
        <w:ind w:right="-20"/>
        <w:jc w:val="left"/>
      </w:pPr>
      <w:r>
        <w:rPr/>
        <w:t>组合中，按账龄分析法计提坏账准备的其他应收款：</w:t>
      </w:r>
    </w:p>
    <w:p>
      <w:pPr>
        <w:pStyle w:val="BodyText"/>
        <w:spacing w:line="240" w:lineRule="auto" w:before="11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70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25,735,714.44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10,921,958.71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546,097.94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10,323,215.00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1,032,321.50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13,582,617.73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2,037,392.65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4,135,027.24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827,005.43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1,041,389.80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1,041,389.80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65,739,922.92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5,484,207.32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252"/>
        <w:jc w:val="left"/>
      </w:pPr>
      <w:r>
        <w:rPr/>
        <w:t>确定该组合依据的说明： 组合中，采用余额百分比法计提坏账准备的其他应收款：</w:t>
      </w:r>
    </w:p>
    <w:p>
      <w:pPr>
        <w:pStyle w:val="BodyText"/>
        <w:spacing w:line="340" w:lineRule="auto" w:before="26"/>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39" w:type="dxa"/>
        <w:tblLayout w:type="fixed"/>
        <w:tblCellMar>
          <w:top w:w="0" w:type="dxa"/>
          <w:left w:w="0" w:type="dxa"/>
          <w:bottom w:w="0" w:type="dxa"/>
          <w:right w:w="0" w:type="dxa"/>
        </w:tblCellMar>
        <w:tblLook w:val="01E0"/>
      </w:tblPr>
      <w:tblGrid>
        <w:gridCol w:w="2612"/>
        <w:gridCol w:w="2266"/>
        <w:gridCol w:w="2268"/>
        <w:gridCol w:w="2513"/>
      </w:tblGrid>
      <w:tr>
        <w:trPr>
          <w:trHeight w:val="422" w:hRule="exact"/>
        </w:trPr>
        <w:tc>
          <w:tcPr>
            <w:tcW w:w="261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047"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2" w:hRule="exact"/>
        </w:trPr>
        <w:tc>
          <w:tcPr>
            <w:tcW w:w="2612" w:type="dxa"/>
            <w:vMerge/>
            <w:tcBorders>
              <w:left w:val="single" w:sz="4" w:space="0" w:color="000000"/>
              <w:bottom w:val="single" w:sz="4" w:space="0" w:color="000000"/>
              <w:right w:val="single" w:sz="4" w:space="0" w:color="000000"/>
            </w:tcBorders>
            <w:shd w:val="clear" w:color="auto" w:fill="D9D9D9"/>
          </w:tcPr>
          <w:p>
            <w:pPr/>
          </w:p>
        </w:tc>
        <w:tc>
          <w:tcPr>
            <w:tcW w:w="2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67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5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63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内部职工</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16,262,454.13</w:t>
            </w:r>
          </w:p>
        </w:tc>
        <w:tc>
          <w:tcPr>
            <w:tcW w:w="2268"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6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16,262,454.13</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513" w:type="dxa"/>
            <w:tcBorders>
              <w:top w:val="single" w:sz="4" w:space="0" w:color="000000"/>
              <w:left w:val="single" w:sz="4" w:space="0" w:color="000000"/>
              <w:bottom w:val="single" w:sz="4" w:space="0" w:color="000000"/>
              <w:right w:val="single" w:sz="4" w:space="0" w:color="000000"/>
            </w:tcBorders>
            <w:shd w:val="clear" w:color="auto" w:fill="D9D9D9"/>
          </w:tcPr>
          <w:p>
            <w:pPr/>
          </w:p>
        </w:tc>
      </w:tr>
    </w:tbl>
    <w:p>
      <w:pPr>
        <w:pStyle w:val="BodyText"/>
        <w:spacing w:line="240" w:lineRule="auto" w:before="52"/>
        <w:ind w:right="0"/>
        <w:jc w:val="left"/>
      </w:pPr>
      <w:r>
        <w:rPr>
          <w:rFonts w:ascii="Times New Roman" w:hAnsi="Times New Roman" w:cs="Times New Roman" w:eastAsia="Times New Roman" w:hint="default"/>
        </w:rPr>
        <w:t>2)</w:t>
      </w:r>
      <w:r>
        <w:rPr/>
        <w:t>本期计提、收回或转回的坏账准备情况</w:t>
      </w:r>
    </w:p>
    <w:p>
      <w:pPr>
        <w:spacing w:after="0" w:line="240" w:lineRule="auto"/>
        <w:jc w:val="left"/>
        <w:sectPr>
          <w:type w:val="continuous"/>
          <w:pgSz w:w="11910" w:h="16840"/>
          <w:pgMar w:top="1060" w:bottom="700" w:left="980" w:right="0"/>
        </w:sectPr>
      </w:pP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979" w:top="1100" w:bottom="1160" w:left="980" w:right="0"/>
        </w:sectPr>
      </w:pPr>
    </w:p>
    <w:p>
      <w:pPr>
        <w:pStyle w:val="BodyText"/>
        <w:spacing w:line="240" w:lineRule="auto" w:before="44"/>
        <w:ind w:right="-14"/>
        <w:jc w:val="left"/>
      </w:pPr>
      <w:r>
        <w:rPr/>
        <w:t>本期计提坏账准备金额</w:t>
      </w:r>
      <w:r>
        <w:rPr>
          <w:spacing w:val="-47"/>
        </w:rPr>
        <w:t> </w:t>
      </w:r>
      <w:r>
        <w:rPr>
          <w:rFonts w:ascii="Times New Roman" w:hAnsi="Times New Roman" w:cs="Times New Roman" w:eastAsia="Times New Roman" w:hint="default"/>
        </w:rPr>
        <w:t>13,892,659.29</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w:t>
      </w:r>
    </w:p>
    <w:p>
      <w:pPr>
        <w:pStyle w:val="BodyText"/>
        <w:spacing w:line="240" w:lineRule="auto" w:before="102"/>
        <w:ind w:right="-14"/>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4"/>
        </w:rPr>
        <w:t> </w:t>
      </w:r>
      <w:r>
        <w:rPr/>
        <w:t>本期实际核销的其他应收款情况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700" w:left="980" w:right="0"/>
          <w:cols w:num="2" w:equalWidth="0">
            <w:col w:w="6319" w:space="2511"/>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2,067,356.80</w:t>
            </w:r>
          </w:p>
        </w:tc>
      </w:tr>
    </w:tbl>
    <w:p>
      <w:pPr>
        <w:pStyle w:val="BodyText"/>
        <w:spacing w:line="240" w:lineRule="auto" w:before="51"/>
        <w:ind w:right="0"/>
        <w:jc w:val="left"/>
      </w:pP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1,300,000.00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rFonts w:ascii="Times New Roman" w:hAnsi="Times New Roman" w:cs="Times New Roman" w:eastAsia="Times New Roman" w:hint="default"/>
        </w:rPr>
        <w:t>4)</w:t>
      </w:r>
      <w:r>
        <w:rPr/>
        <w:t>其他应收款按款项性质分类情况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67,511,360.06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68,314,428.74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17,396,015.17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9,423,893.78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9,280,393.82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20,485,844.61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94,187,769.05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98,224,167.13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70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3,431,600.00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2,125,220.00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66,100.00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281,250.00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23,531,820.00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12,347,350.00</w:t>
            </w:r>
          </w:p>
        </w:tc>
      </w:tr>
    </w:tbl>
    <w:p>
      <w:pPr>
        <w:pStyle w:val="BodyText"/>
        <w:spacing w:line="338" w:lineRule="auto" w:before="51"/>
        <w:ind w:right="8622"/>
        <w:jc w:val="left"/>
      </w:pPr>
      <w:r>
        <w:rPr>
          <w:rFonts w:ascii="Times New Roman" w:hAnsi="Times New Roman" w:cs="Times New Roman" w:eastAsia="Times New Roman" w:hint="default"/>
        </w:rPr>
        <w:t>6)</w:t>
      </w:r>
      <w:r>
        <w:rPr/>
        <w:t>涉及政府补助的应收款项</w:t>
      </w:r>
      <w:r>
        <w:rPr>
          <w:w w:val="99"/>
        </w:rPr>
        <w:t> </w:t>
      </w:r>
      <w:r>
        <w:rPr/>
        <w:t>无</w:t>
      </w:r>
    </w:p>
    <w:p>
      <w:pPr>
        <w:pStyle w:val="BodyText"/>
        <w:spacing w:line="300" w:lineRule="auto" w:before="2"/>
        <w:ind w:right="7362"/>
        <w:jc w:val="left"/>
      </w:pPr>
      <w:r>
        <w:rPr>
          <w:rFonts w:ascii="Times New Roman" w:hAnsi="Times New Roman" w:cs="Times New Roman" w:eastAsia="Times New Roman" w:hint="default"/>
        </w:rPr>
        <w:t>7)</w:t>
      </w:r>
      <w:r>
        <w:rPr/>
        <w:t>因金融资产转移而终止确认的其他应收款</w:t>
      </w:r>
      <w:r>
        <w:rPr>
          <w:w w:val="99"/>
        </w:rPr>
        <w:t> </w:t>
      </w:r>
      <w:r>
        <w:rPr/>
        <w:t>无</w:t>
      </w:r>
    </w:p>
    <w:p>
      <w:pPr>
        <w:pStyle w:val="BodyText"/>
        <w:spacing w:line="300" w:lineRule="auto" w:before="31"/>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无</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6、存货" w:id="246"/>
      <w:bookmarkEnd w:id="246"/>
      <w:r>
        <w:rPr>
          <w:b w:val="0"/>
          <w:bCs w:val="0"/>
        </w:rPr>
      </w:r>
      <w:r>
        <w:rPr>
          <w:rFonts w:ascii="Times New Roman" w:hAnsi="Times New Roman" w:cs="Times New Roman" w:eastAsia="Times New Roman" w:hint="default"/>
        </w:rPr>
        <w:t>6</w:t>
      </w:r>
      <w:r>
        <w:rPr/>
        <w:t>、存货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存货分类" w:id="247"/>
      <w:bookmarkEnd w:id="247"/>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402" w:hRule="exact"/>
        </w:trPr>
        <w:tc>
          <w:tcPr>
            <w:tcW w:w="13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1,752,693.70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1,752,693.70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1,341,112.37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1,341,112.37</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2,776,781.77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2,776,781.77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1,320,179.58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1,320,179.58</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9,288,600.65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5,527.81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9,283,072.84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8,056,328.05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8,056,328.05</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10,178,745.93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10,178,745.93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45,940,731.64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45,940,731.64</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23,996,822.05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5,527.81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23,991,294.24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56,658,351.64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56,658,351.64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存货跌价准备" w:id="248"/>
      <w:bookmarkEnd w:id="248"/>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5,527.81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5,527.81</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5,527.81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5,527.81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7、其他流动资产" w:id="249"/>
      <w:bookmarkEnd w:id="249"/>
      <w:r>
        <w:rPr>
          <w:b w:val="0"/>
          <w:bCs w:val="0"/>
        </w:rPr>
      </w:r>
      <w:r>
        <w:rPr>
          <w:rFonts w:ascii="Times New Roman" w:hAnsi="Times New Roman" w:cs="Times New Roman" w:eastAsia="Times New Roman" w:hint="default"/>
        </w:rPr>
        <w:t>7</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预缴增值税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161,281.34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10,232,152.49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8,896,891.68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4,300,446.52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559,000,000.00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446,058,173.02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573,532,599.01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可供出售金融资产" w:id="250"/>
      <w:bookmarkEnd w:id="250"/>
      <w:r>
        <w:rPr>
          <w:b w:val="0"/>
          <w:bCs w:val="0"/>
        </w:rPr>
      </w:r>
      <w:r>
        <w:rPr>
          <w:rFonts w:ascii="Times New Roman" w:hAnsi="Times New Roman" w:cs="Times New Roman" w:eastAsia="Times New Roman" w:hint="default"/>
        </w:rPr>
        <w:t>8</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51"/>
      <w:bookmarkEnd w:id="251"/>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6,998,002.94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6,998,002.94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6,998,002.94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6,998,002.94</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6,998,002.94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6,998,002.94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6,998,002.94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6,998,002.94</w:t>
            </w:r>
          </w:p>
        </w:tc>
      </w:tr>
      <w:tr>
        <w:trPr>
          <w:trHeight w:val="403"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6,998,002.94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6,998,002.94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6,998,002.94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6,998,002.94</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期末按成本计量的可供出售金融资产" w:id="252"/>
      <w:bookmarkEnd w:id="252"/>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977"/>
        <w:gridCol w:w="1004"/>
        <w:gridCol w:w="638"/>
        <w:gridCol w:w="638"/>
        <w:gridCol w:w="1004"/>
        <w:gridCol w:w="370"/>
        <w:gridCol w:w="638"/>
        <w:gridCol w:w="638"/>
        <w:gridCol w:w="370"/>
        <w:gridCol w:w="1514"/>
        <w:gridCol w:w="902"/>
      </w:tblGrid>
      <w:tr>
        <w:trPr>
          <w:trHeight w:val="402" w:hRule="exact"/>
        </w:trPr>
        <w:tc>
          <w:tcPr>
            <w:tcW w:w="19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33"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28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1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71" w:right="31" w:hanging="540"/>
              <w:jc w:val="left"/>
              <w:rPr>
                <w:rFonts w:ascii="宋体" w:hAnsi="宋体" w:cs="宋体" w:eastAsia="宋体" w:hint="default"/>
                <w:sz w:val="18"/>
                <w:szCs w:val="18"/>
              </w:rPr>
            </w:pPr>
            <w:r>
              <w:rPr>
                <w:rFonts w:ascii="宋体" w:hAnsi="宋体" w:cs="宋体" w:eastAsia="宋体" w:hint="default"/>
                <w:sz w:val="18"/>
                <w:szCs w:val="18"/>
              </w:rPr>
              <w:t>在被投资单位持股 比例</w:t>
            </w:r>
          </w:p>
        </w:tc>
        <w:tc>
          <w:tcPr>
            <w:tcW w:w="9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66" w:right="84"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714" w:hRule="exact"/>
        </w:trPr>
        <w:tc>
          <w:tcPr>
            <w:tcW w:w="1977" w:type="dxa"/>
            <w:vMerge/>
            <w:tcBorders>
              <w:left w:val="single" w:sz="4" w:space="0" w:color="000000"/>
              <w:bottom w:val="single" w:sz="4" w:space="0" w:color="000000"/>
              <w:right w:val="single" w:sz="4" w:space="0" w:color="000000"/>
            </w:tcBorders>
            <w:shd w:val="clear" w:color="auto" w:fill="D2D2D2"/>
          </w:tcPr>
          <w:p>
            <w:pP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3" w:right="43"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3" w:right="42" w:hanging="181"/>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0" w:right="89"/>
              <w:jc w:val="left"/>
              <w:rPr>
                <w:rFonts w:ascii="宋体" w:hAnsi="宋体" w:cs="宋体" w:eastAsia="宋体" w:hint="default"/>
                <w:sz w:val="18"/>
                <w:szCs w:val="18"/>
              </w:rPr>
            </w:pPr>
            <w:r>
              <w:rPr>
                <w:rFonts w:ascii="宋体" w:hAnsi="宋体" w:cs="宋体" w:eastAsia="宋体" w:hint="default"/>
                <w:sz w:val="18"/>
                <w:szCs w:val="18"/>
              </w:rPr>
              <w:t>期 初</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3" w:right="43"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3" w:right="43"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9" w:right="88"/>
              <w:jc w:val="left"/>
              <w:rPr>
                <w:rFonts w:ascii="宋体" w:hAnsi="宋体" w:cs="宋体" w:eastAsia="宋体" w:hint="default"/>
                <w:sz w:val="18"/>
                <w:szCs w:val="18"/>
              </w:rPr>
            </w:pPr>
            <w:r>
              <w:rPr>
                <w:rFonts w:ascii="宋体" w:hAnsi="宋体" w:cs="宋体" w:eastAsia="宋体" w:hint="default"/>
                <w:sz w:val="18"/>
                <w:szCs w:val="18"/>
              </w:rPr>
              <w:t>期 末</w:t>
            </w:r>
          </w:p>
        </w:tc>
        <w:tc>
          <w:tcPr>
            <w:tcW w:w="1514" w:type="dxa"/>
            <w:vMerge/>
            <w:tcBorders>
              <w:left w:val="single" w:sz="4" w:space="0" w:color="000000"/>
              <w:bottom w:val="single" w:sz="4" w:space="0" w:color="000000"/>
              <w:right w:val="single" w:sz="4" w:space="0" w:color="000000"/>
            </w:tcBorders>
            <w:shd w:val="clear" w:color="auto" w:fill="D2D2D2"/>
          </w:tcPr>
          <w:p>
            <w:pPr/>
          </w:p>
        </w:tc>
        <w:tc>
          <w:tcPr>
            <w:tcW w:w="902"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深圳市惟新科技股份有 限公司</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4,998,002.94</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4,998,002.94</w:t>
            </w:r>
          </w:p>
        </w:tc>
        <w:tc>
          <w:tcPr>
            <w:tcW w:w="37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7.79%</w:t>
            </w:r>
          </w:p>
        </w:tc>
        <w:tc>
          <w:tcPr>
            <w:tcW w:w="9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广州数说故事信息科技 有限公司</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2,000,000.00</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2,000,000.00</w:t>
            </w:r>
          </w:p>
        </w:tc>
        <w:tc>
          <w:tcPr>
            <w:tcW w:w="37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9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6,998,002.94</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6,998,002.94</w:t>
            </w:r>
          </w:p>
        </w:tc>
        <w:tc>
          <w:tcPr>
            <w:tcW w:w="37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9" w:space="0" w:color="D2D2D2"/>
            </w:tcBorders>
          </w:tcPr>
          <w:p>
            <w:pPr/>
          </w:p>
        </w:tc>
        <w:tc>
          <w:tcPr>
            <w:tcW w:w="1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both"/>
        <w:rPr>
          <w:b w:val="0"/>
          <w:bCs w:val="0"/>
        </w:rPr>
      </w:pPr>
      <w:bookmarkStart w:name="（3）其他说明" w:id="253"/>
      <w:bookmarkEnd w:id="253"/>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58"/>
        <w:jc w:val="both"/>
      </w:pPr>
      <w:r>
        <w:rPr/>
        <w:t>①公司与深圳市惟新科技股份有限公司（以下简称</w:t>
      </w:r>
      <w:r>
        <w:rPr>
          <w:rFonts w:ascii="Times New Roman" w:hAnsi="Times New Roman" w:cs="Times New Roman" w:eastAsia="Times New Roman" w:hint="default"/>
        </w:rPr>
        <w:t>“</w:t>
      </w:r>
      <w:r>
        <w:rPr/>
        <w:t>惟新科技</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日签订了股份认购协议，以现金方式认购惟 新科技</w:t>
      </w:r>
      <w:r>
        <w:rPr>
          <w:rFonts w:ascii="Times New Roman" w:hAnsi="Times New Roman" w:cs="Times New Roman" w:eastAsia="Times New Roman" w:hint="default"/>
        </w:rPr>
        <w:t>1,133,334</w:t>
      </w:r>
      <w:r>
        <w:rPr/>
        <w:t>股，认购价格为</w:t>
      </w:r>
      <w:r>
        <w:rPr>
          <w:rFonts w:ascii="Times New Roman" w:hAnsi="Times New Roman" w:cs="Times New Roman" w:eastAsia="Times New Roman" w:hint="default"/>
        </w:rPr>
        <w:t>4.41</w:t>
      </w:r>
      <w:r>
        <w:rPr/>
        <w:t>元人民币每股，共计</w:t>
      </w:r>
      <w:r>
        <w:rPr>
          <w:rFonts w:ascii="Times New Roman" w:hAnsi="Times New Roman" w:cs="Times New Roman" w:eastAsia="Times New Roman" w:hint="default"/>
        </w:rPr>
        <w:t>4,998,002.94</w:t>
      </w:r>
      <w:r>
        <w:rPr/>
        <w:t>元。</w:t>
      </w:r>
    </w:p>
    <w:p>
      <w:pPr>
        <w:pStyle w:val="BodyText"/>
        <w:spacing w:line="300" w:lineRule="auto" w:before="13"/>
        <w:ind w:right="1150"/>
        <w:jc w:val="both"/>
      </w:pPr>
      <w:r>
        <w:rPr/>
        <w:t>②海南久其互联网产业研究院有限公司（以下简称</w:t>
      </w:r>
      <w:r>
        <w:rPr>
          <w:rFonts w:ascii="Times New Roman" w:hAnsi="Times New Roman" w:cs="Times New Roman" w:eastAsia="Times New Roman" w:hint="default"/>
        </w:rPr>
        <w:t>“</w:t>
      </w:r>
      <w:r>
        <w:rPr/>
        <w:t>研究院</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日与互动派科技股份有限公司、徐亚波、广州 数说邦投资合伙企业（有限合伙）、广州数盈投资合伙企业（有限合伙）及广州数说故事信息科技有限公司（以下简称</w:t>
      </w:r>
      <w:r>
        <w:rPr>
          <w:rFonts w:ascii="Times New Roman" w:hAnsi="Times New Roman" w:cs="Times New Roman" w:eastAsia="Times New Roman" w:hint="default"/>
        </w:rPr>
        <w:t>“</w:t>
      </w:r>
      <w:r>
        <w:rPr/>
        <w:t>数 说故事</w:t>
      </w:r>
      <w:r>
        <w:rPr>
          <w:rFonts w:ascii="Times New Roman" w:hAnsi="Times New Roman" w:cs="Times New Roman" w:eastAsia="Times New Roman" w:hint="default"/>
        </w:rPr>
        <w:t>”</w:t>
      </w:r>
      <w:r>
        <w:rPr/>
        <w:t>）共同签订了投资协议，协议约定研究院向数说故事增资</w:t>
      </w:r>
      <w:r>
        <w:rPr>
          <w:rFonts w:ascii="Times New Roman" w:hAnsi="Times New Roman" w:cs="Times New Roman" w:eastAsia="Times New Roman" w:hint="default"/>
        </w:rPr>
        <w:t>2,000,000.00</w:t>
      </w:r>
      <w:r>
        <w:rPr/>
        <w:t>元，取得数说故事</w:t>
      </w:r>
      <w:r>
        <w:rPr>
          <w:rFonts w:ascii="Times New Roman" w:hAnsi="Times New Roman" w:cs="Times New Roman" w:eastAsia="Times New Roman" w:hint="default"/>
        </w:rPr>
        <w:t>1.00%</w:t>
      </w:r>
      <w:r>
        <w:rPr/>
        <w:t>的股权。</w:t>
      </w:r>
    </w:p>
    <w:p>
      <w:pPr>
        <w:spacing w:after="0" w:line="300" w:lineRule="auto"/>
        <w:jc w:val="both"/>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9、长期股权投资" w:id="254"/>
      <w:bookmarkEnd w:id="254"/>
      <w:r>
        <w:rPr>
          <w:b w:val="0"/>
          <w:bCs w:val="0"/>
        </w:rPr>
      </w:r>
      <w:r>
        <w:rPr>
          <w:rFonts w:ascii="Times New Roman" w:hAnsi="Times New Roman" w:cs="Times New Roman" w:eastAsia="Times New Roman" w:hint="default"/>
        </w:rPr>
        <w:t>9</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133"/>
        <w:gridCol w:w="1184"/>
        <w:gridCol w:w="371"/>
        <w:gridCol w:w="1003"/>
        <w:gridCol w:w="1260"/>
        <w:gridCol w:w="550"/>
        <w:gridCol w:w="458"/>
        <w:gridCol w:w="1260"/>
        <w:gridCol w:w="460"/>
        <w:gridCol w:w="281"/>
        <w:gridCol w:w="1186"/>
        <w:gridCol w:w="548"/>
      </w:tblGrid>
      <w:tr>
        <w:trPr>
          <w:trHeight w:val="402" w:hRule="exact"/>
        </w:trPr>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64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5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88" w:right="89"/>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1337" w:hRule="exact"/>
        </w:trPr>
        <w:tc>
          <w:tcPr>
            <w:tcW w:w="1133"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89"/>
              <w:jc w:val="both"/>
              <w:rPr>
                <w:rFonts w:ascii="宋体" w:hAnsi="宋体" w:cs="宋体" w:eastAsia="宋体" w:hint="default"/>
                <w:sz w:val="18"/>
                <w:szCs w:val="18"/>
              </w:rPr>
            </w:pPr>
            <w:r>
              <w:rPr>
                <w:rFonts w:ascii="宋体" w:hAnsi="宋体" w:cs="宋体" w:eastAsia="宋体" w:hint="default"/>
                <w:sz w:val="18"/>
                <w:szCs w:val="18"/>
              </w:rPr>
              <w:t>追 加 投 资</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减少投资</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75" w:right="83" w:hanging="90"/>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9" w:right="89"/>
              <w:jc w:val="both"/>
              <w:rPr>
                <w:rFonts w:ascii="宋体" w:hAnsi="宋体" w:cs="宋体" w:eastAsia="宋体" w:hint="default"/>
                <w:sz w:val="18"/>
                <w:szCs w:val="18"/>
              </w:rPr>
            </w:pPr>
            <w:r>
              <w:rPr>
                <w:rFonts w:ascii="宋体" w:hAnsi="宋体" w:cs="宋体" w:eastAsia="宋体" w:hint="default"/>
                <w:sz w:val="18"/>
                <w:szCs w:val="18"/>
              </w:rPr>
              <w:t>其他 综合 收益 调整</w:t>
            </w:r>
          </w:p>
        </w:tc>
        <w:tc>
          <w:tcPr>
            <w:tcW w:w="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4" w:right="42"/>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75" w:right="83" w:hanging="90"/>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5" w:right="42"/>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5" w:right="43"/>
              <w:jc w:val="left"/>
              <w:rPr>
                <w:rFonts w:ascii="宋体" w:hAnsi="宋体" w:cs="宋体" w:eastAsia="宋体" w:hint="default"/>
                <w:sz w:val="18"/>
                <w:szCs w:val="18"/>
              </w:rPr>
            </w:pPr>
            <w:r>
              <w:rPr>
                <w:rFonts w:ascii="宋体" w:hAnsi="宋体" w:cs="宋体" w:eastAsia="宋体" w:hint="default"/>
                <w:sz w:val="18"/>
                <w:szCs w:val="18"/>
              </w:rPr>
              <w:t>其 他</w:t>
            </w:r>
          </w:p>
        </w:tc>
        <w:tc>
          <w:tcPr>
            <w:tcW w:w="1186" w:type="dxa"/>
            <w:vMerge/>
            <w:tcBorders>
              <w:left w:val="single" w:sz="4" w:space="0" w:color="000000"/>
              <w:bottom w:val="single" w:sz="4" w:space="0" w:color="000000"/>
              <w:right w:val="single" w:sz="4" w:space="0" w:color="000000"/>
            </w:tcBorders>
            <w:shd w:val="clear" w:color="auto" w:fill="D2D2D2"/>
          </w:tcPr>
          <w:p>
            <w:pPr/>
          </w:p>
        </w:tc>
        <w:tc>
          <w:tcPr>
            <w:tcW w:w="5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69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714"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同望科技股 份有限公司</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59,800,172.08</w:t>
            </w:r>
          </w:p>
        </w:tc>
        <w:tc>
          <w:tcPr>
            <w:tcW w:w="37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1,069,978.99</w:t>
            </w:r>
          </w:p>
        </w:tc>
        <w:tc>
          <w:tcPr>
            <w:tcW w:w="550"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1,350,090.00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59,520,061.07</w:t>
            </w:r>
          </w:p>
        </w:tc>
        <w:tc>
          <w:tcPr>
            <w:tcW w:w="5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both"/>
              <w:rPr>
                <w:rFonts w:ascii="宋体" w:hAnsi="宋体" w:cs="宋体" w:eastAsia="宋体" w:hint="default"/>
                <w:sz w:val="18"/>
                <w:szCs w:val="18"/>
              </w:rPr>
            </w:pPr>
            <w:r>
              <w:rPr>
                <w:rFonts w:ascii="宋体" w:hAnsi="宋体" w:cs="宋体" w:eastAsia="宋体" w:hint="default"/>
                <w:sz w:val="18"/>
                <w:szCs w:val="18"/>
              </w:rPr>
              <w:t>北京信诺软 通信息技术 有限公司</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3,588,063.63</w:t>
            </w:r>
          </w:p>
        </w:tc>
        <w:tc>
          <w:tcPr>
            <w:tcW w:w="37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3,795,490.06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207,426.43</w:t>
            </w:r>
          </w:p>
        </w:tc>
        <w:tc>
          <w:tcPr>
            <w:tcW w:w="550"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深圳前海数 聚成长投资 中心（有限合 伙）</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70,269,811.92</w:t>
            </w:r>
          </w:p>
        </w:tc>
        <w:tc>
          <w:tcPr>
            <w:tcW w:w="37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96,628.94</w:t>
            </w:r>
          </w:p>
        </w:tc>
        <w:tc>
          <w:tcPr>
            <w:tcW w:w="550"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70,366,440.86</w:t>
            </w:r>
          </w:p>
        </w:tc>
        <w:tc>
          <w:tcPr>
            <w:tcW w:w="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133,658,047.63</w:t>
            </w:r>
          </w:p>
        </w:tc>
        <w:tc>
          <w:tcPr>
            <w:tcW w:w="37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3,795,490.06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1,374,034.36</w:t>
            </w:r>
          </w:p>
        </w:tc>
        <w:tc>
          <w:tcPr>
            <w:tcW w:w="550"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1,350,090.00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129,886,501.93</w:t>
            </w:r>
          </w:p>
        </w:tc>
        <w:tc>
          <w:tcPr>
            <w:tcW w:w="54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133,658,047.63</w:t>
            </w:r>
          </w:p>
        </w:tc>
        <w:tc>
          <w:tcPr>
            <w:tcW w:w="37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3,795,490.06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1,374,034.36</w:t>
            </w:r>
          </w:p>
        </w:tc>
        <w:tc>
          <w:tcPr>
            <w:tcW w:w="550"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1,350,090.00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129,886,501.93</w:t>
            </w:r>
          </w:p>
        </w:tc>
        <w:tc>
          <w:tcPr>
            <w:tcW w:w="54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4947"/>
        <w:jc w:val="left"/>
      </w:pPr>
      <w:r>
        <w:rPr/>
        <w:t>其他说明 公司本期收回对北京信诺软通信息技术有限公司的投资款</w:t>
      </w:r>
      <w:r>
        <w:rPr>
          <w:rFonts w:ascii="Times New Roman" w:hAnsi="Times New Roman" w:cs="Times New Roman" w:eastAsia="Times New Roman" w:hint="default"/>
        </w:rPr>
        <w:t>3,795,490.06</w:t>
      </w:r>
      <w:r>
        <w:rPr/>
        <w:t>元。</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10、投资性房地产" w:id="255"/>
      <w:bookmarkEnd w:id="255"/>
      <w:r>
        <w:rPr>
          <w:b w:val="0"/>
          <w:bCs w:val="0"/>
        </w:rPr>
      </w:r>
      <w:r>
        <w:rPr>
          <w:rFonts w:ascii="Times New Roman" w:hAnsi="Times New Roman" w:cs="Times New Roman" w:eastAsia="Times New Roman" w:hint="default"/>
        </w:rPr>
        <w:t>10</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56"/>
      <w:bookmarkEnd w:id="256"/>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849" w:right="0"/>
              <w:jc w:val="left"/>
              <w:rPr>
                <w:rFonts w:ascii="Times New Roman" w:hAnsi="Times New Roman" w:cs="Times New Roman" w:eastAsia="Times New Roman" w:hint="default"/>
                <w:sz w:val="18"/>
                <w:szCs w:val="18"/>
              </w:rPr>
            </w:pPr>
            <w:r>
              <w:rPr>
                <w:rFonts w:ascii="Times New Roman"/>
                <w:sz w:val="18"/>
              </w:rPr>
              <w:t>35,438,827.01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5" w:right="0"/>
              <w:jc w:val="left"/>
              <w:rPr>
                <w:rFonts w:ascii="Times New Roman" w:hAnsi="Times New Roman" w:cs="Times New Roman" w:eastAsia="Times New Roman" w:hint="default"/>
                <w:sz w:val="18"/>
                <w:szCs w:val="18"/>
              </w:rPr>
            </w:pPr>
            <w:r>
              <w:rPr>
                <w:rFonts w:ascii="Times New Roman"/>
                <w:sz w:val="18"/>
              </w:rPr>
              <w:t>35,438,827.01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4"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35,438,827.01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35,438,827.01</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6"/>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5,983,169.81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5,983,169.81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933,280.92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933,280.92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933,280.92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933,280.92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6,916,450.73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6,916,450.73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28,522,376.28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28,522,376.28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29,455,657.20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29,455,657.20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采用公允价值计量模式的投资性房地产" w:id="257"/>
      <w:bookmarkEnd w:id="257"/>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未办妥产权证书的投资性房地产情况" w:id="258"/>
      <w:bookmarkEnd w:id="258"/>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1、固定资产" w:id="259"/>
      <w:bookmarkEnd w:id="259"/>
      <w:r>
        <w:rPr>
          <w:b w:val="0"/>
          <w:bCs w:val="0"/>
        </w:rPr>
      </w:r>
      <w:r>
        <w:rPr>
          <w:rFonts w:ascii="Times New Roman" w:hAnsi="Times New Roman" w:cs="Times New Roman" w:eastAsia="Times New Roman" w:hint="default"/>
        </w:rPr>
        <w:t>11</w:t>
      </w:r>
      <w:r>
        <w:rPr/>
        <w:t>、固定资产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226,609,647.58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234,522,059.54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226,609,647.58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234,522,059.54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1）固定资产情况" w:id="260"/>
      <w:bookmarkEnd w:id="260"/>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520"/>
        <w:gridCol w:w="1529"/>
        <w:gridCol w:w="1411"/>
        <w:gridCol w:w="1411"/>
        <w:gridCol w:w="1295"/>
        <w:gridCol w:w="1528"/>
      </w:tblGrid>
      <w:tr>
        <w:trPr>
          <w:trHeight w:val="402" w:hRule="exact"/>
        </w:trPr>
        <w:tc>
          <w:tcPr>
            <w:tcW w:w="25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3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3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2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8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234,728,255.25</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19,528,288.42</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58,826,199.18</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5,403,527.54</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318,486,270.39</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3,388,836.18</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1,845,149.29</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13,671,090.02</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415,087.16</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19,320,162.65</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3,388,836.18</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1,845,149.29</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13,671,090.02</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415,087.16</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19,320,162.65</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9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9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1,633,665.00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4,758,351.00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358,000.25</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6,750,016.25</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1,633,665.00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4,758,351.00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358,000.25</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6,750,016.25</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238,117,091.43</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19,739,772.71</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67,738,938.20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5,460,614.45</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331,056,416.79</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40,812,347.03</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10,401,846.47</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29,383,269.49</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3,366,747.86</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83,964,210.85</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6,139,294.53</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1,787,918.55</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10,548,562.20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740,685.97</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19,216,461.25</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6,139,294.53</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1,787,918.55</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10,548,562.20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740,685.97</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19,216,461.25</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1,551,981.75</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2,756,904.96</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257,917.27</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4,566,803.98</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1,551,981.75</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2,756,904.96</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257,917.27</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4,566,803.98</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46,951,641.56</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10,637,783.27</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37,174,926.73</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3,849,516.56</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98,613,868.12</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5,832,901.09</w:t>
            </w:r>
          </w:p>
        </w:tc>
        <w:tc>
          <w:tcPr>
            <w:tcW w:w="1295"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5,832,901.09</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5,832,901.09</w:t>
            </w:r>
          </w:p>
        </w:tc>
        <w:tc>
          <w:tcPr>
            <w:tcW w:w="1295"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5,832,901.09</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5,832,901.09</w:t>
            </w:r>
          </w:p>
        </w:tc>
        <w:tc>
          <w:tcPr>
            <w:tcW w:w="1295"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5,832,901.09</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191,165,449.87</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9,101,989.44</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24,731,110.38</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1,611,097.89</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226,609,647.58</w:t>
            </w:r>
          </w:p>
        </w:tc>
      </w:tr>
      <w:tr>
        <w:trPr>
          <w:trHeight w:val="403"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193,915,908.22</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9,126,441.95</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29,442,929.69</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2,036,779.68</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234,522,059.54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2、在建工程" w:id="261"/>
      <w:bookmarkEnd w:id="261"/>
      <w:r>
        <w:rPr>
          <w:b w:val="0"/>
          <w:bCs w:val="0"/>
        </w:rPr>
      </w:r>
      <w:r>
        <w:rPr>
          <w:rFonts w:ascii="Times New Roman" w:hAnsi="Times New Roman" w:cs="Times New Roman" w:eastAsia="Times New Roman" w:hint="default"/>
        </w:rPr>
        <w:t>12</w:t>
      </w:r>
      <w:r>
        <w:rPr/>
        <w:t>、在建工程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95"/>
        <w:gridCol w:w="3815"/>
        <w:gridCol w:w="3858"/>
      </w:tblGrid>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1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81,224,640.18</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50,514,159.99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884"/>
        <w:gridCol w:w="3827"/>
        <w:gridCol w:w="3858"/>
      </w:tblGrid>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81,224,640.18</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50,514,159.99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在建工程情况" w:id="262"/>
      <w:bookmarkEnd w:id="262"/>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久其政务研发中 心建设项目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81,224,640.18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81,224,640.18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50,514,159.99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50,514,159.99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88" w:right="0"/>
              <w:jc w:val="left"/>
              <w:rPr>
                <w:rFonts w:ascii="Times New Roman" w:hAnsi="Times New Roman" w:cs="Times New Roman" w:eastAsia="Times New Roman" w:hint="default"/>
                <w:sz w:val="18"/>
                <w:szCs w:val="18"/>
              </w:rPr>
            </w:pPr>
            <w:r>
              <w:rPr>
                <w:rFonts w:ascii="Times New Roman"/>
                <w:sz w:val="18"/>
              </w:rPr>
              <w:t>81,224,640.18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81,224,640.18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50,514,159.99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50,514,159.99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263"/>
      <w:bookmarkEnd w:id="263"/>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59"/>
              <w:jc w:val="both"/>
              <w:rPr>
                <w:rFonts w:ascii="宋体" w:hAnsi="宋体" w:cs="宋体" w:eastAsia="宋体" w:hint="default"/>
                <w:sz w:val="18"/>
                <w:szCs w:val="18"/>
              </w:rPr>
            </w:pPr>
            <w:r>
              <w:rPr>
                <w:rFonts w:ascii="宋体" w:hAnsi="宋体" w:cs="宋体" w:eastAsia="宋体" w:hint="default"/>
                <w:sz w:val="18"/>
                <w:szCs w:val="18"/>
              </w:rPr>
              <w:t>久其政 务研发 中心建 设项目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295,802,</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317.45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50,514,1</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59.99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30,710,4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80.19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81,224,6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40.18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27.46%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61"/>
              <w:jc w:val="left"/>
              <w:rPr>
                <w:rFonts w:ascii="宋体" w:hAnsi="宋体" w:cs="宋体" w:eastAsia="宋体" w:hint="default"/>
                <w:sz w:val="18"/>
                <w:szCs w:val="18"/>
              </w:rPr>
            </w:pPr>
            <w:r>
              <w:rPr>
                <w:rFonts w:ascii="宋体" w:hAnsi="宋体" w:cs="宋体" w:eastAsia="宋体" w:hint="default"/>
                <w:sz w:val="18"/>
                <w:szCs w:val="18"/>
              </w:rPr>
              <w:t>募集资 金</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295,802,</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317.45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50,514,1</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59.99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30,710,4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80.19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81,224,6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40.18</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3、无形资产" w:id="264"/>
      <w:bookmarkEnd w:id="264"/>
      <w:r>
        <w:rPr>
          <w:b w:val="0"/>
          <w:bCs w:val="0"/>
        </w:rPr>
      </w:r>
      <w:r>
        <w:rPr>
          <w:rFonts w:ascii="Times New Roman" w:hAnsi="Times New Roman" w:cs="Times New Roman" w:eastAsia="Times New Roman" w:hint="default"/>
        </w:rPr>
        <w:t>13</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65"/>
      <w:bookmarkEnd w:id="265"/>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2130"/>
        <w:gridCol w:w="1118"/>
        <w:gridCol w:w="876"/>
        <w:gridCol w:w="966"/>
        <w:gridCol w:w="1105"/>
        <w:gridCol w:w="1188"/>
        <w:gridCol w:w="1105"/>
        <w:gridCol w:w="1194"/>
      </w:tblGrid>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18" w:type="dxa"/>
            <w:tcBorders>
              <w:top w:val="single" w:sz="4" w:space="0" w:color="000000"/>
              <w:left w:val="single" w:sz="4" w:space="0" w:color="000000"/>
              <w:bottom w:val="single" w:sz="4" w:space="0" w:color="000000"/>
              <w:right w:val="single" w:sz="9" w:space="0" w:color="D9D9D9"/>
            </w:tcBorders>
            <w:shd w:val="clear" w:color="auto" w:fill="D2D2D2"/>
          </w:tcPr>
          <w:p>
            <w:pPr>
              <w:pStyle w:val="TableParagraph"/>
              <w:spacing w:line="240" w:lineRule="auto" w:before="52"/>
              <w:ind w:left="15"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876" w:type="dxa"/>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52"/>
              <w:ind w:right="12"/>
              <w:jc w:val="center"/>
              <w:rPr>
                <w:rFonts w:ascii="宋体" w:hAnsi="宋体" w:cs="宋体" w:eastAsia="宋体" w:hint="default"/>
                <w:sz w:val="18"/>
                <w:szCs w:val="18"/>
              </w:rPr>
            </w:pPr>
            <w:r>
              <w:rPr>
                <w:rFonts w:ascii="宋体" w:hAnsi="宋体" w:cs="宋体" w:eastAsia="宋体" w:hint="default"/>
                <w:sz w:val="18"/>
                <w:szCs w:val="18"/>
              </w:rPr>
              <w:t>专利权</w:t>
            </w:r>
          </w:p>
        </w:tc>
        <w:tc>
          <w:tcPr>
            <w:tcW w:w="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外购软件</w:t>
            </w:r>
          </w:p>
        </w:tc>
        <w:tc>
          <w:tcPr>
            <w:tcW w:w="1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自主研发</w:t>
            </w:r>
          </w:p>
        </w:tc>
        <w:tc>
          <w:tcPr>
            <w:tcW w:w="1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18" w:type="dxa"/>
            <w:tcBorders>
              <w:top w:val="single" w:sz="4" w:space="0" w:color="000000"/>
              <w:left w:val="single" w:sz="13" w:space="0" w:color="D2D2D2"/>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21,307,433.90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400,000.00</w:t>
            </w:r>
          </w:p>
        </w:tc>
        <w:tc>
          <w:tcPr>
            <w:tcW w:w="966"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 w:right="0"/>
              <w:jc w:val="center"/>
              <w:rPr>
                <w:rFonts w:ascii="Times New Roman" w:hAnsi="Times New Roman" w:cs="Times New Roman" w:eastAsia="Times New Roman" w:hint="default"/>
                <w:sz w:val="18"/>
                <w:szCs w:val="18"/>
              </w:rPr>
            </w:pPr>
            <w:r>
              <w:rPr>
                <w:rFonts w:ascii="Times New Roman"/>
                <w:sz w:val="18"/>
              </w:rPr>
              <w:t>29,932,540.49</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114,332,740.47</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36,824,000.00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202,796,714.86</w:t>
            </w: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18" w:type="dxa"/>
            <w:tcBorders>
              <w:top w:val="single" w:sz="4" w:space="0" w:color="000000"/>
              <w:left w:val="single" w:sz="13" w:space="0" w:color="D2D2D2"/>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 w:right="0"/>
              <w:jc w:val="center"/>
              <w:rPr>
                <w:rFonts w:ascii="Times New Roman" w:hAnsi="Times New Roman" w:cs="Times New Roman" w:eastAsia="Times New Roman" w:hint="default"/>
                <w:sz w:val="18"/>
                <w:szCs w:val="18"/>
              </w:rPr>
            </w:pPr>
            <w:r>
              <w:rPr>
                <w:rFonts w:ascii="Times New Roman"/>
                <w:sz w:val="18"/>
              </w:rPr>
              <w:t>12,983,259.36</w:t>
            </w:r>
          </w:p>
        </w:tc>
        <w:tc>
          <w:tcPr>
            <w:tcW w:w="118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12,983,259.36</w:t>
            </w: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18" w:type="dxa"/>
            <w:tcBorders>
              <w:top w:val="single" w:sz="4" w:space="0" w:color="000000"/>
              <w:left w:val="single" w:sz="13" w:space="0" w:color="D2D2D2"/>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 w:right="0"/>
              <w:jc w:val="center"/>
              <w:rPr>
                <w:rFonts w:ascii="Times New Roman" w:hAnsi="Times New Roman" w:cs="Times New Roman" w:eastAsia="Times New Roman" w:hint="default"/>
                <w:sz w:val="18"/>
                <w:szCs w:val="18"/>
              </w:rPr>
            </w:pPr>
            <w:r>
              <w:rPr>
                <w:rFonts w:ascii="Times New Roman"/>
                <w:sz w:val="18"/>
              </w:rPr>
              <w:t>12,983,259.36</w:t>
            </w:r>
          </w:p>
        </w:tc>
        <w:tc>
          <w:tcPr>
            <w:tcW w:w="118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12,983,259.36</w:t>
            </w: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118" w:type="dxa"/>
            <w:tcBorders>
              <w:top w:val="single" w:sz="4" w:space="0" w:color="000000"/>
              <w:left w:val="single" w:sz="13" w:space="0" w:color="D2D2D2"/>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18" w:type="dxa"/>
            <w:tcBorders>
              <w:top w:val="single" w:sz="4" w:space="0" w:color="000000"/>
              <w:left w:val="single" w:sz="13" w:space="0" w:color="D2D2D2"/>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18" w:type="dxa"/>
            <w:tcBorders>
              <w:top w:val="single" w:sz="4" w:space="0" w:color="000000"/>
              <w:left w:val="single" w:sz="13" w:space="0" w:color="D2D2D2"/>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33" w:type="dxa"/>
        <w:tblLayout w:type="fixed"/>
        <w:tblCellMar>
          <w:top w:w="0" w:type="dxa"/>
          <w:left w:w="0" w:type="dxa"/>
          <w:bottom w:w="0" w:type="dxa"/>
          <w:right w:w="0" w:type="dxa"/>
        </w:tblCellMar>
        <w:tblLook w:val="01E0"/>
      </w:tblPr>
      <w:tblGrid>
        <w:gridCol w:w="2130"/>
        <w:gridCol w:w="1118"/>
        <w:gridCol w:w="876"/>
        <w:gridCol w:w="966"/>
        <w:gridCol w:w="1105"/>
        <w:gridCol w:w="1188"/>
        <w:gridCol w:w="1105"/>
        <w:gridCol w:w="1194"/>
      </w:tblGrid>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18" w:type="dxa"/>
            <w:tcBorders>
              <w:top w:val="single" w:sz="4" w:space="0" w:color="000000"/>
              <w:left w:val="single" w:sz="4" w:space="0" w:color="000000"/>
              <w:bottom w:val="single" w:sz="4" w:space="0" w:color="000000"/>
              <w:right w:val="single" w:sz="9" w:space="0" w:color="D9D9D9"/>
            </w:tcBorders>
            <w:shd w:val="clear" w:color="auto" w:fill="D2D2D2"/>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876" w:type="dxa"/>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专利权</w:t>
            </w:r>
          </w:p>
        </w:tc>
        <w:tc>
          <w:tcPr>
            <w:tcW w:w="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外购软件</w:t>
            </w:r>
          </w:p>
        </w:tc>
        <w:tc>
          <w:tcPr>
            <w:tcW w:w="1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18" w:type="dxa"/>
            <w:tcBorders>
              <w:top w:val="single" w:sz="4" w:space="0" w:color="000000"/>
              <w:left w:val="single" w:sz="13" w:space="0" w:color="D2D2D2"/>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21,307,433.90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400,000.00</w:t>
            </w:r>
          </w:p>
        </w:tc>
        <w:tc>
          <w:tcPr>
            <w:tcW w:w="966"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42,915,799.85</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114,332,740.47</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36,824,000.00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215,779,974.22</w:t>
            </w: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118" w:type="dxa"/>
            <w:tcBorders>
              <w:top w:val="single" w:sz="4" w:space="0" w:color="000000"/>
              <w:left w:val="single" w:sz="13" w:space="0" w:color="D2D2D2"/>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1,986,072.40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400,000.00</w:t>
            </w:r>
          </w:p>
        </w:tc>
        <w:tc>
          <w:tcPr>
            <w:tcW w:w="966"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16,496,085.71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49,003,705.13</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12,135,799.92</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80,021,663.16</w:t>
            </w: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1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430,502.16</w:t>
            </w:r>
          </w:p>
        </w:tc>
        <w:tc>
          <w:tcPr>
            <w:tcW w:w="87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7,584,867.87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6,837,770.40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5,304,399.96</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20,157,540.39</w:t>
            </w: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430,502.16</w:t>
            </w:r>
          </w:p>
        </w:tc>
        <w:tc>
          <w:tcPr>
            <w:tcW w:w="87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7,584,867.87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6,837,770.40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5,304,399.96</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20,157,540.39</w:t>
            </w: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118" w:type="dxa"/>
            <w:tcBorders>
              <w:top w:val="single" w:sz="4" w:space="0" w:color="000000"/>
              <w:left w:val="single" w:sz="13" w:space="0" w:color="D2D2D2"/>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18" w:type="dxa"/>
            <w:tcBorders>
              <w:top w:val="single" w:sz="4" w:space="0" w:color="000000"/>
              <w:left w:val="single" w:sz="13" w:space="0" w:color="D2D2D2"/>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2,416,574.56</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400,000.00</w:t>
            </w:r>
          </w:p>
        </w:tc>
        <w:tc>
          <w:tcPr>
            <w:tcW w:w="966"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24,080,953.58</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55,841,475.53</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17,440,199.88</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100,179,203.55</w:t>
            </w: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18" w:type="dxa"/>
            <w:tcBorders>
              <w:top w:val="single" w:sz="4" w:space="0" w:color="000000"/>
              <w:left w:val="single" w:sz="13" w:space="0" w:color="D2D2D2"/>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18" w:type="dxa"/>
            <w:tcBorders>
              <w:top w:val="single" w:sz="4" w:space="0" w:color="000000"/>
              <w:left w:val="single" w:sz="13" w:space="0" w:color="D2D2D2"/>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118" w:type="dxa"/>
            <w:tcBorders>
              <w:top w:val="single" w:sz="4" w:space="0" w:color="000000"/>
              <w:left w:val="single" w:sz="13" w:space="0" w:color="D2D2D2"/>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16,139,800.00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16,139,800.00</w:t>
            </w: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18" w:type="dxa"/>
            <w:tcBorders>
              <w:top w:val="single" w:sz="4" w:space="0" w:color="000000"/>
              <w:left w:val="single" w:sz="13" w:space="0" w:color="D2D2D2"/>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16,139,800.00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16,139,800.00</w:t>
            </w: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118" w:type="dxa"/>
            <w:tcBorders>
              <w:top w:val="single" w:sz="4" w:space="0" w:color="000000"/>
              <w:left w:val="single" w:sz="13" w:space="0" w:color="D2D2D2"/>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18" w:type="dxa"/>
            <w:tcBorders>
              <w:top w:val="single" w:sz="4" w:space="0" w:color="000000"/>
              <w:left w:val="single" w:sz="13" w:space="0" w:color="D2D2D2"/>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18" w:type="dxa"/>
            <w:tcBorders>
              <w:top w:val="single" w:sz="4" w:space="0" w:color="000000"/>
              <w:left w:val="single" w:sz="13" w:space="0" w:color="D2D2D2"/>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16,139,800.00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16,139,800.00</w:t>
            </w: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18" w:type="dxa"/>
            <w:tcBorders>
              <w:top w:val="single" w:sz="4" w:space="0" w:color="000000"/>
              <w:left w:val="single" w:sz="13" w:space="0" w:color="D2D2D2"/>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1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18,890,859.34</w:t>
            </w:r>
          </w:p>
        </w:tc>
        <w:tc>
          <w:tcPr>
            <w:tcW w:w="87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18,834,846.27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58,491,264.94</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3,244,000.12</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99,460,970.67</w:t>
            </w: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1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19,321,361.50</w:t>
            </w:r>
          </w:p>
        </w:tc>
        <w:tc>
          <w:tcPr>
            <w:tcW w:w="87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13,436,454.78</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65,329,035.34</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24,688,200.08</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122,775,051.70</w:t>
            </w:r>
          </w:p>
        </w:tc>
      </w:tr>
    </w:tbl>
    <w:p>
      <w:pPr>
        <w:pStyle w:val="BodyText"/>
        <w:spacing w:line="240" w:lineRule="auto" w:before="51"/>
        <w:ind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50.60%</w:t>
      </w:r>
      <w:r>
        <w:rPr/>
        <w:t>。</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4、开发支出" w:id="266"/>
      <w:bookmarkEnd w:id="266"/>
      <w:r>
        <w:rPr>
          <w:b w:val="0"/>
          <w:bCs w:val="0"/>
        </w:rPr>
      </w:r>
      <w:r>
        <w:rPr>
          <w:rFonts w:ascii="Times New Roman" w:hAnsi="Times New Roman" w:cs="Times New Roman" w:eastAsia="Times New Roman" w:hint="default"/>
        </w:rPr>
        <w:t>14</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2925"/>
        <w:gridCol w:w="881"/>
        <w:gridCol w:w="1342"/>
        <w:gridCol w:w="473"/>
        <w:gridCol w:w="1496"/>
        <w:gridCol w:w="1342"/>
        <w:gridCol w:w="1237"/>
      </w:tblGrid>
      <w:tr>
        <w:trPr>
          <w:trHeight w:val="402" w:hRule="exact"/>
        </w:trPr>
        <w:tc>
          <w:tcPr>
            <w:tcW w:w="29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8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925" w:type="dxa"/>
            <w:vMerge/>
            <w:tcBorders>
              <w:left w:val="single" w:sz="4" w:space="0" w:color="000000"/>
              <w:bottom w:val="single" w:sz="4" w:space="0" w:color="000000"/>
              <w:right w:val="single" w:sz="4" w:space="0" w:color="000000"/>
            </w:tcBorders>
            <w:shd w:val="clear" w:color="auto" w:fill="D2D2D2"/>
          </w:tcPr>
          <w:p>
            <w:pPr/>
          </w:p>
        </w:tc>
        <w:tc>
          <w:tcPr>
            <w:tcW w:w="881" w:type="dxa"/>
            <w:vMerge/>
            <w:tcBorders>
              <w:left w:val="single" w:sz="4" w:space="0" w:color="000000"/>
              <w:bottom w:val="single" w:sz="4" w:space="0" w:color="000000"/>
              <w:right w:val="single" w:sz="4" w:space="0" w:color="000000"/>
            </w:tcBorders>
            <w:shd w:val="clear" w:color="auto" w:fill="D2D2D2"/>
          </w:tcPr>
          <w:p>
            <w:pP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6"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23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下一代集团管控平台</w:t>
            </w:r>
          </w:p>
        </w:tc>
        <w:tc>
          <w:tcPr>
            <w:tcW w:w="8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85,069,146.82</w:t>
            </w:r>
          </w:p>
        </w:tc>
        <w:tc>
          <w:tcPr>
            <w:tcW w:w="473"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85,069,146.82</w:t>
            </w:r>
          </w:p>
        </w:tc>
        <w:tc>
          <w:tcPr>
            <w:tcW w:w="12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政企大数据平台</w:t>
            </w:r>
          </w:p>
        </w:tc>
        <w:tc>
          <w:tcPr>
            <w:tcW w:w="8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51,473,403.23</w:t>
            </w:r>
          </w:p>
        </w:tc>
        <w:tc>
          <w:tcPr>
            <w:tcW w:w="473"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51,473,403.23</w:t>
            </w:r>
          </w:p>
        </w:tc>
        <w:tc>
          <w:tcPr>
            <w:tcW w:w="12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久其国资监管平台</w:t>
            </w:r>
          </w:p>
        </w:tc>
        <w:tc>
          <w:tcPr>
            <w:tcW w:w="8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16,026,424.23</w:t>
            </w:r>
          </w:p>
        </w:tc>
        <w:tc>
          <w:tcPr>
            <w:tcW w:w="473"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16,026,424.23</w:t>
            </w:r>
          </w:p>
        </w:tc>
      </w:tr>
      <w:tr>
        <w:trPr>
          <w:trHeight w:val="402" w:hRule="exact"/>
        </w:trPr>
        <w:tc>
          <w:tcPr>
            <w:tcW w:w="29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面向大数据的电子政务应用平台</w:t>
            </w:r>
          </w:p>
        </w:tc>
        <w:tc>
          <w:tcPr>
            <w:tcW w:w="8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12,451,142.83</w:t>
            </w:r>
          </w:p>
        </w:tc>
        <w:tc>
          <w:tcPr>
            <w:tcW w:w="473"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12,451,142.83</w:t>
            </w:r>
          </w:p>
        </w:tc>
        <w:tc>
          <w:tcPr>
            <w:tcW w:w="12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久其资产管理应用</w:t>
            </w:r>
          </w:p>
        </w:tc>
        <w:tc>
          <w:tcPr>
            <w:tcW w:w="8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2,336,223.23</w:t>
            </w:r>
          </w:p>
        </w:tc>
        <w:tc>
          <w:tcPr>
            <w:tcW w:w="473"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2,336,223.23</w:t>
            </w:r>
          </w:p>
        </w:tc>
        <w:tc>
          <w:tcPr>
            <w:tcW w:w="12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新一代资产管理平台</w:t>
            </w:r>
          </w:p>
        </w:tc>
        <w:tc>
          <w:tcPr>
            <w:tcW w:w="8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769,947.23</w:t>
            </w:r>
          </w:p>
        </w:tc>
        <w:tc>
          <w:tcPr>
            <w:tcW w:w="473"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769,947.23</w:t>
            </w:r>
          </w:p>
        </w:tc>
        <w:tc>
          <w:tcPr>
            <w:tcW w:w="12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外商投资企业财政登记系统项目</w:t>
            </w:r>
          </w:p>
        </w:tc>
        <w:tc>
          <w:tcPr>
            <w:tcW w:w="8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629,440.45</w:t>
            </w:r>
          </w:p>
        </w:tc>
        <w:tc>
          <w:tcPr>
            <w:tcW w:w="473"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629,440.45</w:t>
            </w:r>
          </w:p>
        </w:tc>
        <w:tc>
          <w:tcPr>
            <w:tcW w:w="12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海南久其大数据处理与分析平台</w:t>
            </w:r>
          </w:p>
        </w:tc>
        <w:tc>
          <w:tcPr>
            <w:tcW w:w="8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1,515,492.83</w:t>
            </w:r>
          </w:p>
        </w:tc>
        <w:tc>
          <w:tcPr>
            <w:tcW w:w="473"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1,515,492.83</w:t>
            </w:r>
          </w:p>
        </w:tc>
        <w:tc>
          <w:tcPr>
            <w:tcW w:w="123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925"/>
        <w:gridCol w:w="881"/>
        <w:gridCol w:w="1342"/>
        <w:gridCol w:w="473"/>
        <w:gridCol w:w="1496"/>
        <w:gridCol w:w="1342"/>
        <w:gridCol w:w="1237"/>
      </w:tblGrid>
      <w:tr>
        <w:trPr>
          <w:trHeight w:val="402" w:hRule="exact"/>
        </w:trPr>
        <w:tc>
          <w:tcPr>
            <w:tcW w:w="29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8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925" w:type="dxa"/>
            <w:vMerge/>
            <w:tcBorders>
              <w:left w:val="single" w:sz="4" w:space="0" w:color="000000"/>
              <w:bottom w:val="single" w:sz="4" w:space="0" w:color="000000"/>
              <w:right w:val="single" w:sz="4" w:space="0" w:color="000000"/>
            </w:tcBorders>
            <w:shd w:val="clear" w:color="auto" w:fill="D2D2D2"/>
          </w:tcPr>
          <w:p>
            <w:pPr/>
          </w:p>
        </w:tc>
        <w:tc>
          <w:tcPr>
            <w:tcW w:w="881" w:type="dxa"/>
            <w:vMerge/>
            <w:tcBorders>
              <w:left w:val="single" w:sz="4" w:space="0" w:color="000000"/>
              <w:bottom w:val="single" w:sz="4" w:space="0" w:color="000000"/>
              <w:right w:val="single" w:sz="4" w:space="0" w:color="000000"/>
            </w:tcBorders>
            <w:shd w:val="clear" w:color="auto" w:fill="D2D2D2"/>
          </w:tcPr>
          <w:p>
            <w:pP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6"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23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久其企业管理云服务平台</w:t>
            </w:r>
          </w:p>
        </w:tc>
        <w:tc>
          <w:tcPr>
            <w:tcW w:w="8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1,492,445.83</w:t>
            </w:r>
          </w:p>
        </w:tc>
        <w:tc>
          <w:tcPr>
            <w:tcW w:w="473"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1,492,445.83</w:t>
            </w:r>
          </w:p>
        </w:tc>
        <w:tc>
          <w:tcPr>
            <w:tcW w:w="12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企业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管理云服务平台</w:t>
            </w:r>
          </w:p>
        </w:tc>
        <w:tc>
          <w:tcPr>
            <w:tcW w:w="8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822,706.43</w:t>
            </w:r>
          </w:p>
        </w:tc>
        <w:tc>
          <w:tcPr>
            <w:tcW w:w="473"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822,706.43</w:t>
            </w:r>
          </w:p>
        </w:tc>
        <w:tc>
          <w:tcPr>
            <w:tcW w:w="12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SaaS</w:t>
            </w:r>
            <w:r>
              <w:rPr>
                <w:rFonts w:ascii="Times New Roman"/>
                <w:spacing w:val="-1"/>
                <w:sz w:val="18"/>
              </w:rPr>
              <w:t> </w:t>
            </w:r>
            <w:r>
              <w:rPr>
                <w:rFonts w:ascii="Times New Roman"/>
                <w:sz w:val="18"/>
              </w:rPr>
              <w:t>OA</w:t>
            </w:r>
          </w:p>
        </w:tc>
        <w:tc>
          <w:tcPr>
            <w:tcW w:w="8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1,140,300.42</w:t>
            </w:r>
          </w:p>
        </w:tc>
        <w:tc>
          <w:tcPr>
            <w:tcW w:w="473"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1,140,300.42</w:t>
            </w:r>
          </w:p>
        </w:tc>
        <w:tc>
          <w:tcPr>
            <w:tcW w:w="12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大数据分析</w:t>
            </w:r>
          </w:p>
        </w:tc>
        <w:tc>
          <w:tcPr>
            <w:tcW w:w="8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232,425.02</w:t>
            </w:r>
          </w:p>
        </w:tc>
        <w:tc>
          <w:tcPr>
            <w:tcW w:w="473"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232,425.02</w:t>
            </w:r>
          </w:p>
        </w:tc>
        <w:tc>
          <w:tcPr>
            <w:tcW w:w="12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媒体营销与个性化推荐平台</w:t>
            </w:r>
          </w:p>
        </w:tc>
        <w:tc>
          <w:tcPr>
            <w:tcW w:w="8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2,580,014.06</w:t>
            </w:r>
          </w:p>
        </w:tc>
        <w:tc>
          <w:tcPr>
            <w:tcW w:w="473"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2,580,014.06</w:t>
            </w:r>
          </w:p>
        </w:tc>
        <w:tc>
          <w:tcPr>
            <w:tcW w:w="12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点入研发平台</w:t>
            </w:r>
          </w:p>
        </w:tc>
        <w:tc>
          <w:tcPr>
            <w:tcW w:w="8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5,273,407.53</w:t>
            </w:r>
          </w:p>
        </w:tc>
        <w:tc>
          <w:tcPr>
            <w:tcW w:w="473"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5,273,407.53</w:t>
            </w:r>
          </w:p>
        </w:tc>
        <w:tc>
          <w:tcPr>
            <w:tcW w:w="12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大数据营销平台</w:t>
            </w:r>
          </w:p>
        </w:tc>
        <w:tc>
          <w:tcPr>
            <w:tcW w:w="8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9,507,048.89</w:t>
            </w:r>
          </w:p>
        </w:tc>
        <w:tc>
          <w:tcPr>
            <w:tcW w:w="473"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9,507,048.89</w:t>
            </w:r>
          </w:p>
        </w:tc>
        <w:tc>
          <w:tcPr>
            <w:tcW w:w="12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法庭云平台</w:t>
            </w:r>
          </w:p>
        </w:tc>
        <w:tc>
          <w:tcPr>
            <w:tcW w:w="8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36,465,177.26</w:t>
            </w:r>
          </w:p>
        </w:tc>
        <w:tc>
          <w:tcPr>
            <w:tcW w:w="473"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36,465,177.26</w:t>
            </w:r>
          </w:p>
        </w:tc>
        <w:tc>
          <w:tcPr>
            <w:tcW w:w="12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华夏信息编解码系统</w:t>
            </w:r>
          </w:p>
        </w:tc>
        <w:tc>
          <w:tcPr>
            <w:tcW w:w="8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3,081,331.50</w:t>
            </w:r>
          </w:p>
        </w:tc>
        <w:tc>
          <w:tcPr>
            <w:tcW w:w="473"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3,081,331.50</w:t>
            </w:r>
          </w:p>
        </w:tc>
        <w:tc>
          <w:tcPr>
            <w:tcW w:w="12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佳能微信微博服务号平台</w:t>
            </w:r>
          </w:p>
        </w:tc>
        <w:tc>
          <w:tcPr>
            <w:tcW w:w="8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733,133.59</w:t>
            </w:r>
          </w:p>
        </w:tc>
        <w:tc>
          <w:tcPr>
            <w:tcW w:w="473"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733,133.59</w:t>
            </w:r>
          </w:p>
        </w:tc>
        <w:tc>
          <w:tcPr>
            <w:tcW w:w="12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互联网应用开发平台</w:t>
            </w:r>
          </w:p>
        </w:tc>
        <w:tc>
          <w:tcPr>
            <w:tcW w:w="8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2,739,506.68</w:t>
            </w:r>
          </w:p>
        </w:tc>
        <w:tc>
          <w:tcPr>
            <w:tcW w:w="473"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2,739,506.68</w:t>
            </w:r>
          </w:p>
        </w:tc>
        <w:tc>
          <w:tcPr>
            <w:tcW w:w="12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移通短彩信消息平台</w:t>
            </w:r>
          </w:p>
        </w:tc>
        <w:tc>
          <w:tcPr>
            <w:tcW w:w="8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422,482.63</w:t>
            </w:r>
          </w:p>
        </w:tc>
        <w:tc>
          <w:tcPr>
            <w:tcW w:w="473"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422,482.63</w:t>
            </w:r>
          </w:p>
        </w:tc>
        <w:tc>
          <w:tcPr>
            <w:tcW w:w="12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随意通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CRM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移动互动平台</w:t>
            </w:r>
          </w:p>
        </w:tc>
        <w:tc>
          <w:tcPr>
            <w:tcW w:w="8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29,682,828.70</w:t>
            </w:r>
          </w:p>
        </w:tc>
        <w:tc>
          <w:tcPr>
            <w:tcW w:w="473"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29,682,828.70</w:t>
            </w:r>
          </w:p>
        </w:tc>
        <w:tc>
          <w:tcPr>
            <w:tcW w:w="12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久其金建企业集团管控系统</w:t>
            </w:r>
          </w:p>
        </w:tc>
        <w:tc>
          <w:tcPr>
            <w:tcW w:w="8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13,389,830.76</w:t>
            </w:r>
          </w:p>
        </w:tc>
        <w:tc>
          <w:tcPr>
            <w:tcW w:w="473"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13,389,830.76</w:t>
            </w:r>
          </w:p>
        </w:tc>
        <w:tc>
          <w:tcPr>
            <w:tcW w:w="12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久其金建大数据平台</w:t>
            </w:r>
          </w:p>
        </w:tc>
        <w:tc>
          <w:tcPr>
            <w:tcW w:w="8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10,812,501.63</w:t>
            </w:r>
          </w:p>
        </w:tc>
        <w:tc>
          <w:tcPr>
            <w:tcW w:w="473"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10,812,501.63</w:t>
            </w:r>
          </w:p>
        </w:tc>
        <w:tc>
          <w:tcPr>
            <w:tcW w:w="12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288,646,361.78</w:t>
            </w:r>
          </w:p>
        </w:tc>
        <w:tc>
          <w:tcPr>
            <w:tcW w:w="473"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272,619,937.55</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16,026,424.23</w:t>
            </w:r>
          </w:p>
        </w:tc>
      </w:tr>
    </w:tbl>
    <w:p>
      <w:pPr>
        <w:pStyle w:val="BodyText"/>
        <w:spacing w:line="357" w:lineRule="auto" w:before="51"/>
        <w:ind w:right="1118"/>
        <w:jc w:val="left"/>
      </w:pPr>
      <w:r>
        <w:rPr/>
        <w:t>其他说明 公司</w:t>
      </w:r>
      <w:r>
        <w:rPr>
          <w:rFonts w:ascii="Times New Roman" w:hAnsi="Times New Roman" w:cs="Times New Roman" w:eastAsia="Times New Roman" w:hint="default"/>
        </w:rPr>
        <w:t>2018</w:t>
      </w:r>
      <w:r>
        <w:rPr/>
        <w:t>年度共发生研究开发支出</w:t>
      </w:r>
      <w:r>
        <w:rPr>
          <w:rFonts w:ascii="Times New Roman" w:hAnsi="Times New Roman" w:cs="Times New Roman" w:eastAsia="Times New Roman" w:hint="default"/>
        </w:rPr>
        <w:t>288,646,361.78</w:t>
      </w:r>
      <w:r>
        <w:rPr/>
        <w:t>元，其中资本化支出</w:t>
      </w:r>
      <w:r>
        <w:rPr>
          <w:rFonts w:ascii="Times New Roman" w:hAnsi="Times New Roman" w:cs="Times New Roman" w:eastAsia="Times New Roman" w:hint="default"/>
        </w:rPr>
        <w:t>16,026,424.23</w:t>
      </w:r>
      <w:r>
        <w:rPr/>
        <w:t>元形成开发支出期末余额，费用化支出</w:t>
      </w:r>
    </w:p>
    <w:p>
      <w:pPr>
        <w:pStyle w:val="BodyText"/>
        <w:spacing w:line="214" w:lineRule="exact"/>
        <w:ind w:right="0"/>
        <w:jc w:val="left"/>
      </w:pPr>
      <w:r>
        <w:rPr>
          <w:rFonts w:ascii="Times New Roman" w:hAnsi="Times New Roman" w:cs="Times New Roman" w:eastAsia="Times New Roman" w:hint="default"/>
        </w:rPr>
        <w:t>272,619,937.55</w:t>
      </w:r>
      <w:r>
        <w:rPr/>
        <w:t>元计入研发费用。本期资本化支出占本期研究开发项目支出总额的比例为</w:t>
      </w:r>
      <w:r>
        <w:rPr>
          <w:rFonts w:ascii="Times New Roman" w:hAnsi="Times New Roman" w:cs="Times New Roman" w:eastAsia="Times New Roman" w:hint="default"/>
        </w:rPr>
        <w:t>5.55%</w:t>
      </w:r>
      <w:r>
        <w:rPr/>
        <w:t>，期末无形资产中通过公司内</w:t>
      </w:r>
    </w:p>
    <w:p>
      <w:pPr>
        <w:pStyle w:val="BodyText"/>
        <w:spacing w:line="240" w:lineRule="auto" w:before="63"/>
        <w:ind w:right="0"/>
        <w:jc w:val="left"/>
      </w:pPr>
      <w:r>
        <w:rPr/>
        <w:t>部研发形成的无形资产占无形资产账面价值的比例</w:t>
      </w:r>
      <w:r>
        <w:rPr>
          <w:rFonts w:ascii="Times New Roman" w:hAnsi="Times New Roman" w:cs="Times New Roman" w:eastAsia="Times New Roman" w:hint="default"/>
        </w:rPr>
        <w:t>50.60%</w:t>
      </w:r>
      <w:r>
        <w:rPr/>
        <w:t>。</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15、商誉" w:id="267"/>
      <w:bookmarkEnd w:id="267"/>
      <w:r>
        <w:rPr>
          <w:b w:val="0"/>
          <w:bCs w:val="0"/>
        </w:rPr>
      </w:r>
      <w:r>
        <w:rPr>
          <w:rFonts w:ascii="Times New Roman" w:hAnsi="Times New Roman" w:cs="Times New Roman" w:eastAsia="Times New Roman" w:hint="default"/>
        </w:rPr>
        <w:t>15</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68"/>
      <w:bookmarkEnd w:id="268"/>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3560"/>
        <w:gridCol w:w="1718"/>
        <w:gridCol w:w="1706"/>
        <w:gridCol w:w="1006"/>
        <w:gridCol w:w="1704"/>
      </w:tblGrid>
      <w:tr>
        <w:trPr>
          <w:trHeight w:val="402" w:hRule="exact"/>
        </w:trPr>
        <w:tc>
          <w:tcPr>
            <w:tcW w:w="3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7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0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8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3560" w:type="dxa"/>
            <w:vMerge/>
            <w:tcBorders>
              <w:left w:val="single" w:sz="4" w:space="0" w:color="000000"/>
              <w:bottom w:val="single" w:sz="4" w:space="0" w:color="000000"/>
              <w:right w:val="single" w:sz="4" w:space="0" w:color="000000"/>
            </w:tcBorders>
            <w:shd w:val="clear" w:color="auto" w:fill="D2D2D2"/>
          </w:tcPr>
          <w:p>
            <w:pPr/>
          </w:p>
        </w:tc>
        <w:tc>
          <w:tcPr>
            <w:tcW w:w="1718" w:type="dxa"/>
            <w:vMerge/>
            <w:tcBorders>
              <w:left w:val="single" w:sz="4" w:space="0" w:color="000000"/>
              <w:bottom w:val="single" w:sz="4" w:space="0" w:color="000000"/>
              <w:right w:val="single" w:sz="4" w:space="0" w:color="000000"/>
            </w:tcBorders>
            <w:shd w:val="clear" w:color="auto" w:fill="D2D2D2"/>
          </w:tcPr>
          <w:p>
            <w:pP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企业合并形成的</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70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北京久其智通数据科技有限公司</w:t>
            </w:r>
          </w:p>
        </w:tc>
        <w:tc>
          <w:tcPr>
            <w:tcW w:w="171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2,401,000.00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2,401,000.00</w:t>
            </w:r>
          </w:p>
        </w:tc>
      </w:tr>
      <w:tr>
        <w:trPr>
          <w:trHeight w:val="402" w:hRule="exact"/>
        </w:trPr>
        <w:tc>
          <w:tcPr>
            <w:tcW w:w="3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北京亿起联科技有限公司</w:t>
            </w:r>
          </w:p>
        </w:tc>
        <w:tc>
          <w:tcPr>
            <w:tcW w:w="171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446,246,013.63</w:t>
            </w:r>
          </w:p>
        </w:tc>
        <w:tc>
          <w:tcPr>
            <w:tcW w:w="170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446,246,013.63</w:t>
            </w:r>
          </w:p>
        </w:tc>
      </w:tr>
      <w:tr>
        <w:trPr>
          <w:trHeight w:val="402" w:hRule="exact"/>
        </w:trPr>
        <w:tc>
          <w:tcPr>
            <w:tcW w:w="3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北京华夏电通科技有限公司</w:t>
            </w:r>
          </w:p>
        </w:tc>
        <w:tc>
          <w:tcPr>
            <w:tcW w:w="171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407,462,912.20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407,462,912.20</w:t>
            </w:r>
          </w:p>
        </w:tc>
      </w:tr>
      <w:tr>
        <w:trPr>
          <w:trHeight w:val="402" w:hRule="exact"/>
        </w:trPr>
        <w:tc>
          <w:tcPr>
            <w:tcW w:w="3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北京瑞意恒动科技有限公司</w:t>
            </w:r>
          </w:p>
        </w:tc>
        <w:tc>
          <w:tcPr>
            <w:tcW w:w="171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177,261,216.67</w:t>
            </w:r>
          </w:p>
        </w:tc>
        <w:tc>
          <w:tcPr>
            <w:tcW w:w="170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177,261,216.67</w:t>
            </w:r>
          </w:p>
        </w:tc>
      </w:tr>
      <w:tr>
        <w:trPr>
          <w:trHeight w:val="402" w:hRule="exact"/>
        </w:trPr>
        <w:tc>
          <w:tcPr>
            <w:tcW w:w="3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上海移通网络有限公司</w:t>
            </w:r>
          </w:p>
        </w:tc>
        <w:tc>
          <w:tcPr>
            <w:tcW w:w="171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647,660,396.82</w:t>
            </w:r>
          </w:p>
        </w:tc>
        <w:tc>
          <w:tcPr>
            <w:tcW w:w="170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647,660,396.82</w:t>
            </w:r>
          </w:p>
        </w:tc>
      </w:tr>
      <w:tr>
        <w:trPr>
          <w:trHeight w:val="403" w:hRule="exact"/>
        </w:trPr>
        <w:tc>
          <w:tcPr>
            <w:tcW w:w="3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1,681,031,539.32</w:t>
            </w:r>
          </w:p>
        </w:tc>
        <w:tc>
          <w:tcPr>
            <w:tcW w:w="170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1,681,031,539.32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商誉减值准备" w:id="269"/>
      <w:bookmarkEnd w:id="269"/>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3716"/>
        <w:gridCol w:w="1356"/>
        <w:gridCol w:w="1780"/>
        <w:gridCol w:w="1052"/>
        <w:gridCol w:w="1780"/>
      </w:tblGrid>
      <w:tr>
        <w:trPr>
          <w:trHeight w:val="206" w:hRule="exact"/>
        </w:trPr>
        <w:tc>
          <w:tcPr>
            <w:tcW w:w="3716" w:type="dxa"/>
            <w:tcBorders>
              <w:top w:val="single" w:sz="4" w:space="0" w:color="000000"/>
              <w:left w:val="single" w:sz="4" w:space="0" w:color="000000"/>
              <w:bottom w:val="nil" w:sz="6" w:space="0" w:color="auto"/>
              <w:right w:val="single" w:sz="4" w:space="0" w:color="000000"/>
            </w:tcBorders>
            <w:shd w:val="clear" w:color="auto" w:fill="D9D9D9"/>
          </w:tcPr>
          <w:p>
            <w:pPr/>
          </w:p>
        </w:tc>
        <w:tc>
          <w:tcPr>
            <w:tcW w:w="1356" w:type="dxa"/>
            <w:tcBorders>
              <w:top w:val="single" w:sz="4" w:space="0" w:color="000000"/>
              <w:left w:val="single" w:sz="4" w:space="0" w:color="000000"/>
              <w:bottom w:val="nil" w:sz="6" w:space="0" w:color="auto"/>
              <w:right w:val="single" w:sz="4" w:space="0" w:color="000000"/>
            </w:tcBorders>
            <w:shd w:val="clear" w:color="auto" w:fill="D9D9D9"/>
          </w:tcPr>
          <w:p>
            <w:pPr/>
          </w:p>
        </w:tc>
        <w:tc>
          <w:tcPr>
            <w:tcW w:w="178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2"/>
              <w:ind w:left="52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05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80" w:type="dxa"/>
            <w:tcBorders>
              <w:top w:val="single" w:sz="4" w:space="0" w:color="000000"/>
              <w:left w:val="single" w:sz="4" w:space="0" w:color="000000"/>
              <w:bottom w:val="nil" w:sz="6" w:space="0" w:color="auto"/>
              <w:right w:val="single" w:sz="4" w:space="0" w:color="000000"/>
            </w:tcBorders>
            <w:shd w:val="clear" w:color="auto" w:fill="D9D9D9"/>
          </w:tcPr>
          <w:p>
            <w:pPr/>
          </w:p>
        </w:tc>
      </w:tr>
      <w:tr>
        <w:trPr>
          <w:trHeight w:val="197" w:hRule="exact"/>
        </w:trPr>
        <w:tc>
          <w:tcPr>
            <w:tcW w:w="3716"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356"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51"/>
              <w:ind w:left="31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80" w:type="dxa"/>
            <w:vMerge/>
            <w:tcBorders>
              <w:left w:val="single" w:sz="4" w:space="0" w:color="000000"/>
              <w:bottom w:val="single" w:sz="4" w:space="0" w:color="000000"/>
              <w:right w:val="single" w:sz="4" w:space="0" w:color="000000"/>
            </w:tcBorders>
            <w:shd w:val="clear" w:color="auto" w:fill="D9D9D9"/>
          </w:tcPr>
          <w:p>
            <w:pPr/>
          </w:p>
        </w:tc>
        <w:tc>
          <w:tcPr>
            <w:tcW w:w="1052" w:type="dxa"/>
            <w:vMerge/>
            <w:tcBorders>
              <w:left w:val="single" w:sz="4" w:space="0" w:color="000000"/>
              <w:bottom w:val="single" w:sz="4" w:space="0" w:color="000000"/>
              <w:right w:val="single" w:sz="4" w:space="0" w:color="000000"/>
            </w:tcBorders>
            <w:shd w:val="clear" w:color="auto" w:fill="D9D9D9"/>
          </w:tcPr>
          <w:p>
            <w:pPr/>
          </w:p>
        </w:tc>
        <w:tc>
          <w:tcPr>
            <w:tcW w:w="1780"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51"/>
              <w:ind w:left="52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3716" w:type="dxa"/>
            <w:vMerge/>
            <w:tcBorders>
              <w:left w:val="single" w:sz="4" w:space="0" w:color="000000"/>
              <w:bottom w:val="nil" w:sz="6" w:space="0" w:color="auto"/>
              <w:right w:val="single" w:sz="4" w:space="0" w:color="000000"/>
            </w:tcBorders>
            <w:shd w:val="clear" w:color="auto" w:fill="D9D9D9"/>
          </w:tcPr>
          <w:p>
            <w:pPr/>
          </w:p>
        </w:tc>
        <w:tc>
          <w:tcPr>
            <w:tcW w:w="1356" w:type="dxa"/>
            <w:vMerge/>
            <w:tcBorders>
              <w:left w:val="single" w:sz="4" w:space="0" w:color="000000"/>
              <w:bottom w:val="nil" w:sz="6" w:space="0" w:color="auto"/>
              <w:right w:val="single" w:sz="4" w:space="0" w:color="000000"/>
            </w:tcBorders>
            <w:shd w:val="clear" w:color="auto" w:fill="D9D9D9"/>
          </w:tcPr>
          <w:p>
            <w:pPr/>
          </w:p>
        </w:tc>
        <w:tc>
          <w:tcPr>
            <w:tcW w:w="178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05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2"/>
              <w:ind w:left="339"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780" w:type="dxa"/>
            <w:vMerge/>
            <w:tcBorders>
              <w:left w:val="single" w:sz="4" w:space="0" w:color="000000"/>
              <w:bottom w:val="nil" w:sz="6" w:space="0" w:color="auto"/>
              <w:right w:val="single" w:sz="4" w:space="0" w:color="000000"/>
            </w:tcBorders>
            <w:shd w:val="clear" w:color="auto" w:fill="D9D9D9"/>
          </w:tcPr>
          <w:p>
            <w:pPr/>
          </w:p>
        </w:tc>
      </w:tr>
      <w:tr>
        <w:trPr>
          <w:trHeight w:val="206" w:hRule="exact"/>
        </w:trPr>
        <w:tc>
          <w:tcPr>
            <w:tcW w:w="3716" w:type="dxa"/>
            <w:tcBorders>
              <w:top w:val="nil" w:sz="6" w:space="0" w:color="auto"/>
              <w:left w:val="single" w:sz="4" w:space="0" w:color="000000"/>
              <w:bottom w:val="single" w:sz="4" w:space="0" w:color="000000"/>
              <w:right w:val="single" w:sz="4" w:space="0" w:color="000000"/>
            </w:tcBorders>
            <w:shd w:val="clear" w:color="auto" w:fill="D9D9D9"/>
          </w:tcPr>
          <w:p>
            <w:pPr/>
          </w:p>
        </w:tc>
        <w:tc>
          <w:tcPr>
            <w:tcW w:w="1356" w:type="dxa"/>
            <w:tcBorders>
              <w:top w:val="nil" w:sz="6" w:space="0" w:color="auto"/>
              <w:left w:val="single" w:sz="4" w:space="0" w:color="000000"/>
              <w:bottom w:val="single" w:sz="4" w:space="0" w:color="000000"/>
              <w:right w:val="single" w:sz="4" w:space="0" w:color="000000"/>
            </w:tcBorders>
            <w:shd w:val="clear" w:color="auto" w:fill="D9D9D9"/>
          </w:tcPr>
          <w:p>
            <w:pPr/>
          </w:p>
        </w:tc>
        <w:tc>
          <w:tcPr>
            <w:tcW w:w="1780" w:type="dxa"/>
            <w:vMerge/>
            <w:tcBorders>
              <w:left w:val="single" w:sz="4" w:space="0" w:color="000000"/>
              <w:bottom w:val="single" w:sz="4" w:space="0" w:color="000000"/>
              <w:right w:val="single" w:sz="4" w:space="0" w:color="000000"/>
            </w:tcBorders>
            <w:shd w:val="clear" w:color="auto" w:fill="D9D9D9"/>
          </w:tcPr>
          <w:p>
            <w:pPr/>
          </w:p>
        </w:tc>
        <w:tc>
          <w:tcPr>
            <w:tcW w:w="1052" w:type="dxa"/>
            <w:vMerge/>
            <w:tcBorders>
              <w:left w:val="single" w:sz="4" w:space="0" w:color="000000"/>
              <w:bottom w:val="single" w:sz="4" w:space="0" w:color="000000"/>
              <w:right w:val="single" w:sz="4" w:space="0" w:color="000000"/>
            </w:tcBorders>
            <w:shd w:val="clear" w:color="auto" w:fill="D9D9D9"/>
          </w:tcPr>
          <w:p>
            <w:pPr/>
          </w:p>
        </w:tc>
        <w:tc>
          <w:tcPr>
            <w:tcW w:w="1780" w:type="dxa"/>
            <w:tcBorders>
              <w:top w:val="nil" w:sz="6" w:space="0" w:color="auto"/>
              <w:left w:val="single" w:sz="4" w:space="0" w:color="000000"/>
              <w:bottom w:val="single" w:sz="4" w:space="0" w:color="000000"/>
              <w:right w:val="single" w:sz="4" w:space="0" w:color="000000"/>
            </w:tcBorders>
            <w:shd w:val="clear" w:color="auto" w:fill="D9D9D9"/>
          </w:tcPr>
          <w:p>
            <w:pP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北京久其智通数据科技有限公司</w:t>
            </w:r>
          </w:p>
        </w:tc>
        <w:tc>
          <w:tcPr>
            <w:tcW w:w="135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2,401,000.00</w:t>
            </w:r>
          </w:p>
        </w:tc>
        <w:tc>
          <w:tcPr>
            <w:tcW w:w="178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2,401,000.00</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北京亿起联科技有限公司</w:t>
            </w:r>
          </w:p>
        </w:tc>
        <w:tc>
          <w:tcPr>
            <w:tcW w:w="1356" w:type="dxa"/>
            <w:tcBorders>
              <w:top w:val="single" w:sz="4" w:space="0" w:color="000000"/>
              <w:left w:val="single" w:sz="13" w:space="0" w:color="D9D9D9"/>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409,368,717.33</w:t>
            </w:r>
          </w:p>
        </w:tc>
        <w:tc>
          <w:tcPr>
            <w:tcW w:w="1052"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409,368,717.33</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北京瑞意恒动科技有限公司</w:t>
            </w:r>
          </w:p>
        </w:tc>
        <w:tc>
          <w:tcPr>
            <w:tcW w:w="1356" w:type="dxa"/>
            <w:tcBorders>
              <w:top w:val="single" w:sz="4" w:space="0" w:color="000000"/>
              <w:left w:val="single" w:sz="13" w:space="0" w:color="D9D9D9"/>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20,365,817.07</w:t>
            </w:r>
          </w:p>
        </w:tc>
        <w:tc>
          <w:tcPr>
            <w:tcW w:w="1052"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20,365,817.07</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上海移通网络有限公司</w:t>
            </w:r>
          </w:p>
        </w:tc>
        <w:tc>
          <w:tcPr>
            <w:tcW w:w="1356" w:type="dxa"/>
            <w:tcBorders>
              <w:top w:val="single" w:sz="4" w:space="0" w:color="000000"/>
              <w:left w:val="single" w:sz="13" w:space="0" w:color="D9D9D9"/>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647,660,396.82</w:t>
            </w:r>
          </w:p>
        </w:tc>
        <w:tc>
          <w:tcPr>
            <w:tcW w:w="1052"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647,660,396.82</w:t>
            </w:r>
          </w:p>
        </w:tc>
      </w:tr>
      <w:tr>
        <w:trPr>
          <w:trHeight w:val="403" w:hRule="exact"/>
        </w:trPr>
        <w:tc>
          <w:tcPr>
            <w:tcW w:w="3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合计</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2,401,000.00</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1,077,394,931.22</w:t>
            </w:r>
          </w:p>
        </w:tc>
        <w:tc>
          <w:tcPr>
            <w:tcW w:w="1052"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1,079,795,931.22</w:t>
            </w:r>
          </w:p>
        </w:tc>
      </w:tr>
    </w:tbl>
    <w:p>
      <w:pPr>
        <w:pStyle w:val="BodyText"/>
        <w:spacing w:line="357" w:lineRule="auto" w:before="51"/>
        <w:ind w:right="5712"/>
        <w:jc w:val="left"/>
      </w:pPr>
      <w:r>
        <w:rPr/>
        <w:t>商誉所在资产组或资产组组合的相关信息 上述公司商誉减值测试的资产组或资产组组合的构成情况如下：</w:t>
      </w:r>
    </w:p>
    <w:p>
      <w:pPr>
        <w:pStyle w:val="BodyText"/>
        <w:spacing w:line="224" w:lineRule="exact"/>
        <w:ind w:right="0"/>
        <w:jc w:val="both"/>
      </w:pPr>
      <w:r>
        <w:rPr/>
        <w:t>①北京久其智通数据科技有限公司：北京久其智通数据科技有限公司于评估基准日的评估范围，是其形成商誉的资产组涉及</w:t>
      </w:r>
    </w:p>
    <w:p>
      <w:pPr>
        <w:pStyle w:val="BodyText"/>
        <w:spacing w:line="240" w:lineRule="auto" w:before="76"/>
        <w:ind w:right="0"/>
        <w:jc w:val="both"/>
      </w:pPr>
      <w:r>
        <w:rPr/>
        <w:t>的资产，该资产组与购买日及以前年度商誉减值测试时所确定的资产组一致。</w:t>
      </w:r>
    </w:p>
    <w:p>
      <w:pPr>
        <w:pStyle w:val="BodyText"/>
        <w:spacing w:line="316" w:lineRule="auto" w:before="76"/>
        <w:ind w:right="1133"/>
        <w:jc w:val="both"/>
      </w:pPr>
      <w:r>
        <w:rPr>
          <w:spacing w:val="-2"/>
        </w:rPr>
        <w:t>②北京亿起联科技有限公司：北京亿起联科技有限公司于评估基准日的评估范围，是其形成商誉的资产组涉及的资产，该资</w:t>
      </w:r>
      <w:r>
        <w:rPr>
          <w:spacing w:val="-66"/>
        </w:rPr>
        <w:t> </w:t>
      </w:r>
      <w:r>
        <w:rPr>
          <w:spacing w:val="-66"/>
        </w:rPr>
      </w:r>
      <w:r>
        <w:rPr/>
        <w:t>产组与购买日及以前年度商誉减值测试时所确定的资产组一致。</w:t>
      </w:r>
    </w:p>
    <w:p>
      <w:pPr>
        <w:pStyle w:val="BodyText"/>
        <w:spacing w:line="316" w:lineRule="auto" w:before="19"/>
        <w:ind w:right="1041"/>
        <w:jc w:val="both"/>
      </w:pPr>
      <w:r>
        <w:rPr/>
        <w:t>③北京华夏电通科技有限公司：北京华夏电通科技有限公司于评估基准日的评估范围，是其形成商誉的资产组涉及的资产，</w:t>
      </w:r>
      <w:r>
        <w:rPr>
          <w:spacing w:val="-84"/>
        </w:rPr>
        <w:t> </w:t>
      </w:r>
      <w:r>
        <w:rPr>
          <w:spacing w:val="-84"/>
        </w:rPr>
      </w:r>
      <w:r>
        <w:rPr/>
        <w:t>该资产组与购买日及以前年度商誉减值测试时所确定的资产组一致。</w:t>
      </w:r>
    </w:p>
    <w:p>
      <w:pPr>
        <w:pStyle w:val="BodyText"/>
        <w:spacing w:line="316" w:lineRule="auto" w:before="19"/>
        <w:ind w:right="1043"/>
        <w:jc w:val="both"/>
      </w:pPr>
      <w:r>
        <w:rPr/>
        <w:t>④北京瑞意恒动科技有限公司：北京瑞意恒动科技有限公司于评估基准日的评估范围，是其形成商誉的资产组涉及的资产，</w:t>
      </w:r>
      <w:r>
        <w:rPr>
          <w:spacing w:val="-85"/>
        </w:rPr>
        <w:t> </w:t>
      </w:r>
      <w:r>
        <w:rPr>
          <w:spacing w:val="-85"/>
        </w:rPr>
      </w:r>
      <w:r>
        <w:rPr/>
        <w:t>该资产组与购买日及以前年度商誉减值测试时所确定的资产组一致。</w:t>
      </w:r>
    </w:p>
    <w:p>
      <w:pPr>
        <w:pStyle w:val="BodyText"/>
        <w:spacing w:line="316" w:lineRule="auto" w:before="19"/>
        <w:ind w:right="1130"/>
        <w:jc w:val="both"/>
      </w:pPr>
      <w:r>
        <w:rPr>
          <w:spacing w:val="-2"/>
        </w:rPr>
        <w:t>⑤上海移通网络有限公司：上海移通网络有限公司于评估基准日的评估范围，是其形成商誉的资产组涉及的资产，该资产组</w:t>
      </w:r>
      <w:r>
        <w:rPr>
          <w:spacing w:val="-66"/>
        </w:rPr>
        <w:t> </w:t>
      </w:r>
      <w:r>
        <w:rPr>
          <w:spacing w:val="-66"/>
        </w:rPr>
      </w:r>
      <w:r>
        <w:rPr/>
        <w:t>与购买日及以前年度商誉减值测试时所确定的资产组一致。</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pStyle w:val="BodyText"/>
        <w:spacing w:line="319" w:lineRule="auto"/>
        <w:ind w:right="1130"/>
        <w:jc w:val="both"/>
      </w:pPr>
      <w:r>
        <w:rPr>
          <w:spacing w:val="-2"/>
        </w:rPr>
        <w:t>说明商誉减值测试过程、关键参数（如预计未来现金流量现值时的预测期增长率、稳定期增长率、利润率、折现率、预测期</w:t>
      </w:r>
      <w:r>
        <w:rPr>
          <w:spacing w:val="-68"/>
        </w:rPr>
        <w:t> </w:t>
      </w:r>
      <w:r>
        <w:rPr>
          <w:spacing w:val="-68"/>
        </w:rPr>
      </w:r>
      <w:r>
        <w:rPr/>
        <w:t>等）及商誉减值损失的确认方法：</w:t>
      </w:r>
    </w:p>
    <w:p>
      <w:pPr>
        <w:pStyle w:val="BodyText"/>
        <w:spacing w:line="307" w:lineRule="auto" w:before="55"/>
        <w:ind w:right="1130"/>
        <w:jc w:val="both"/>
      </w:pPr>
      <w:r>
        <w:rPr>
          <w:spacing w:val="-2"/>
        </w:rPr>
        <w:t>①</w:t>
      </w:r>
      <w:r>
        <w:rPr>
          <w:rFonts w:ascii="Times New Roman" w:hAnsi="Times New Roman" w:cs="Times New Roman" w:eastAsia="Times New Roman" w:hint="default"/>
          <w:spacing w:val="-2"/>
        </w:rPr>
        <w:t>2018</w:t>
      </w:r>
      <w:r>
        <w:rPr>
          <w:spacing w:val="-2"/>
        </w:rPr>
        <w:t>年末，公司评估了商誉的可收回金额，并确定了与北京亿起联科技有限公司相关的商誉发生了减值迹象。可收回金额</w:t>
      </w:r>
      <w:r>
        <w:rPr>
          <w:spacing w:val="-62"/>
        </w:rPr>
        <w:t> </w:t>
      </w:r>
      <w:r>
        <w:rPr>
          <w:spacing w:val="-62"/>
        </w:rPr>
      </w:r>
      <w:r>
        <w:rPr/>
        <w:t>是按照资产组的预计未来现金流量的现值确定。管理层按照</w:t>
      </w:r>
      <w:r>
        <w:rPr>
          <w:rFonts w:ascii="Times New Roman" w:hAnsi="Times New Roman" w:cs="Times New Roman" w:eastAsia="Times New Roman" w:hint="default"/>
        </w:rPr>
        <w:t>5</w:t>
      </w:r>
      <w:r>
        <w:rPr/>
        <w:t>年的详细预测期和后续预测期预计资产组未来现金流量；减值</w:t>
      </w:r>
      <w:r>
        <w:rPr>
          <w:spacing w:val="-82"/>
        </w:rPr>
        <w:t> </w:t>
      </w:r>
      <w:r>
        <w:rPr>
          <w:spacing w:val="-82"/>
        </w:rPr>
      </w:r>
      <w:r>
        <w:rPr>
          <w:spacing w:val="-2"/>
        </w:rPr>
        <w:t>测试中采用的其他关键假设包括：收入增长率、生产成本及其他相关费用。管理层根据历史经验及对市场发展的预测确定上</w:t>
      </w:r>
      <w:r>
        <w:rPr>
          <w:spacing w:val="-66"/>
        </w:rPr>
        <w:t> </w:t>
      </w:r>
      <w:r>
        <w:rPr>
          <w:spacing w:val="-66"/>
        </w:rPr>
      </w:r>
      <w:r>
        <w:rPr/>
        <w:t>述关键假设。现金流预测所用的税前折现率是</w:t>
      </w:r>
      <w:r>
        <w:rPr>
          <w:rFonts w:ascii="Times New Roman" w:hAnsi="Times New Roman" w:cs="Times New Roman" w:eastAsia="Times New Roman" w:hint="default"/>
        </w:rPr>
        <w:t>15.41%</w:t>
      </w:r>
      <w:r>
        <w:rPr/>
        <w:t>。上述假设用于分析本资产组的可回收性。</w:t>
      </w:r>
    </w:p>
    <w:p>
      <w:pPr>
        <w:pStyle w:val="BodyText"/>
        <w:spacing w:line="307" w:lineRule="auto" w:before="7"/>
        <w:ind w:right="1130"/>
        <w:jc w:val="both"/>
      </w:pPr>
      <w:r>
        <w:rPr>
          <w:spacing w:val="-2"/>
        </w:rPr>
        <w:t>②</w:t>
      </w:r>
      <w:r>
        <w:rPr>
          <w:rFonts w:ascii="Times New Roman" w:hAnsi="Times New Roman" w:cs="Times New Roman" w:eastAsia="Times New Roman" w:hint="default"/>
          <w:spacing w:val="-2"/>
        </w:rPr>
        <w:t>2018</w:t>
      </w:r>
      <w:r>
        <w:rPr>
          <w:spacing w:val="-2"/>
        </w:rPr>
        <w:t>年末，公司评估了商誉的可收回金额，并确定了与北京华夏电通科技有限公司相关的商誉未发生减值。可收回金额是</w:t>
      </w:r>
      <w:r>
        <w:rPr>
          <w:spacing w:val="-62"/>
        </w:rPr>
        <w:t> </w:t>
      </w:r>
      <w:r>
        <w:rPr>
          <w:spacing w:val="-62"/>
        </w:rPr>
      </w:r>
      <w:r>
        <w:rPr/>
        <w:t>按照资产组的预计未来现金流量的现值确定。管理层按照</w:t>
      </w:r>
      <w:r>
        <w:rPr>
          <w:rFonts w:ascii="Times New Roman" w:hAnsi="Times New Roman" w:cs="Times New Roman" w:eastAsia="Times New Roman" w:hint="default"/>
        </w:rPr>
        <w:t>5</w:t>
      </w:r>
      <w:r>
        <w:rPr/>
        <w:t>年的详细预测期和后续预测期预计资产组未来现金流量；减值测</w:t>
      </w:r>
      <w:r>
        <w:rPr>
          <w:spacing w:val="-82"/>
        </w:rPr>
        <w:t> </w:t>
      </w:r>
      <w:r>
        <w:rPr>
          <w:spacing w:val="-82"/>
        </w:rPr>
      </w:r>
      <w:r>
        <w:rPr>
          <w:spacing w:val="-2"/>
        </w:rPr>
        <w:t>试中采用的其他关键假设包括：收入增长率、生产成本及其他相关费用。管理层根据历史经验及对市场发展的预测确定上述</w:t>
      </w:r>
      <w:r>
        <w:rPr>
          <w:spacing w:val="-66"/>
        </w:rPr>
        <w:t> </w:t>
      </w:r>
      <w:r>
        <w:rPr>
          <w:spacing w:val="-66"/>
        </w:rPr>
      </w:r>
      <w:r>
        <w:rPr/>
        <w:t>关键假设。现金流预测所用的税前折现率是</w:t>
      </w:r>
      <w:r>
        <w:rPr>
          <w:rFonts w:ascii="Times New Roman" w:hAnsi="Times New Roman" w:cs="Times New Roman" w:eastAsia="Times New Roman" w:hint="default"/>
        </w:rPr>
        <w:t>13.28%</w:t>
      </w:r>
      <w:r>
        <w:rPr/>
        <w:t>。上述假设用于分析本资产组的可回收性。</w:t>
      </w:r>
    </w:p>
    <w:p>
      <w:pPr>
        <w:pStyle w:val="BodyText"/>
        <w:spacing w:line="307" w:lineRule="auto" w:before="7"/>
        <w:ind w:right="1130"/>
        <w:jc w:val="both"/>
      </w:pPr>
      <w:r>
        <w:rPr>
          <w:spacing w:val="-2"/>
        </w:rPr>
        <w:t>③</w:t>
      </w:r>
      <w:r>
        <w:rPr>
          <w:rFonts w:ascii="Times New Roman" w:hAnsi="Times New Roman" w:cs="Times New Roman" w:eastAsia="Times New Roman" w:hint="default"/>
          <w:spacing w:val="-2"/>
        </w:rPr>
        <w:t>2018</w:t>
      </w:r>
      <w:r>
        <w:rPr>
          <w:spacing w:val="-2"/>
        </w:rPr>
        <w:t>年末，公司评估了商誉的可收回金额，并确定了与北京瑞意恒动科技有限公司相关的商誉发生了减值迹象。可收回金</w:t>
      </w:r>
      <w:r>
        <w:rPr>
          <w:spacing w:val="-63"/>
        </w:rPr>
        <w:t> </w:t>
      </w:r>
      <w:r>
        <w:rPr>
          <w:spacing w:val="-63"/>
        </w:rPr>
      </w:r>
      <w:r>
        <w:rPr/>
        <w:t>额是按照资产组的预计未来现金流量的现值确定。管理层按照</w:t>
      </w:r>
      <w:r>
        <w:rPr>
          <w:rFonts w:ascii="Times New Roman" w:hAnsi="Times New Roman" w:cs="Times New Roman" w:eastAsia="Times New Roman" w:hint="default"/>
        </w:rPr>
        <w:t>5</w:t>
      </w:r>
      <w:r>
        <w:rPr/>
        <w:t>年的详细预测期和后续预测期预计资产组未来现金流量；减</w:t>
      </w:r>
      <w:r>
        <w:rPr>
          <w:spacing w:val="-82"/>
        </w:rPr>
        <w:t> </w:t>
      </w:r>
      <w:r>
        <w:rPr>
          <w:spacing w:val="-82"/>
        </w:rPr>
      </w:r>
      <w:r>
        <w:rPr>
          <w:spacing w:val="-2"/>
        </w:rPr>
        <w:t>值测试中采用的其他关键假设包括：收入增长率、生产成本及其他相关费用。管理层根据历史经验及对市场发展的预测确定</w:t>
      </w:r>
      <w:r>
        <w:rPr>
          <w:spacing w:val="-66"/>
        </w:rPr>
        <w:t> </w:t>
      </w:r>
      <w:r>
        <w:rPr>
          <w:spacing w:val="-66"/>
        </w:rPr>
      </w:r>
      <w:r>
        <w:rPr/>
        <w:t>上述关键假设。现金流预测所用的税前折现率是</w:t>
      </w:r>
      <w:r>
        <w:rPr>
          <w:rFonts w:ascii="Times New Roman" w:hAnsi="Times New Roman" w:cs="Times New Roman" w:eastAsia="Times New Roman" w:hint="default"/>
        </w:rPr>
        <w:t>16.66%</w:t>
      </w:r>
      <w:r>
        <w:rPr/>
        <w:t>。上述假设用于分析本资产组的可回收性。</w:t>
      </w:r>
    </w:p>
    <w:p>
      <w:pPr>
        <w:pStyle w:val="BodyText"/>
        <w:spacing w:line="300" w:lineRule="auto" w:before="7"/>
        <w:ind w:right="1132"/>
        <w:jc w:val="both"/>
      </w:pPr>
      <w:r>
        <w:rPr>
          <w:spacing w:val="-2"/>
        </w:rPr>
        <w:t>④</w:t>
      </w:r>
      <w:r>
        <w:rPr>
          <w:rFonts w:ascii="Times New Roman" w:hAnsi="Times New Roman" w:cs="Times New Roman" w:eastAsia="Times New Roman" w:hint="default"/>
          <w:spacing w:val="-2"/>
        </w:rPr>
        <w:t>2018</w:t>
      </w:r>
      <w:r>
        <w:rPr>
          <w:spacing w:val="-2"/>
        </w:rPr>
        <w:t>年末，公司评估了商誉的可收回金额，并确定了与上海移通网络有限公司相关的商誉发生了减值迹象。可收回金额是</w:t>
      </w:r>
      <w:r>
        <w:rPr>
          <w:spacing w:val="-62"/>
        </w:rPr>
        <w:t> </w:t>
      </w:r>
      <w:r>
        <w:rPr>
          <w:spacing w:val="-62"/>
        </w:rPr>
      </w:r>
      <w:r>
        <w:rPr/>
        <w:t>按照资产组的公允价值减处置费用确定。</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b/>
          <w:bCs/>
          <w:sz w:val="18"/>
          <w:szCs w:val="18"/>
        </w:rPr>
        <w:t>商誉减值测试的影响</w:t>
      </w:r>
      <w:r>
        <w:rPr>
          <w:rFonts w:ascii="宋体" w:hAnsi="宋体" w:cs="宋体" w:eastAsia="宋体" w:hint="default"/>
          <w:sz w:val="18"/>
          <w:szCs w:val="18"/>
        </w:rPr>
      </w:r>
    </w:p>
    <w:p>
      <w:pPr>
        <w:spacing w:after="0"/>
        <w:jc w:val="both"/>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b/>
          <w:bCs/>
          <w:sz w:val="21"/>
          <w:szCs w:val="21"/>
        </w:rPr>
      </w:pPr>
    </w:p>
    <w:p>
      <w:pPr>
        <w:pStyle w:val="BodyText"/>
        <w:spacing w:line="240" w:lineRule="auto" w:before="44"/>
        <w:ind w:right="0"/>
        <w:jc w:val="left"/>
      </w:pPr>
      <w:r>
        <w:rPr/>
        <w:t>（</w:t>
      </w:r>
      <w:r>
        <w:rPr>
          <w:rFonts w:ascii="Times New Roman" w:hAnsi="Times New Roman" w:cs="Times New Roman" w:eastAsia="Times New Roman" w:hint="default"/>
        </w:rPr>
        <w:t>1</w:t>
      </w:r>
      <w:r>
        <w:rPr/>
        <w:t>）北京亿起联科技有限公司：</w:t>
      </w:r>
    </w:p>
    <w:p>
      <w:pPr>
        <w:spacing w:line="240" w:lineRule="auto" w:before="13"/>
        <w:rPr>
          <w:rFonts w:ascii="宋体" w:hAnsi="宋体" w:cs="宋体" w:eastAsia="宋体" w:hint="default"/>
          <w:sz w:val="3"/>
          <w:szCs w:val="3"/>
        </w:rPr>
      </w:pPr>
    </w:p>
    <w:tbl>
      <w:tblPr>
        <w:tblW w:w="0" w:type="auto"/>
        <w:jc w:val="left"/>
        <w:tblInd w:w="139" w:type="dxa"/>
        <w:tblLayout w:type="fixed"/>
        <w:tblCellMar>
          <w:top w:w="0" w:type="dxa"/>
          <w:left w:w="0" w:type="dxa"/>
          <w:bottom w:w="0" w:type="dxa"/>
          <w:right w:w="0" w:type="dxa"/>
        </w:tblCellMar>
        <w:tblLook w:val="01E0"/>
      </w:tblPr>
      <w:tblGrid>
        <w:gridCol w:w="2842"/>
        <w:gridCol w:w="3118"/>
        <w:gridCol w:w="3699"/>
      </w:tblGrid>
      <w:tr>
        <w:trPr>
          <w:trHeight w:val="422" w:hRule="exact"/>
        </w:trPr>
        <w:tc>
          <w:tcPr>
            <w:tcW w:w="2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1146" w:right="0"/>
              <w:jc w:val="left"/>
              <w:rPr>
                <w:rFonts w:ascii="宋体" w:hAnsi="宋体" w:cs="宋体" w:eastAsia="宋体" w:hint="default"/>
                <w:sz w:val="18"/>
                <w:szCs w:val="18"/>
              </w:rPr>
            </w:pPr>
            <w:r>
              <w:rPr>
                <w:rFonts w:ascii="宋体" w:hAnsi="宋体" w:cs="宋体" w:eastAsia="宋体" w:hint="default"/>
                <w:sz w:val="18"/>
                <w:szCs w:val="18"/>
              </w:rPr>
              <w:t>考核期</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承诺金额</w:t>
            </w:r>
          </w:p>
        </w:tc>
        <w:tc>
          <w:tcPr>
            <w:tcW w:w="36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584" w:right="0"/>
              <w:jc w:val="left"/>
              <w:rPr>
                <w:rFonts w:ascii="宋体" w:hAnsi="宋体" w:cs="宋体" w:eastAsia="宋体" w:hint="default"/>
                <w:sz w:val="18"/>
                <w:szCs w:val="18"/>
              </w:rPr>
            </w:pPr>
            <w:r>
              <w:rPr>
                <w:rFonts w:ascii="宋体" w:hAnsi="宋体" w:cs="宋体" w:eastAsia="宋体" w:hint="default"/>
                <w:sz w:val="18"/>
                <w:szCs w:val="18"/>
              </w:rPr>
              <w:t>实现金额（扣除非经常性损益）</w:t>
            </w:r>
          </w:p>
        </w:tc>
      </w:tr>
      <w:tr>
        <w:trPr>
          <w:trHeight w:val="34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96"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2014</w:t>
            </w:r>
            <w:r>
              <w:rPr>
                <w:rFonts w:ascii="宋体" w:hAnsi="宋体" w:cs="宋体" w:eastAsia="宋体" w:hint="default"/>
                <w:sz w:val="16"/>
                <w:szCs w:val="16"/>
              </w:rPr>
              <w:t>年度</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
              <w:jc w:val="right"/>
              <w:rPr>
                <w:rFonts w:ascii="Times New Roman" w:hAnsi="Times New Roman" w:cs="Times New Roman" w:eastAsia="Times New Roman" w:hint="default"/>
                <w:sz w:val="16"/>
                <w:szCs w:val="16"/>
              </w:rPr>
            </w:pPr>
            <w:r>
              <w:rPr>
                <w:rFonts w:ascii="Times New Roman"/>
                <w:w w:val="95"/>
                <w:sz w:val="16"/>
              </w:rPr>
              <w:t>37,000,000.00</w:t>
            </w:r>
            <w:r>
              <w:rPr>
                <w:rFonts w:ascii="Times New Roman"/>
                <w:sz w:val="16"/>
              </w:rPr>
            </w:r>
          </w:p>
        </w:tc>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4"/>
              <w:jc w:val="right"/>
              <w:rPr>
                <w:rFonts w:ascii="Times New Roman" w:hAnsi="Times New Roman" w:cs="Times New Roman" w:eastAsia="Times New Roman" w:hint="default"/>
                <w:sz w:val="16"/>
                <w:szCs w:val="16"/>
              </w:rPr>
            </w:pPr>
            <w:r>
              <w:rPr>
                <w:rFonts w:ascii="Times New Roman"/>
                <w:spacing w:val="-1"/>
                <w:sz w:val="16"/>
              </w:rPr>
              <w:t>32,503,606.90</w:t>
            </w:r>
          </w:p>
        </w:tc>
      </w:tr>
      <w:tr>
        <w:trPr>
          <w:trHeight w:val="34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96"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2015</w:t>
            </w:r>
            <w:r>
              <w:rPr>
                <w:rFonts w:ascii="宋体" w:hAnsi="宋体" w:cs="宋体" w:eastAsia="宋体" w:hint="default"/>
                <w:sz w:val="16"/>
                <w:szCs w:val="16"/>
              </w:rPr>
              <w:t>年度</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
              <w:jc w:val="right"/>
              <w:rPr>
                <w:rFonts w:ascii="Times New Roman" w:hAnsi="Times New Roman" w:cs="Times New Roman" w:eastAsia="Times New Roman" w:hint="default"/>
                <w:sz w:val="16"/>
                <w:szCs w:val="16"/>
              </w:rPr>
            </w:pPr>
            <w:r>
              <w:rPr>
                <w:rFonts w:ascii="Times New Roman"/>
                <w:w w:val="95"/>
                <w:sz w:val="16"/>
              </w:rPr>
              <w:t>50,000,000.00</w:t>
            </w:r>
            <w:r>
              <w:rPr>
                <w:rFonts w:ascii="Times New Roman"/>
                <w:sz w:val="16"/>
              </w:rPr>
            </w:r>
          </w:p>
        </w:tc>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
              <w:jc w:val="right"/>
              <w:rPr>
                <w:rFonts w:ascii="Times New Roman" w:hAnsi="Times New Roman" w:cs="Times New Roman" w:eastAsia="Times New Roman" w:hint="default"/>
                <w:sz w:val="16"/>
                <w:szCs w:val="16"/>
              </w:rPr>
            </w:pPr>
            <w:r>
              <w:rPr>
                <w:rFonts w:ascii="Times New Roman"/>
                <w:spacing w:val="-1"/>
                <w:sz w:val="16"/>
              </w:rPr>
              <w:t>50,286,053.38</w:t>
            </w:r>
          </w:p>
        </w:tc>
      </w:tr>
      <w:tr>
        <w:trPr>
          <w:trHeight w:val="34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96"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2016</w:t>
            </w:r>
            <w:r>
              <w:rPr>
                <w:rFonts w:ascii="宋体" w:hAnsi="宋体" w:cs="宋体" w:eastAsia="宋体" w:hint="default"/>
                <w:sz w:val="16"/>
                <w:szCs w:val="16"/>
              </w:rPr>
              <w:t>年度</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
              <w:jc w:val="right"/>
              <w:rPr>
                <w:rFonts w:ascii="Times New Roman" w:hAnsi="Times New Roman" w:cs="Times New Roman" w:eastAsia="Times New Roman" w:hint="default"/>
                <w:sz w:val="16"/>
                <w:szCs w:val="16"/>
              </w:rPr>
            </w:pPr>
            <w:r>
              <w:rPr>
                <w:rFonts w:ascii="Times New Roman"/>
                <w:w w:val="95"/>
                <w:sz w:val="16"/>
              </w:rPr>
              <w:t>67,500,000.00</w:t>
            </w:r>
            <w:r>
              <w:rPr>
                <w:rFonts w:ascii="Times New Roman"/>
                <w:sz w:val="16"/>
              </w:rPr>
            </w:r>
          </w:p>
        </w:tc>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
              <w:jc w:val="right"/>
              <w:rPr>
                <w:rFonts w:ascii="Times New Roman" w:hAnsi="Times New Roman" w:cs="Times New Roman" w:eastAsia="Times New Roman" w:hint="default"/>
                <w:sz w:val="16"/>
                <w:szCs w:val="16"/>
              </w:rPr>
            </w:pPr>
            <w:r>
              <w:rPr>
                <w:rFonts w:ascii="Times New Roman"/>
                <w:spacing w:val="-1"/>
                <w:sz w:val="16"/>
              </w:rPr>
              <w:t>66,204,769.99</w:t>
            </w:r>
          </w:p>
        </w:tc>
      </w:tr>
      <w:tr>
        <w:trPr>
          <w:trHeight w:val="34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96"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年度</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
              <w:jc w:val="right"/>
              <w:rPr>
                <w:rFonts w:ascii="Times New Roman" w:hAnsi="Times New Roman" w:cs="Times New Roman" w:eastAsia="Times New Roman" w:hint="default"/>
                <w:sz w:val="16"/>
                <w:szCs w:val="16"/>
              </w:rPr>
            </w:pPr>
            <w:r>
              <w:rPr>
                <w:rFonts w:ascii="Times New Roman"/>
                <w:w w:val="95"/>
                <w:sz w:val="16"/>
              </w:rPr>
              <w:t>84,300,000.00</w:t>
            </w:r>
            <w:r>
              <w:rPr>
                <w:rFonts w:ascii="Times New Roman"/>
                <w:sz w:val="16"/>
              </w:rPr>
            </w:r>
          </w:p>
        </w:tc>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
              <w:jc w:val="right"/>
              <w:rPr>
                <w:rFonts w:ascii="Times New Roman" w:hAnsi="Times New Roman" w:cs="Times New Roman" w:eastAsia="Times New Roman" w:hint="default"/>
                <w:sz w:val="16"/>
                <w:szCs w:val="16"/>
              </w:rPr>
            </w:pPr>
            <w:r>
              <w:rPr>
                <w:rFonts w:ascii="Times New Roman"/>
                <w:spacing w:val="-1"/>
                <w:sz w:val="16"/>
              </w:rPr>
              <w:t>83,656,057.73</w:t>
            </w:r>
          </w:p>
        </w:tc>
      </w:tr>
    </w:tbl>
    <w:p>
      <w:pPr>
        <w:pStyle w:val="BodyText"/>
        <w:spacing w:line="307" w:lineRule="auto" w:before="10"/>
        <w:ind w:right="1131"/>
        <w:jc w:val="both"/>
      </w:pPr>
      <w:r>
        <w:rPr>
          <w:spacing w:val="-2"/>
        </w:rPr>
        <w:t>北京亿起联科技有限公司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2017</w:t>
      </w:r>
      <w:r>
        <w:rPr>
          <w:spacing w:val="-2"/>
        </w:rPr>
        <w:t>年合计未能完成承诺，通过北京亿起联科技有限公司管理层对未来</w:t>
      </w:r>
      <w:r>
        <w:rPr>
          <w:spacing w:val="-50"/>
        </w:rPr>
        <w:t> </w:t>
      </w:r>
      <w:r>
        <w:rPr>
          <w:spacing w:val="-50"/>
        </w:rPr>
      </w:r>
      <w:r>
        <w:rPr>
          <w:spacing w:val="-2"/>
        </w:rPr>
        <w:t>可预测期间的国内外市场行情、经营情况以及与对手的竞争状况等分析，根据专家商誉减值测试结果，包含整体商誉的资产</w:t>
      </w:r>
      <w:r>
        <w:rPr>
          <w:spacing w:val="-66"/>
        </w:rPr>
        <w:t> </w:t>
      </w:r>
      <w:r>
        <w:rPr>
          <w:spacing w:val="-66"/>
        </w:rPr>
      </w:r>
      <w:r>
        <w:rPr/>
        <w:t>组的公允价值</w:t>
      </w:r>
      <w:r>
        <w:rPr>
          <w:rFonts w:ascii="Times New Roman" w:hAnsi="Times New Roman" w:cs="Times New Roman" w:eastAsia="Times New Roman" w:hint="default"/>
        </w:rPr>
        <w:t>610,368,717.33</w:t>
      </w:r>
      <w:r>
        <w:rPr/>
        <w:t>元，资产组预计未来现金流量的现值</w:t>
      </w:r>
      <w:r>
        <w:rPr>
          <w:rFonts w:ascii="Times New Roman" w:hAnsi="Times New Roman" w:cs="Times New Roman" w:eastAsia="Times New Roman" w:hint="default"/>
        </w:rPr>
        <w:t>201,000,000.00</w:t>
      </w:r>
      <w:r>
        <w:rPr/>
        <w:t>元，经过测试，公司收购北京亿起联科技有 限公司形成的商誉本期减值</w:t>
      </w:r>
      <w:r>
        <w:rPr>
          <w:rFonts w:ascii="Times New Roman" w:hAnsi="Times New Roman" w:cs="Times New Roman" w:eastAsia="Times New Roman" w:hint="default"/>
        </w:rPr>
        <w:t>409,368,717.33</w:t>
      </w:r>
      <w:r>
        <w:rPr/>
        <w:t>元。</w:t>
      </w:r>
    </w:p>
    <w:p>
      <w:pPr>
        <w:spacing w:line="240" w:lineRule="auto" w:before="5"/>
        <w:rPr>
          <w:rFonts w:ascii="宋体" w:hAnsi="宋体" w:cs="宋体" w:eastAsia="宋体" w:hint="default"/>
          <w:sz w:val="24"/>
          <w:szCs w:val="24"/>
        </w:rPr>
      </w:pPr>
    </w:p>
    <w:p>
      <w:pPr>
        <w:pStyle w:val="BodyText"/>
        <w:spacing w:line="240" w:lineRule="auto"/>
        <w:ind w:right="0"/>
        <w:jc w:val="both"/>
      </w:pPr>
      <w:r>
        <w:rPr/>
        <w:t>（</w:t>
      </w:r>
      <w:r>
        <w:rPr>
          <w:rFonts w:ascii="Times New Roman" w:hAnsi="Times New Roman" w:cs="Times New Roman" w:eastAsia="Times New Roman" w:hint="default"/>
        </w:rPr>
        <w:t>2</w:t>
      </w:r>
      <w:r>
        <w:rPr/>
        <w:t>）北京瑞意恒动科技有限公司：</w:t>
      </w:r>
    </w:p>
    <w:p>
      <w:pPr>
        <w:spacing w:line="240" w:lineRule="auto" w:before="13"/>
        <w:rPr>
          <w:rFonts w:ascii="宋体" w:hAnsi="宋体" w:cs="宋体" w:eastAsia="宋体" w:hint="default"/>
          <w:sz w:val="3"/>
          <w:szCs w:val="3"/>
        </w:rPr>
      </w:pPr>
    </w:p>
    <w:tbl>
      <w:tblPr>
        <w:tblW w:w="0" w:type="auto"/>
        <w:jc w:val="left"/>
        <w:tblInd w:w="139" w:type="dxa"/>
        <w:tblLayout w:type="fixed"/>
        <w:tblCellMar>
          <w:top w:w="0" w:type="dxa"/>
          <w:left w:w="0" w:type="dxa"/>
          <w:bottom w:w="0" w:type="dxa"/>
          <w:right w:w="0" w:type="dxa"/>
        </w:tblCellMar>
        <w:tblLook w:val="01E0"/>
      </w:tblPr>
      <w:tblGrid>
        <w:gridCol w:w="2842"/>
        <w:gridCol w:w="3118"/>
        <w:gridCol w:w="3699"/>
      </w:tblGrid>
      <w:tr>
        <w:trPr>
          <w:trHeight w:val="422" w:hRule="exact"/>
        </w:trPr>
        <w:tc>
          <w:tcPr>
            <w:tcW w:w="2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1146" w:right="0"/>
              <w:jc w:val="left"/>
              <w:rPr>
                <w:rFonts w:ascii="宋体" w:hAnsi="宋体" w:cs="宋体" w:eastAsia="宋体" w:hint="default"/>
                <w:sz w:val="18"/>
                <w:szCs w:val="18"/>
              </w:rPr>
            </w:pPr>
            <w:r>
              <w:rPr>
                <w:rFonts w:ascii="宋体" w:hAnsi="宋体" w:cs="宋体" w:eastAsia="宋体" w:hint="default"/>
                <w:sz w:val="18"/>
                <w:szCs w:val="18"/>
              </w:rPr>
              <w:t>考核期</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承诺金额</w:t>
            </w:r>
          </w:p>
        </w:tc>
        <w:tc>
          <w:tcPr>
            <w:tcW w:w="36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584" w:right="0"/>
              <w:jc w:val="left"/>
              <w:rPr>
                <w:rFonts w:ascii="宋体" w:hAnsi="宋体" w:cs="宋体" w:eastAsia="宋体" w:hint="default"/>
                <w:sz w:val="18"/>
                <w:szCs w:val="18"/>
              </w:rPr>
            </w:pPr>
            <w:r>
              <w:rPr>
                <w:rFonts w:ascii="宋体" w:hAnsi="宋体" w:cs="宋体" w:eastAsia="宋体" w:hint="default"/>
                <w:sz w:val="18"/>
                <w:szCs w:val="18"/>
              </w:rPr>
              <w:t>实现金额（扣除非经常性损益）</w:t>
            </w:r>
          </w:p>
        </w:tc>
      </w:tr>
      <w:tr>
        <w:trPr>
          <w:trHeight w:val="34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96"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2016</w:t>
            </w:r>
            <w:r>
              <w:rPr>
                <w:rFonts w:ascii="宋体" w:hAnsi="宋体" w:cs="宋体" w:eastAsia="宋体" w:hint="default"/>
                <w:sz w:val="16"/>
                <w:szCs w:val="16"/>
              </w:rPr>
              <w:t>年度</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4"/>
              <w:jc w:val="right"/>
              <w:rPr>
                <w:rFonts w:ascii="Times New Roman" w:hAnsi="Times New Roman" w:cs="Times New Roman" w:eastAsia="Times New Roman" w:hint="default"/>
                <w:sz w:val="16"/>
                <w:szCs w:val="16"/>
              </w:rPr>
            </w:pPr>
            <w:r>
              <w:rPr>
                <w:rFonts w:ascii="Times New Roman"/>
                <w:spacing w:val="-1"/>
                <w:sz w:val="16"/>
              </w:rPr>
              <w:t>15,000,000.00</w:t>
            </w:r>
          </w:p>
        </w:tc>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
              <w:jc w:val="right"/>
              <w:rPr>
                <w:rFonts w:ascii="Times New Roman" w:hAnsi="Times New Roman" w:cs="Times New Roman" w:eastAsia="Times New Roman" w:hint="default"/>
                <w:sz w:val="16"/>
                <w:szCs w:val="16"/>
              </w:rPr>
            </w:pPr>
            <w:r>
              <w:rPr>
                <w:rFonts w:ascii="Times New Roman"/>
                <w:spacing w:val="-1"/>
                <w:sz w:val="16"/>
              </w:rPr>
              <w:t>15,681,389.38</w:t>
            </w:r>
          </w:p>
        </w:tc>
      </w:tr>
      <w:tr>
        <w:trPr>
          <w:trHeight w:val="34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96"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年度</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
              <w:jc w:val="right"/>
              <w:rPr>
                <w:rFonts w:ascii="Times New Roman" w:hAnsi="Times New Roman" w:cs="Times New Roman" w:eastAsia="Times New Roman" w:hint="default"/>
                <w:sz w:val="16"/>
                <w:szCs w:val="16"/>
              </w:rPr>
            </w:pPr>
            <w:r>
              <w:rPr>
                <w:rFonts w:ascii="Times New Roman"/>
                <w:spacing w:val="-1"/>
                <w:sz w:val="16"/>
              </w:rPr>
              <w:t>19,500,000.00</w:t>
            </w:r>
          </w:p>
        </w:tc>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
              <w:jc w:val="right"/>
              <w:rPr>
                <w:rFonts w:ascii="Times New Roman" w:hAnsi="Times New Roman" w:cs="Times New Roman" w:eastAsia="Times New Roman" w:hint="default"/>
                <w:sz w:val="16"/>
                <w:szCs w:val="16"/>
              </w:rPr>
            </w:pPr>
            <w:r>
              <w:rPr>
                <w:rFonts w:ascii="Times New Roman"/>
                <w:spacing w:val="-1"/>
                <w:sz w:val="16"/>
              </w:rPr>
              <w:t>21,850,590.48</w:t>
            </w:r>
          </w:p>
        </w:tc>
      </w:tr>
      <w:tr>
        <w:trPr>
          <w:trHeight w:val="34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96"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年度</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
              <w:jc w:val="right"/>
              <w:rPr>
                <w:rFonts w:ascii="Times New Roman" w:hAnsi="Times New Roman" w:cs="Times New Roman" w:eastAsia="Times New Roman" w:hint="default"/>
                <w:sz w:val="16"/>
                <w:szCs w:val="16"/>
              </w:rPr>
            </w:pPr>
            <w:r>
              <w:rPr>
                <w:rFonts w:ascii="Times New Roman"/>
                <w:spacing w:val="-1"/>
                <w:sz w:val="16"/>
              </w:rPr>
              <w:t>25,350,000.00</w:t>
            </w:r>
          </w:p>
        </w:tc>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spacing w:val="-1"/>
                <w:sz w:val="16"/>
              </w:rPr>
              <w:t>26,166,920.17</w:t>
            </w:r>
          </w:p>
        </w:tc>
      </w:tr>
    </w:tbl>
    <w:p>
      <w:pPr>
        <w:pStyle w:val="BodyText"/>
        <w:spacing w:line="307" w:lineRule="auto" w:before="10"/>
        <w:ind w:right="1130"/>
        <w:jc w:val="both"/>
      </w:pPr>
      <w:r>
        <w:rPr>
          <w:spacing w:val="-2"/>
        </w:rPr>
        <w:t>北京瑞意恒动科技有限公司</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2018</w:t>
      </w:r>
      <w:r>
        <w:rPr>
          <w:spacing w:val="-2"/>
        </w:rPr>
        <w:t>年均完成了业绩承诺，虽然完成业绩承诺，但通过北京瑞意恒动科技有限公</w:t>
      </w:r>
      <w:r>
        <w:rPr>
          <w:spacing w:val="-54"/>
        </w:rPr>
        <w:t> </w:t>
      </w:r>
      <w:r>
        <w:rPr>
          <w:spacing w:val="-54"/>
        </w:rPr>
      </w:r>
      <w:r>
        <w:rPr>
          <w:spacing w:val="-2"/>
        </w:rPr>
        <w:t>司管理层对未来可预测期间的国内外市场行情、经营情况以及与对手的竞争状况等分析，根据专家商誉减值测试结果，包含</w:t>
      </w:r>
      <w:r>
        <w:rPr>
          <w:spacing w:val="-66"/>
        </w:rPr>
        <w:t> </w:t>
      </w:r>
      <w:r>
        <w:rPr>
          <w:spacing w:val="-66"/>
        </w:rPr>
      </w:r>
      <w:r>
        <w:rPr/>
        <w:t>整体商誉的资产组的公允价值</w:t>
      </w:r>
      <w:r>
        <w:rPr>
          <w:rFonts w:ascii="Times New Roman" w:hAnsi="Times New Roman" w:cs="Times New Roman" w:eastAsia="Times New Roman" w:hint="default"/>
        </w:rPr>
        <w:t>253,365,817.07</w:t>
      </w:r>
      <w:r>
        <w:rPr/>
        <w:t>元，资产组预计未来现金流量的现值</w:t>
      </w:r>
      <w:r>
        <w:rPr>
          <w:rFonts w:ascii="Times New Roman" w:hAnsi="Times New Roman" w:cs="Times New Roman" w:eastAsia="Times New Roman" w:hint="default"/>
        </w:rPr>
        <w:t>233,000,000.00</w:t>
      </w:r>
      <w:r>
        <w:rPr/>
        <w:t>元，经过测试，公司收购北</w:t>
      </w:r>
      <w:r>
        <w:rPr>
          <w:spacing w:val="-86"/>
        </w:rPr>
        <w:t> </w:t>
      </w:r>
      <w:r>
        <w:rPr>
          <w:spacing w:val="-86"/>
        </w:rPr>
      </w:r>
      <w:r>
        <w:rPr/>
        <w:t>京瑞意恒动科技有限公司形成的商誉本期减值</w:t>
      </w:r>
      <w:r>
        <w:rPr>
          <w:rFonts w:ascii="Times New Roman" w:hAnsi="Times New Roman" w:cs="Times New Roman" w:eastAsia="Times New Roman" w:hint="default"/>
        </w:rPr>
        <w:t>20,365,817.07</w:t>
      </w:r>
      <w:r>
        <w:rPr/>
        <w:t>元。</w:t>
      </w:r>
    </w:p>
    <w:p>
      <w:pPr>
        <w:spacing w:line="240" w:lineRule="auto" w:before="5"/>
        <w:rPr>
          <w:rFonts w:ascii="宋体" w:hAnsi="宋体" w:cs="宋体" w:eastAsia="宋体" w:hint="default"/>
          <w:sz w:val="24"/>
          <w:szCs w:val="24"/>
        </w:rPr>
      </w:pPr>
    </w:p>
    <w:p>
      <w:pPr>
        <w:pStyle w:val="BodyText"/>
        <w:spacing w:line="240" w:lineRule="auto"/>
        <w:ind w:right="0"/>
        <w:jc w:val="both"/>
      </w:pPr>
      <w:r>
        <w:rPr/>
        <w:t>（</w:t>
      </w:r>
      <w:r>
        <w:rPr>
          <w:rFonts w:ascii="Times New Roman" w:hAnsi="Times New Roman" w:cs="Times New Roman" w:eastAsia="Times New Roman" w:hint="default"/>
        </w:rPr>
        <w:t>3</w:t>
      </w:r>
      <w:r>
        <w:rPr/>
        <w:t>）上海移通网络有限公司：</w:t>
      </w:r>
    </w:p>
    <w:p>
      <w:pPr>
        <w:spacing w:line="240" w:lineRule="auto" w:before="13"/>
        <w:rPr>
          <w:rFonts w:ascii="宋体" w:hAnsi="宋体" w:cs="宋体" w:eastAsia="宋体" w:hint="default"/>
          <w:sz w:val="3"/>
          <w:szCs w:val="3"/>
        </w:rPr>
      </w:pPr>
    </w:p>
    <w:tbl>
      <w:tblPr>
        <w:tblW w:w="0" w:type="auto"/>
        <w:jc w:val="left"/>
        <w:tblInd w:w="139" w:type="dxa"/>
        <w:tblLayout w:type="fixed"/>
        <w:tblCellMar>
          <w:top w:w="0" w:type="dxa"/>
          <w:left w:w="0" w:type="dxa"/>
          <w:bottom w:w="0" w:type="dxa"/>
          <w:right w:w="0" w:type="dxa"/>
        </w:tblCellMar>
        <w:tblLook w:val="01E0"/>
      </w:tblPr>
      <w:tblGrid>
        <w:gridCol w:w="2842"/>
        <w:gridCol w:w="3118"/>
        <w:gridCol w:w="3699"/>
      </w:tblGrid>
      <w:tr>
        <w:trPr>
          <w:trHeight w:val="422" w:hRule="exact"/>
        </w:trPr>
        <w:tc>
          <w:tcPr>
            <w:tcW w:w="2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1146" w:right="0"/>
              <w:jc w:val="left"/>
              <w:rPr>
                <w:rFonts w:ascii="宋体" w:hAnsi="宋体" w:cs="宋体" w:eastAsia="宋体" w:hint="default"/>
                <w:sz w:val="18"/>
                <w:szCs w:val="18"/>
              </w:rPr>
            </w:pPr>
            <w:r>
              <w:rPr>
                <w:rFonts w:ascii="宋体" w:hAnsi="宋体" w:cs="宋体" w:eastAsia="宋体" w:hint="default"/>
                <w:sz w:val="18"/>
                <w:szCs w:val="18"/>
              </w:rPr>
              <w:t>考核期</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承诺金额</w:t>
            </w:r>
          </w:p>
        </w:tc>
        <w:tc>
          <w:tcPr>
            <w:tcW w:w="36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584" w:right="0"/>
              <w:jc w:val="left"/>
              <w:rPr>
                <w:rFonts w:ascii="宋体" w:hAnsi="宋体" w:cs="宋体" w:eastAsia="宋体" w:hint="default"/>
                <w:sz w:val="18"/>
                <w:szCs w:val="18"/>
              </w:rPr>
            </w:pPr>
            <w:r>
              <w:rPr>
                <w:rFonts w:ascii="宋体" w:hAnsi="宋体" w:cs="宋体" w:eastAsia="宋体" w:hint="default"/>
                <w:sz w:val="18"/>
                <w:szCs w:val="18"/>
              </w:rPr>
              <w:t>实现金额（扣除非经常性损益）</w:t>
            </w:r>
          </w:p>
        </w:tc>
      </w:tr>
      <w:tr>
        <w:trPr>
          <w:trHeight w:val="34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96"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2016</w:t>
            </w:r>
            <w:r>
              <w:rPr>
                <w:rFonts w:ascii="宋体" w:hAnsi="宋体" w:cs="宋体" w:eastAsia="宋体" w:hint="default"/>
                <w:sz w:val="16"/>
                <w:szCs w:val="16"/>
              </w:rPr>
              <w:t>年度</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
              <w:jc w:val="right"/>
              <w:rPr>
                <w:rFonts w:ascii="Times New Roman" w:hAnsi="Times New Roman" w:cs="Times New Roman" w:eastAsia="Times New Roman" w:hint="default"/>
                <w:sz w:val="16"/>
                <w:szCs w:val="16"/>
              </w:rPr>
            </w:pPr>
            <w:r>
              <w:rPr>
                <w:rFonts w:ascii="Times New Roman"/>
                <w:spacing w:val="-1"/>
                <w:sz w:val="16"/>
              </w:rPr>
              <w:t>80,000,000.00</w:t>
            </w:r>
          </w:p>
        </w:tc>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4"/>
              <w:jc w:val="right"/>
              <w:rPr>
                <w:rFonts w:ascii="Times New Roman" w:hAnsi="Times New Roman" w:cs="Times New Roman" w:eastAsia="Times New Roman" w:hint="default"/>
                <w:sz w:val="16"/>
                <w:szCs w:val="16"/>
              </w:rPr>
            </w:pPr>
            <w:r>
              <w:rPr>
                <w:rFonts w:ascii="Times New Roman"/>
                <w:spacing w:val="-1"/>
                <w:sz w:val="16"/>
              </w:rPr>
              <w:t>89,231,613.25</w:t>
            </w:r>
          </w:p>
        </w:tc>
      </w:tr>
      <w:tr>
        <w:trPr>
          <w:trHeight w:val="34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96"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年度</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
              <w:jc w:val="right"/>
              <w:rPr>
                <w:rFonts w:ascii="Times New Roman" w:hAnsi="Times New Roman" w:cs="Times New Roman" w:eastAsia="Times New Roman" w:hint="default"/>
                <w:sz w:val="16"/>
                <w:szCs w:val="16"/>
              </w:rPr>
            </w:pPr>
            <w:r>
              <w:rPr>
                <w:rFonts w:ascii="Times New Roman"/>
                <w:spacing w:val="-1"/>
                <w:sz w:val="16"/>
              </w:rPr>
              <w:t>104,000,000.00</w:t>
            </w:r>
          </w:p>
        </w:tc>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
              <w:jc w:val="right"/>
              <w:rPr>
                <w:rFonts w:ascii="Times New Roman" w:hAnsi="Times New Roman" w:cs="Times New Roman" w:eastAsia="Times New Roman" w:hint="default"/>
                <w:sz w:val="16"/>
                <w:szCs w:val="16"/>
              </w:rPr>
            </w:pPr>
            <w:r>
              <w:rPr>
                <w:rFonts w:ascii="Times New Roman"/>
                <w:spacing w:val="-1"/>
                <w:sz w:val="16"/>
              </w:rPr>
              <w:t>101,151,166.93</w:t>
            </w:r>
          </w:p>
        </w:tc>
      </w:tr>
      <w:tr>
        <w:trPr>
          <w:trHeight w:val="34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96"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年度</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
              <w:jc w:val="right"/>
              <w:rPr>
                <w:rFonts w:ascii="Times New Roman" w:hAnsi="Times New Roman" w:cs="Times New Roman" w:eastAsia="Times New Roman" w:hint="default"/>
                <w:sz w:val="16"/>
                <w:szCs w:val="16"/>
              </w:rPr>
            </w:pPr>
            <w:r>
              <w:rPr>
                <w:rFonts w:ascii="Times New Roman"/>
                <w:spacing w:val="-1"/>
                <w:sz w:val="16"/>
              </w:rPr>
              <w:t>135,000,000.00</w:t>
            </w:r>
          </w:p>
        </w:tc>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spacing w:val="-1"/>
                <w:sz w:val="16"/>
              </w:rPr>
              <w:t>49,334,489.71</w:t>
            </w:r>
          </w:p>
        </w:tc>
      </w:tr>
    </w:tbl>
    <w:p>
      <w:pPr>
        <w:pStyle w:val="BodyText"/>
        <w:spacing w:line="307" w:lineRule="auto" w:before="10"/>
        <w:ind w:right="1131"/>
        <w:jc w:val="both"/>
      </w:pPr>
      <w:r>
        <w:rPr>
          <w:spacing w:val="-2"/>
        </w:rPr>
        <w:t>上海移通网络有限公司</w:t>
      </w:r>
      <w:r>
        <w:rPr>
          <w:rFonts w:ascii="Times New Roman" w:hAnsi="Times New Roman" w:cs="Times New Roman" w:eastAsia="Times New Roman" w:hint="default"/>
          <w:spacing w:val="-2"/>
        </w:rPr>
        <w:t>2016</w:t>
      </w:r>
      <w:r>
        <w:rPr>
          <w:spacing w:val="-2"/>
        </w:rPr>
        <w:t>年完成业绩承诺、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2018</w:t>
      </w:r>
      <w:r>
        <w:rPr>
          <w:spacing w:val="-2"/>
        </w:rPr>
        <w:t>年未完成业绩承诺，合计未能完成承诺，通过上海移通网络有限</w:t>
      </w:r>
      <w:r>
        <w:rPr>
          <w:spacing w:val="-54"/>
        </w:rPr>
        <w:t> </w:t>
      </w:r>
      <w:r>
        <w:rPr>
          <w:spacing w:val="-54"/>
        </w:rPr>
      </w:r>
      <w:r>
        <w:rPr>
          <w:spacing w:val="-2"/>
        </w:rPr>
        <w:t>公司管理层对未来可预测期间的国内外市场行情、经营情况以及与对手的竞争状况等分析，根据专家商誉减值测试结果，包</w:t>
      </w:r>
      <w:r>
        <w:rPr>
          <w:spacing w:val="-66"/>
        </w:rPr>
        <w:t> </w:t>
      </w:r>
      <w:r>
        <w:rPr>
          <w:spacing w:val="-66"/>
        </w:rPr>
      </w:r>
      <w:r>
        <w:rPr>
          <w:spacing w:val="-1"/>
        </w:rPr>
        <w:t>含整体商誉的资产组的公允价值</w:t>
      </w:r>
      <w:r>
        <w:rPr>
          <w:rFonts w:ascii="Times New Roman" w:hAnsi="Times New Roman" w:cs="Times New Roman" w:eastAsia="Times New Roman" w:hint="default"/>
          <w:spacing w:val="-1"/>
        </w:rPr>
        <w:t>1,312,948,354.90</w:t>
      </w:r>
      <w:r>
        <w:rPr>
          <w:spacing w:val="-1"/>
        </w:rPr>
        <w:t>元，资产组可回收金额</w:t>
      </w:r>
      <w:r>
        <w:rPr>
          <w:rFonts w:ascii="Times New Roman" w:hAnsi="Times New Roman" w:cs="Times New Roman" w:eastAsia="Times New Roman" w:hint="default"/>
          <w:spacing w:val="-1"/>
        </w:rPr>
        <w:t>26,509,416.08</w:t>
      </w:r>
      <w:r>
        <w:rPr>
          <w:spacing w:val="-1"/>
        </w:rPr>
        <w:t>元，经过测试，公司收购上海移通网络</w:t>
      </w:r>
      <w:r>
        <w:rPr>
          <w:spacing w:val="-68"/>
        </w:rPr>
        <w:t> </w:t>
      </w:r>
      <w:r>
        <w:rPr>
          <w:spacing w:val="-68"/>
        </w:rPr>
      </w:r>
      <w:r>
        <w:rPr/>
        <w:t>有限公司形成的商誉本期减值</w:t>
      </w:r>
      <w:r>
        <w:rPr>
          <w:rFonts w:ascii="Times New Roman" w:hAnsi="Times New Roman" w:cs="Times New Roman" w:eastAsia="Times New Roman" w:hint="default"/>
        </w:rPr>
        <w:t>647,660,396.82</w:t>
      </w:r>
      <w:r>
        <w:rPr/>
        <w:t>元。</w:t>
      </w:r>
    </w:p>
    <w:p>
      <w:pPr>
        <w:spacing w:line="240" w:lineRule="auto" w:before="8"/>
        <w:rPr>
          <w:rFonts w:ascii="宋体" w:hAnsi="宋体" w:cs="宋体" w:eastAsia="宋体" w:hint="default"/>
          <w:sz w:val="21"/>
          <w:szCs w:val="21"/>
        </w:rPr>
      </w:pPr>
    </w:p>
    <w:p>
      <w:pPr>
        <w:pStyle w:val="Heading3"/>
        <w:spacing w:line="240" w:lineRule="auto"/>
        <w:ind w:right="0"/>
        <w:jc w:val="both"/>
        <w:rPr>
          <w:b w:val="0"/>
          <w:bCs w:val="0"/>
        </w:rPr>
      </w:pPr>
      <w:bookmarkStart w:name="16、长期待摊费用" w:id="270"/>
      <w:bookmarkEnd w:id="270"/>
      <w:r>
        <w:rPr>
          <w:b w:val="0"/>
          <w:bCs w:val="0"/>
        </w:rPr>
      </w:r>
      <w:r>
        <w:rPr>
          <w:rFonts w:ascii="Times New Roman" w:hAnsi="Times New Roman" w:cs="Times New Roman" w:eastAsia="Times New Roman" w:hint="default"/>
        </w:rPr>
        <w:t>16</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3,894,250.16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598,078.34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3,296,171.82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966,493.17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698,315.56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268,177.61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物业费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3,418.87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3,418.87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宽带及服务器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158,490.56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79,245.26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79,245.30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5,022,652.76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1,379,058.03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79,245.30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3,564,349.43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left="214" w:right="1572"/>
        <w:jc w:val="left"/>
        <w:rPr>
          <w:b w:val="0"/>
          <w:bCs w:val="0"/>
        </w:rPr>
      </w:pPr>
      <w:bookmarkStart w:name="17、递延所得税资产/递延所得税负债" w:id="271"/>
      <w:bookmarkEnd w:id="271"/>
      <w:r>
        <w:rPr>
          <w:b w:val="0"/>
          <w:bCs w:val="0"/>
        </w:rPr>
      </w: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4" w:right="1572"/>
        <w:jc w:val="left"/>
        <w:rPr>
          <w:b w:val="0"/>
          <w:bCs w:val="0"/>
        </w:rPr>
      </w:pPr>
      <w:bookmarkStart w:name="（1）未经抵销的递延所得税资产" w:id="272"/>
      <w:bookmarkEnd w:id="272"/>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39,001,087.43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8,435,266.70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16,359,908.24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1,809,091.30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4,922,508.09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492,250.81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4,473,120.90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447,312.09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9,548,582.02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954,858.20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13,741,137.46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1,374,113.75</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53,472,177.54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9,882,375.71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34,574,166.60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3,630,517.14</w:t>
            </w:r>
          </w:p>
        </w:tc>
      </w:tr>
    </w:tbl>
    <w:p>
      <w:pPr>
        <w:spacing w:line="240" w:lineRule="auto" w:before="2"/>
        <w:rPr>
          <w:rFonts w:ascii="宋体" w:hAnsi="宋体" w:cs="宋体" w:eastAsia="宋体" w:hint="default"/>
          <w:sz w:val="19"/>
          <w:szCs w:val="19"/>
        </w:rPr>
      </w:pPr>
    </w:p>
    <w:p>
      <w:pPr>
        <w:pStyle w:val="Heading3"/>
        <w:spacing w:line="240" w:lineRule="auto" w:before="35"/>
        <w:ind w:left="214" w:right="1572"/>
        <w:jc w:val="left"/>
        <w:rPr>
          <w:b w:val="0"/>
          <w:bCs w:val="0"/>
        </w:rPr>
      </w:pPr>
      <w:bookmarkStart w:name="（2）未经抵销的递延所得税负债" w:id="273"/>
      <w:bookmarkEnd w:id="273"/>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18,200,200.00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2,730,030.00</w:t>
            </w: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18,200,200.00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2,730,030.00</w:t>
            </w:r>
          </w:p>
        </w:tc>
      </w:tr>
    </w:tbl>
    <w:p>
      <w:pPr>
        <w:spacing w:line="240" w:lineRule="auto" w:before="2"/>
        <w:rPr>
          <w:rFonts w:ascii="宋体" w:hAnsi="宋体" w:cs="宋体" w:eastAsia="宋体" w:hint="default"/>
          <w:sz w:val="19"/>
          <w:szCs w:val="19"/>
        </w:rPr>
      </w:pPr>
    </w:p>
    <w:p>
      <w:pPr>
        <w:pStyle w:val="Heading3"/>
        <w:spacing w:line="240" w:lineRule="auto" w:before="35"/>
        <w:ind w:left="214" w:right="1572"/>
        <w:jc w:val="left"/>
        <w:rPr>
          <w:b w:val="0"/>
          <w:bCs w:val="0"/>
        </w:rPr>
      </w:pPr>
      <w:bookmarkStart w:name="（3）以抵销后净额列示的递延所得税资产或负债" w:id="274"/>
      <w:bookmarkEnd w:id="274"/>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25"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9,882,375.71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3,630,517.14</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2,420,970.00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2,730,030.00</w:t>
            </w:r>
          </w:p>
        </w:tc>
      </w:tr>
    </w:tbl>
    <w:p>
      <w:pPr>
        <w:spacing w:line="240" w:lineRule="auto" w:before="2"/>
        <w:rPr>
          <w:rFonts w:ascii="宋体" w:hAnsi="宋体" w:cs="宋体" w:eastAsia="宋体" w:hint="default"/>
          <w:sz w:val="19"/>
          <w:szCs w:val="19"/>
        </w:rPr>
      </w:pPr>
    </w:p>
    <w:p>
      <w:pPr>
        <w:pStyle w:val="Heading3"/>
        <w:spacing w:line="240" w:lineRule="auto" w:before="35"/>
        <w:ind w:left="214" w:right="1572"/>
        <w:jc w:val="left"/>
        <w:rPr>
          <w:b w:val="0"/>
          <w:bCs w:val="0"/>
        </w:rPr>
      </w:pPr>
      <w:bookmarkStart w:name="（4）未确认递延所得税资产明细" w:id="275"/>
      <w:bookmarkEnd w:id="275"/>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7"/>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4348"/>
        <w:gridCol w:w="3048"/>
        <w:gridCol w:w="2459"/>
      </w:tblGrid>
      <w:tr>
        <w:trPr>
          <w:trHeight w:val="344" w:hRule="exact"/>
        </w:trPr>
        <w:tc>
          <w:tcPr>
            <w:tcW w:w="43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92" w:hRule="exact"/>
        </w:trPr>
        <w:tc>
          <w:tcPr>
            <w:tcW w:w="43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048" w:type="dxa"/>
            <w:tcBorders>
              <w:top w:val="single" w:sz="15" w:space="0" w:color="D9D9D9"/>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5,717,712.56</w:t>
            </w:r>
          </w:p>
        </w:tc>
        <w:tc>
          <w:tcPr>
            <w:tcW w:w="2459" w:type="dxa"/>
            <w:tcBorders>
              <w:top w:val="single" w:sz="15" w:space="0" w:color="D9D9D9"/>
              <w:left w:val="single" w:sz="4" w:space="0" w:color="000000"/>
              <w:bottom w:val="single" w:sz="4" w:space="0" w:color="000000"/>
              <w:right w:val="single" w:sz="4" w:space="0" w:color="000000"/>
            </w:tcBorders>
          </w:tcPr>
          <w:p>
            <w:pPr/>
          </w:p>
        </w:tc>
      </w:tr>
      <w:tr>
        <w:trPr>
          <w:trHeight w:val="379" w:hRule="exact"/>
        </w:trPr>
        <w:tc>
          <w:tcPr>
            <w:tcW w:w="43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5,717,712.56</w:t>
            </w:r>
          </w:p>
        </w:tc>
        <w:tc>
          <w:tcPr>
            <w:tcW w:w="245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left="214" w:right="1572"/>
        <w:jc w:val="left"/>
        <w:rPr>
          <w:b w:val="0"/>
          <w:bCs w:val="0"/>
        </w:rPr>
      </w:pPr>
      <w:bookmarkStart w:name="（5）未确认递延所得税资产的可抵扣亏损将于以下年度到期：" w:id="276"/>
      <w:bookmarkEnd w:id="276"/>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14" w:right="1572"/>
        <w:jc w:val="left"/>
      </w:pPr>
      <w:r>
        <w:rPr/>
        <w:t>无</w:t>
      </w:r>
    </w:p>
    <w:p>
      <w:pPr>
        <w:spacing w:after="0" w:line="240" w:lineRule="auto"/>
        <w:jc w:val="left"/>
        <w:sectPr>
          <w:pgSz w:w="11910" w:h="16840"/>
          <w:pgMar w:header="877" w:footer="979" w:top="1100" w:bottom="1160" w:left="92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18、其他非流动资产" w:id="277"/>
      <w:bookmarkEnd w:id="277"/>
      <w:r>
        <w:rPr>
          <w:b w:val="0"/>
          <w:bCs w:val="0"/>
        </w:rPr>
      </w:r>
      <w:r>
        <w:rPr>
          <w:rFonts w:ascii="Times New Roman" w:hAnsi="Times New Roman" w:cs="Times New Roman" w:eastAsia="Times New Roman" w:hint="default"/>
        </w:rPr>
        <w:t>18</w:t>
      </w:r>
      <w:r>
        <w:rPr/>
        <w:t>、其他非流动资产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9、短期借款" w:id="278"/>
      <w:bookmarkEnd w:id="278"/>
      <w:r>
        <w:rPr>
          <w:b w:val="0"/>
          <w:bCs w:val="0"/>
        </w:rPr>
      </w:r>
      <w:r>
        <w:rPr>
          <w:rFonts w:ascii="Times New Roman" w:hAnsi="Times New Roman" w:cs="Times New Roman" w:eastAsia="Times New Roman" w:hint="default"/>
        </w:rPr>
        <w:t>19</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79"/>
      <w:bookmarkEnd w:id="279"/>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114,820,300.00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185,825,300.00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134,820,300.00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185,825,300.00</w:t>
            </w:r>
          </w:p>
        </w:tc>
      </w:tr>
    </w:tbl>
    <w:p>
      <w:pPr>
        <w:pStyle w:val="BodyText"/>
        <w:spacing w:line="240" w:lineRule="auto" w:before="51"/>
        <w:ind w:right="0"/>
        <w:jc w:val="left"/>
      </w:pPr>
      <w:r>
        <w:rPr/>
        <w:t>短期借款分类的说明：</w:t>
      </w:r>
    </w:p>
    <w:p>
      <w:pPr>
        <w:spacing w:line="240" w:lineRule="auto" w:before="11"/>
        <w:rPr>
          <w:rFonts w:ascii="宋体" w:hAnsi="宋体" w:cs="宋体" w:eastAsia="宋体" w:hint="default"/>
          <w:sz w:val="26"/>
          <w:szCs w:val="26"/>
        </w:rPr>
      </w:pPr>
    </w:p>
    <w:p>
      <w:pPr>
        <w:spacing w:line="547" w:lineRule="auto" w:before="0"/>
        <w:ind w:left="154" w:right="5693" w:firstLine="0"/>
        <w:jc w:val="left"/>
        <w:rPr>
          <w:rFonts w:ascii="宋体" w:hAnsi="宋体" w:cs="宋体" w:eastAsia="宋体" w:hint="default"/>
          <w:sz w:val="21"/>
          <w:szCs w:val="21"/>
        </w:rPr>
      </w:pPr>
      <w:bookmarkStart w:name="（2）已逾期未偿还的短期借款情况" w:id="280"/>
      <w:bookmarkEnd w:id="28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b/>
          <w:bCs/>
          <w:w w:val="99"/>
          <w:sz w:val="21"/>
          <w:szCs w:val="21"/>
        </w:rPr>
        <w:t> </w:t>
      </w:r>
      <w:r>
        <w:rPr>
          <w:rFonts w:ascii="宋体" w:hAnsi="宋体" w:cs="宋体" w:eastAsia="宋体" w:hint="default"/>
          <w:sz w:val="18"/>
          <w:szCs w:val="18"/>
        </w:rPr>
        <w:t>本期末已逾期未偿还的短期借款总额为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w:t>
      </w:r>
      <w:bookmarkStart w:name="20、以公允价值计量且其变动计入当期损益的金融负债" w:id="281"/>
      <w:bookmarkEnd w:id="281"/>
      <w:r>
        <w:rPr>
          <w:rFonts w:ascii="宋体" w:hAnsi="宋体" w:cs="宋体" w:eastAsia="宋体" w:hint="default"/>
          <w:sz w:val="18"/>
          <w:szCs w:val="18"/>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、以公允价值计量且其变动计入当期损益的金融负债</w:t>
      </w:r>
      <w:r>
        <w:rPr>
          <w:rFonts w:ascii="宋体" w:hAnsi="宋体" w:cs="宋体" w:eastAsia="宋体" w:hint="default"/>
          <w:sz w:val="21"/>
          <w:szCs w:val="21"/>
        </w:rPr>
      </w:r>
    </w:p>
    <w:p>
      <w:pPr>
        <w:pStyle w:val="BodyText"/>
        <w:spacing w:line="240" w:lineRule="auto" w:before="50"/>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1、衍生金融负债" w:id="282"/>
      <w:bookmarkEnd w:id="282"/>
      <w:r>
        <w:rPr>
          <w:b w:val="0"/>
          <w:bCs w:val="0"/>
        </w:rPr>
      </w:r>
      <w:r>
        <w:rPr>
          <w:rFonts w:ascii="Times New Roman" w:hAnsi="Times New Roman" w:cs="Times New Roman" w:eastAsia="Times New Roman" w:hint="default"/>
        </w:rPr>
        <w:t>21</w:t>
      </w:r>
      <w:r>
        <w:rPr/>
        <w:t>、衍生金融负债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2、应付票据及应付账款" w:id="283"/>
      <w:bookmarkEnd w:id="283"/>
      <w:r>
        <w:rPr>
          <w:b w:val="0"/>
          <w:bCs w:val="0"/>
        </w:rPr>
      </w:r>
      <w:r>
        <w:rPr>
          <w:rFonts w:ascii="Times New Roman" w:hAnsi="Times New Roman" w:cs="Times New Roman" w:eastAsia="Times New Roman" w:hint="default"/>
        </w:rPr>
        <w:t>22</w:t>
      </w:r>
      <w:r>
        <w:rPr/>
        <w:t>、应付票据及应付账款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3,427,232.00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183,610,965.70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217,539,788.59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183,810,965.70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220,967,020.59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付票据分类列示" w:id="284"/>
      <w:bookmarkEnd w:id="284"/>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3,427,232.00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3,427,232.00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其他说明：本期末已到期未支付的应付票据总额为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应付账款列示" w:id="285"/>
      <w:bookmarkEnd w:id="285"/>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181,214,912.47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215,544,645.27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1,171,179.01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914,153.20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323,900.48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340,336.60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900,973.74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740,653.52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183,610,965.70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217,539,788.59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账龄超过1年的重要应付账款" w:id="286"/>
      <w:bookmarkEnd w:id="286"/>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348,110.00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348,110.00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3、预收款项" w:id="287"/>
      <w:bookmarkEnd w:id="287"/>
      <w:r>
        <w:rPr>
          <w:b w:val="0"/>
          <w:bCs w:val="0"/>
        </w:rPr>
      </w:r>
      <w:r>
        <w:rPr>
          <w:rFonts w:ascii="Times New Roman" w:hAnsi="Times New Roman" w:cs="Times New Roman" w:eastAsia="Times New Roman" w:hint="default"/>
        </w:rPr>
        <w:t>23</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288"/>
      <w:bookmarkEnd w:id="288"/>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58,996,881.02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89,211,718.99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4,567,106.16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20,254,270.52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2,398,157.19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1,925,583.21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2,622,287.02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1,547,899.64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68,584,431.39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112,939,472.36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289"/>
      <w:bookmarkEnd w:id="28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1,248,000.00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982,517.00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912,000.00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4,792,517.00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4、应付职工薪酬" w:id="290"/>
      <w:bookmarkEnd w:id="290"/>
      <w:r>
        <w:rPr>
          <w:b w:val="0"/>
          <w:bCs w:val="0"/>
        </w:rPr>
      </w:r>
      <w:r>
        <w:rPr>
          <w:rFonts w:ascii="Times New Roman" w:hAnsi="Times New Roman" w:cs="Times New Roman" w:eastAsia="Times New Roman" w:hint="default"/>
        </w:rPr>
        <w:t>24</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91"/>
      <w:bookmarkEnd w:id="291"/>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99,434,766.16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569,570,262.73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545,131,629.68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123,873,399.21</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1,348,682.85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46,083,425.61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45,943,477.26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1,488,631.20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195,250.00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195,250.00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100,783,449.01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615,848,938.34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591,270,356.94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125,362,030.41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292"/>
      <w:bookmarkEnd w:id="292"/>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96,379,543.60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480,721,308.04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456,632,928.22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120,467,923.42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11,830,286.01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11,830,286.01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650,959.88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25,444,291.70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25,261,005.10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834,246.48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585,980.03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22,845,908.65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22,681,754.38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750,134.30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18,256.97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722,789.85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718,331.81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22,715.01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46,722.88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1,875,593.20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1,860,918.91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61,397.17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176,947.62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25,082,904.31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24,981,834.69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278,017.24</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2,227,315.06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1,294,388.17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1,228,491.16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2,293,212.07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、短期薪酬其他</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25,190,584.50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25,190,584.50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99,434,766.16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569,570,262.73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545,131,629.68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123,873,399.21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Heading3"/>
        <w:spacing w:line="240" w:lineRule="auto" w:before="35"/>
        <w:ind w:right="0"/>
        <w:jc w:val="left"/>
        <w:rPr>
          <w:b w:val="0"/>
          <w:bCs w:val="0"/>
        </w:rPr>
      </w:pPr>
      <w:bookmarkStart w:name="（3）设定提存计划列示" w:id="293"/>
      <w:bookmarkEnd w:id="293"/>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1,302,940.93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44,368,278.29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44,240,599.89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1,430,619.33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45,741.92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1,715,147.32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1,702,877.37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58,011.87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1,348,682.85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46,083,425.61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45,943,477.26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1,488,631.20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5、应交税费" w:id="294"/>
      <w:bookmarkEnd w:id="294"/>
      <w:r>
        <w:rPr>
          <w:b w:val="0"/>
          <w:bCs w:val="0"/>
        </w:rPr>
      </w:r>
      <w:r>
        <w:rPr>
          <w:rFonts w:ascii="Times New Roman" w:hAnsi="Times New Roman" w:cs="Times New Roman" w:eastAsia="Times New Roman" w:hint="default"/>
        </w:rPr>
        <w:t>25</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25,538,598.71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16,476,027.47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19,836,503.26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21,454,218.03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1,441,751.64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2,093,180.65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1,308,723.39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1,150,223.24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994,141.84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868,010.41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残疾人就业保障金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3,218,099.95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687,495.27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119,421.58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49,807,214.11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45,379,181.33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6、其他应付款" w:id="295"/>
      <w:bookmarkEnd w:id="295"/>
      <w:r>
        <w:rPr>
          <w:b w:val="0"/>
          <w:bCs w:val="0"/>
        </w:rPr>
      </w:r>
      <w:r>
        <w:rPr>
          <w:rFonts w:ascii="Times New Roman" w:hAnsi="Times New Roman" w:cs="Times New Roman" w:eastAsia="Times New Roman" w:hint="default"/>
        </w:rPr>
        <w:t>26</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2,457,701.65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1,488,394.40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624,372,044.48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631,307,930.77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626,829,746.13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632,796,325.17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付利息" w:id="296"/>
      <w:bookmarkEnd w:id="296"/>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190,227.52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142,949.08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可转债应付利息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2,267,474.13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1,345,445.32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2,457,701.65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1,488,394.40</w:t>
            </w:r>
          </w:p>
        </w:tc>
      </w:tr>
    </w:tbl>
    <w:p>
      <w:pPr>
        <w:pStyle w:val="BodyText"/>
        <w:spacing w:line="240" w:lineRule="auto" w:before="51"/>
        <w:ind w:right="0"/>
        <w:jc w:val="left"/>
      </w:pPr>
      <w:r>
        <w:rPr/>
        <w:t>重要的已逾期未支付的利息情况：无</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2）其他应付款" w:id="297"/>
      <w:bookmarkEnd w:id="297"/>
      <w:r>
        <w:rPr>
          <w:b w:val="0"/>
          <w:bCs w:val="0"/>
        </w:rPr>
      </w:r>
      <w:r>
        <w:rPr/>
        <w:t>（</w:t>
      </w:r>
      <w:r>
        <w:rPr>
          <w:rFonts w:ascii="Times New Roman" w:hAnsi="Times New Roman" w:cs="Times New Roman" w:eastAsia="Times New Roman" w:hint="default"/>
        </w:rPr>
        <w:t>2</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按款项性质列示其他应付款</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517,800,000.00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571,600,000.00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29,874,024.00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43,131,880.00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5,216,035.99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3,839,863.17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56,546,364.70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356,046.73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13,409,847.91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11,663,275.87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1,525,771.88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716,865.00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624,372,044.48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631,307,930.77</w:t>
            </w:r>
          </w:p>
        </w:tc>
      </w:tr>
    </w:tbl>
    <w:p>
      <w:pPr>
        <w:pStyle w:val="BodyText"/>
        <w:spacing w:line="240" w:lineRule="auto" w:before="51"/>
        <w:ind w:right="0"/>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移通网络（香港）有限公司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244,800,000.00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沈栋梁、郝欣诚、顾瀚博</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某单位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4,164,000.00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289,964,000.00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7、持有待售负债" w:id="298"/>
      <w:bookmarkEnd w:id="298"/>
      <w:r>
        <w:rPr>
          <w:b w:val="0"/>
          <w:bCs w:val="0"/>
        </w:rPr>
      </w:r>
      <w:r>
        <w:rPr>
          <w:rFonts w:ascii="Times New Roman" w:hAnsi="Times New Roman" w:cs="Times New Roman" w:eastAsia="Times New Roman" w:hint="default"/>
        </w:rPr>
        <w:t>27</w:t>
      </w:r>
      <w:r>
        <w:rPr/>
        <w:t>、持有待售负债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8、一年内到期的非流动负债" w:id="299"/>
      <w:bookmarkEnd w:id="299"/>
      <w:r>
        <w:rPr>
          <w:b w:val="0"/>
          <w:bCs w:val="0"/>
        </w:rPr>
      </w:r>
      <w:r>
        <w:rPr>
          <w:rFonts w:ascii="Times New Roman" w:hAnsi="Times New Roman" w:cs="Times New Roman" w:eastAsia="Times New Roman" w:hint="default"/>
        </w:rPr>
        <w:t>28</w:t>
      </w:r>
      <w:r>
        <w:rPr/>
        <w:t>、一年内到期的非流动负债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9、其他流动负债" w:id="300"/>
      <w:bookmarkEnd w:id="300"/>
      <w:r>
        <w:rPr>
          <w:b w:val="0"/>
          <w:bCs w:val="0"/>
        </w:rPr>
      </w:r>
      <w:r>
        <w:rPr>
          <w:rFonts w:ascii="Times New Roman" w:hAnsi="Times New Roman" w:cs="Times New Roman" w:eastAsia="Times New Roman" w:hint="default"/>
        </w:rPr>
        <w:t>29</w:t>
      </w:r>
      <w:r>
        <w:rPr/>
        <w:t>、其他流动负债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0、长期借款" w:id="301"/>
      <w:bookmarkEnd w:id="301"/>
      <w:r>
        <w:rPr>
          <w:b w:val="0"/>
          <w:bCs w:val="0"/>
        </w:rPr>
      </w:r>
      <w:r>
        <w:rPr>
          <w:rFonts w:ascii="Times New Roman" w:hAnsi="Times New Roman" w:cs="Times New Roman" w:eastAsia="Times New Roman" w:hint="default"/>
        </w:rPr>
        <w:t>30</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302"/>
      <w:bookmarkEnd w:id="302"/>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252,000,000.00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252,000,000.00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长期借款分类的说明：</w:t>
      </w:r>
    </w:p>
    <w:p>
      <w:pPr>
        <w:pStyle w:val="BodyText"/>
        <w:spacing w:line="300" w:lineRule="auto" w:before="116"/>
        <w:ind w:right="113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11</w:t>
      </w:r>
      <w:r>
        <w:rPr>
          <w:spacing w:val="-2"/>
        </w:rPr>
        <w:t>日，公司与中国工商银行北京经济开发区支行签订合同编号为</w:t>
      </w:r>
      <w:r>
        <w:rPr>
          <w:rFonts w:ascii="Times New Roman" w:hAnsi="Times New Roman" w:cs="Times New Roman" w:eastAsia="Times New Roman" w:hint="default"/>
          <w:spacing w:val="-2"/>
        </w:rPr>
        <w:t>2018</w:t>
      </w:r>
      <w:r>
        <w:rPr>
          <w:spacing w:val="-2"/>
        </w:rPr>
        <w:t>年（亦庄）字</w:t>
      </w:r>
      <w:r>
        <w:rPr>
          <w:rFonts w:ascii="Times New Roman" w:hAnsi="Times New Roman" w:cs="Times New Roman" w:eastAsia="Times New Roman" w:hint="default"/>
          <w:spacing w:val="-2"/>
        </w:rPr>
        <w:t>00082</w:t>
      </w:r>
      <w:r>
        <w:rPr>
          <w:spacing w:val="-2"/>
        </w:rPr>
        <w:t>号并购借款合同，用于收</w:t>
      </w:r>
      <w:r>
        <w:rPr>
          <w:spacing w:val="-50"/>
        </w:rPr>
        <w:t> </w:t>
      </w:r>
      <w:r>
        <w:rPr>
          <w:spacing w:val="-50"/>
        </w:rPr>
      </w:r>
      <w:r>
        <w:rPr/>
        <w:t>购上海移通网络有限公司</w:t>
      </w:r>
      <w:r>
        <w:rPr>
          <w:rFonts w:ascii="Times New Roman" w:hAnsi="Times New Roman" w:cs="Times New Roman" w:eastAsia="Times New Roman" w:hint="default"/>
        </w:rPr>
        <w:t>49%</w:t>
      </w:r>
      <w:r>
        <w:rPr/>
        <w:t>的股权，合同金额为</w:t>
      </w:r>
      <w:r>
        <w:rPr>
          <w:rFonts w:ascii="Times New Roman" w:hAnsi="Times New Roman" w:cs="Times New Roman" w:eastAsia="Times New Roman" w:hint="default"/>
        </w:rPr>
        <w:t>480,000,000.00</w:t>
      </w:r>
      <w:r>
        <w:rPr/>
        <w:t>元，借款期限为</w:t>
      </w:r>
      <w:r>
        <w:rPr>
          <w:rFonts w:ascii="Times New Roman" w:hAnsi="Times New Roman" w:cs="Times New Roman" w:eastAsia="Times New Roman" w:hint="default"/>
        </w:rPr>
        <w:t>60</w:t>
      </w:r>
      <w:r>
        <w:rPr/>
        <w:t>个月，借款利率以基准利率加浮动利率 </w:t>
      </w:r>
      <w:r>
        <w:rPr>
          <w:spacing w:val="-2"/>
        </w:rPr>
        <w:t>确定；同日，公司与中国工商银行北京经济开发区支行签订合同编号为</w:t>
      </w:r>
      <w:r>
        <w:rPr>
          <w:rFonts w:ascii="Times New Roman" w:hAnsi="Times New Roman" w:cs="Times New Roman" w:eastAsia="Times New Roman" w:hint="default"/>
          <w:spacing w:val="-2"/>
        </w:rPr>
        <w:t>2018</w:t>
      </w:r>
      <w:r>
        <w:rPr>
          <w:spacing w:val="-2"/>
        </w:rPr>
        <w:t>年亦庄（抵）</w:t>
      </w:r>
      <w:r>
        <w:rPr>
          <w:rFonts w:ascii="Times New Roman" w:hAnsi="Times New Roman" w:cs="Times New Roman" w:eastAsia="Times New Roman" w:hint="default"/>
          <w:spacing w:val="-2"/>
        </w:rPr>
        <w:t>0009</w:t>
      </w:r>
      <w:r>
        <w:rPr>
          <w:spacing w:val="-2"/>
        </w:rPr>
        <w:t>号抵押合同，抵押物为北京市</w:t>
      </w:r>
      <w:r>
        <w:rPr>
          <w:spacing w:val="-58"/>
        </w:rPr>
        <w:t> </w:t>
      </w:r>
      <w:r>
        <w:rPr>
          <w:spacing w:val="-58"/>
        </w:rPr>
      </w:r>
      <w:r>
        <w:rPr/>
        <w:t>西城区国英园</w:t>
      </w:r>
      <w:r>
        <w:rPr>
          <w:rFonts w:ascii="Times New Roman" w:hAnsi="Times New Roman" w:cs="Times New Roman" w:eastAsia="Times New Roman" w:hint="default"/>
        </w:rPr>
        <w:t>1</w:t>
      </w:r>
      <w:r>
        <w:rPr/>
        <w:t>号楼</w:t>
      </w:r>
      <w:r>
        <w:rPr>
          <w:rFonts w:ascii="Times New Roman" w:hAnsi="Times New Roman" w:cs="Times New Roman" w:eastAsia="Times New Roman" w:hint="default"/>
        </w:rPr>
        <w:t>11</w:t>
      </w:r>
      <w:r>
        <w:rPr/>
        <w:t>层</w:t>
      </w:r>
      <w:r>
        <w:rPr>
          <w:rFonts w:ascii="Times New Roman" w:hAnsi="Times New Roman" w:cs="Times New Roman" w:eastAsia="Times New Roman" w:hint="default"/>
        </w:rPr>
        <w:t>1102</w:t>
      </w:r>
      <w:r>
        <w:rPr/>
        <w:t>、北京市西城区国英园</w:t>
      </w:r>
      <w:r>
        <w:rPr>
          <w:rFonts w:ascii="Times New Roman" w:hAnsi="Times New Roman" w:cs="Times New Roman" w:eastAsia="Times New Roman" w:hint="default"/>
        </w:rPr>
        <w:t>1</w:t>
      </w:r>
      <w:r>
        <w:rPr/>
        <w:t>号楼</w:t>
      </w:r>
      <w:r>
        <w:rPr>
          <w:rFonts w:ascii="Times New Roman" w:hAnsi="Times New Roman" w:cs="Times New Roman" w:eastAsia="Times New Roman" w:hint="default"/>
        </w:rPr>
        <w:t>13</w:t>
      </w:r>
      <w:r>
        <w:rPr/>
        <w:t>层</w:t>
      </w:r>
      <w:r>
        <w:rPr>
          <w:rFonts w:ascii="Times New Roman" w:hAnsi="Times New Roman" w:cs="Times New Roman" w:eastAsia="Times New Roman" w:hint="default"/>
        </w:rPr>
        <w:t>1302</w:t>
      </w:r>
      <w:r>
        <w:rPr/>
        <w:t>、北京经济技术开发区西环中路</w:t>
      </w:r>
      <w:r>
        <w:rPr>
          <w:rFonts w:ascii="Times New Roman" w:hAnsi="Times New Roman" w:cs="Times New Roman" w:eastAsia="Times New Roman" w:hint="default"/>
        </w:rPr>
        <w:t>6</w:t>
      </w:r>
      <w:r>
        <w:rPr/>
        <w:t>号、北京市经济技术开 发区</w:t>
      </w:r>
      <w:r>
        <w:rPr>
          <w:rFonts w:ascii="Times New Roman" w:hAnsi="Times New Roman" w:cs="Times New Roman" w:eastAsia="Times New Roman" w:hint="default"/>
        </w:rPr>
        <w:t>40</w:t>
      </w:r>
      <w:r>
        <w:rPr/>
        <w:t>号街区</w:t>
      </w:r>
      <w:r>
        <w:rPr>
          <w:rFonts w:ascii="Times New Roman" w:hAnsi="Times New Roman" w:cs="Times New Roman" w:eastAsia="Times New Roman" w:hint="default"/>
        </w:rPr>
        <w:t>40-5</w:t>
      </w:r>
      <w:r>
        <w:rPr/>
        <w:t>地块；并以上海移通</w:t>
      </w:r>
      <w:r>
        <w:rPr>
          <w:rFonts w:ascii="Times New Roman" w:hAnsi="Times New Roman" w:cs="Times New Roman" w:eastAsia="Times New Roman" w:hint="default"/>
        </w:rPr>
        <w:t>100%</w:t>
      </w:r>
      <w:r>
        <w:rPr/>
        <w:t>股权进行质押。该抵押借款事项已经公司第六届董事会第二十五次（临时）会 议审议通过。</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31、应付债券" w:id="303"/>
      <w:bookmarkEnd w:id="303"/>
      <w:r>
        <w:rPr>
          <w:b w:val="0"/>
          <w:bCs w:val="0"/>
        </w:rPr>
      </w:r>
      <w:r>
        <w:rPr>
          <w:rFonts w:ascii="Times New Roman" w:hAnsi="Times New Roman" w:cs="Times New Roman" w:eastAsia="Times New Roman" w:hint="default"/>
        </w:rPr>
        <w:t>31</w:t>
      </w:r>
      <w:r>
        <w:rPr/>
        <w:t>、应付债券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债券" w:id="304"/>
      <w:bookmarkEnd w:id="304"/>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659,725,709.42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628,609,066.64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659,725,709.42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628,609,066.64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付债券的增减变动（不包括划分为金融负债的优先股、永续债等其他金融工具）" w:id="305"/>
      <w:bookmarkEnd w:id="305"/>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422"/>
        <w:gridCol w:w="1186"/>
        <w:gridCol w:w="588"/>
        <w:gridCol w:w="334"/>
        <w:gridCol w:w="1187"/>
        <w:gridCol w:w="1185"/>
        <w:gridCol w:w="334"/>
        <w:gridCol w:w="1061"/>
        <w:gridCol w:w="1094"/>
        <w:gridCol w:w="332"/>
        <w:gridCol w:w="778"/>
        <w:gridCol w:w="1184"/>
      </w:tblGrid>
      <w:tr>
        <w:trPr>
          <w:trHeight w:val="318" w:hRule="exact"/>
        </w:trPr>
        <w:tc>
          <w:tcPr>
            <w:tcW w:w="422" w:type="dxa"/>
            <w:tcBorders>
              <w:top w:val="single" w:sz="4" w:space="0" w:color="000000"/>
              <w:left w:val="single" w:sz="4" w:space="0" w:color="000000"/>
              <w:bottom w:val="nil" w:sz="6" w:space="0" w:color="auto"/>
              <w:right w:val="single" w:sz="4" w:space="0" w:color="000000"/>
            </w:tcBorders>
            <w:shd w:val="clear" w:color="auto" w:fill="D9D9D9"/>
          </w:tcPr>
          <w:p>
            <w:pPr/>
          </w:p>
        </w:tc>
        <w:tc>
          <w:tcPr>
            <w:tcW w:w="1186" w:type="dxa"/>
            <w:vMerge w:val="restart"/>
            <w:tcBorders>
              <w:top w:val="single" w:sz="4" w:space="0" w:color="000000"/>
              <w:left w:val="single" w:sz="4" w:space="0" w:color="000000"/>
              <w:right w:val="single" w:sz="4" w:space="0" w:color="000000"/>
            </w:tcBorders>
            <w:shd w:val="clear" w:color="auto" w:fill="D9D9D9"/>
          </w:tcPr>
          <w:p>
            <w:pPr/>
          </w:p>
        </w:tc>
        <w:tc>
          <w:tcPr>
            <w:tcW w:w="588" w:type="dxa"/>
            <w:tcBorders>
              <w:top w:val="single" w:sz="4" w:space="0" w:color="000000"/>
              <w:left w:val="single" w:sz="4" w:space="0" w:color="000000"/>
              <w:bottom w:val="nil" w:sz="6" w:space="0" w:color="auto"/>
              <w:right w:val="single" w:sz="4" w:space="0" w:color="000000"/>
            </w:tcBorders>
            <w:shd w:val="clear" w:color="auto" w:fill="D9D9D9"/>
          </w:tcPr>
          <w:p>
            <w:pPr/>
          </w:p>
        </w:tc>
        <w:tc>
          <w:tcPr>
            <w:tcW w:w="334"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52"/>
              <w:ind w:left="71" w:right="71"/>
              <w:jc w:val="both"/>
              <w:rPr>
                <w:rFonts w:ascii="宋体" w:hAnsi="宋体" w:cs="宋体" w:eastAsia="宋体" w:hint="default"/>
                <w:sz w:val="18"/>
                <w:szCs w:val="18"/>
              </w:rPr>
            </w:pPr>
            <w:r>
              <w:rPr>
                <w:rFonts w:ascii="宋体" w:hAnsi="宋体" w:cs="宋体" w:eastAsia="宋体" w:hint="default"/>
                <w:sz w:val="18"/>
                <w:szCs w:val="18"/>
              </w:rPr>
              <w:t>债 券 期 限</w:t>
            </w:r>
          </w:p>
        </w:tc>
        <w:tc>
          <w:tcPr>
            <w:tcW w:w="1187" w:type="dxa"/>
            <w:vMerge w:val="restart"/>
            <w:tcBorders>
              <w:top w:val="single" w:sz="4" w:space="0" w:color="000000"/>
              <w:left w:val="single" w:sz="4" w:space="0" w:color="000000"/>
              <w:right w:val="single" w:sz="4" w:space="0" w:color="000000"/>
            </w:tcBorders>
            <w:shd w:val="clear" w:color="auto" w:fill="D9D9D9"/>
          </w:tcPr>
          <w:p>
            <w:pPr/>
          </w:p>
        </w:tc>
        <w:tc>
          <w:tcPr>
            <w:tcW w:w="1185" w:type="dxa"/>
            <w:vMerge w:val="restart"/>
            <w:tcBorders>
              <w:top w:val="single" w:sz="4" w:space="0" w:color="000000"/>
              <w:left w:val="single" w:sz="4" w:space="0" w:color="000000"/>
              <w:right w:val="single" w:sz="4" w:space="0" w:color="000000"/>
            </w:tcBorders>
            <w:shd w:val="clear" w:color="auto" w:fill="D9D9D9"/>
          </w:tcPr>
          <w:p>
            <w:pPr/>
          </w:p>
        </w:tc>
        <w:tc>
          <w:tcPr>
            <w:tcW w:w="334"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52"/>
              <w:ind w:left="70" w:right="71"/>
              <w:jc w:val="both"/>
              <w:rPr>
                <w:rFonts w:ascii="宋体" w:hAnsi="宋体" w:cs="宋体" w:eastAsia="宋体" w:hint="default"/>
                <w:sz w:val="18"/>
                <w:szCs w:val="18"/>
              </w:rPr>
            </w:pPr>
            <w:r>
              <w:rPr>
                <w:rFonts w:ascii="宋体" w:hAnsi="宋体" w:cs="宋体" w:eastAsia="宋体" w:hint="default"/>
                <w:sz w:val="18"/>
                <w:szCs w:val="18"/>
              </w:rPr>
              <w:t>本 期 发 行</w:t>
            </w:r>
          </w:p>
        </w:tc>
        <w:tc>
          <w:tcPr>
            <w:tcW w:w="1061" w:type="dxa"/>
            <w:tcBorders>
              <w:top w:val="single" w:sz="4" w:space="0" w:color="000000"/>
              <w:left w:val="single" w:sz="4" w:space="0" w:color="000000"/>
              <w:bottom w:val="nil" w:sz="6" w:space="0" w:color="auto"/>
              <w:right w:val="single" w:sz="4" w:space="0" w:color="000000"/>
            </w:tcBorders>
            <w:shd w:val="clear" w:color="auto" w:fill="D9D9D9"/>
          </w:tcPr>
          <w:p>
            <w:pPr/>
          </w:p>
        </w:tc>
        <w:tc>
          <w:tcPr>
            <w:tcW w:w="1094" w:type="dxa"/>
            <w:vMerge w:val="restart"/>
            <w:tcBorders>
              <w:top w:val="single" w:sz="4" w:space="0" w:color="000000"/>
              <w:left w:val="single" w:sz="4" w:space="0" w:color="000000"/>
              <w:right w:val="single" w:sz="4" w:space="0" w:color="000000"/>
            </w:tcBorders>
            <w:shd w:val="clear" w:color="auto" w:fill="D9D9D9"/>
          </w:tcPr>
          <w:p>
            <w:pPr/>
          </w:p>
        </w:tc>
        <w:tc>
          <w:tcPr>
            <w:tcW w:w="332"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52"/>
              <w:ind w:left="70" w:right="71"/>
              <w:jc w:val="both"/>
              <w:rPr>
                <w:rFonts w:ascii="宋体" w:hAnsi="宋体" w:cs="宋体" w:eastAsia="宋体" w:hint="default"/>
                <w:sz w:val="18"/>
                <w:szCs w:val="18"/>
              </w:rPr>
            </w:pPr>
            <w:r>
              <w:rPr>
                <w:rFonts w:ascii="宋体" w:hAnsi="宋体" w:cs="宋体" w:eastAsia="宋体" w:hint="default"/>
                <w:sz w:val="18"/>
                <w:szCs w:val="18"/>
              </w:rPr>
              <w:t>本 期 偿 还</w:t>
            </w:r>
          </w:p>
        </w:tc>
        <w:tc>
          <w:tcPr>
            <w:tcW w:w="778" w:type="dxa"/>
            <w:vMerge w:val="restart"/>
            <w:tcBorders>
              <w:top w:val="single" w:sz="4" w:space="0" w:color="000000"/>
              <w:left w:val="single" w:sz="4" w:space="0" w:color="000000"/>
              <w:right w:val="single" w:sz="4" w:space="0" w:color="000000"/>
            </w:tcBorders>
            <w:shd w:val="clear" w:color="auto" w:fill="D9D9D9"/>
          </w:tcPr>
          <w:p>
            <w:pPr/>
          </w:p>
        </w:tc>
        <w:tc>
          <w:tcPr>
            <w:tcW w:w="1184" w:type="dxa"/>
            <w:vMerge w:val="restart"/>
            <w:tcBorders>
              <w:top w:val="single" w:sz="4" w:space="0" w:color="000000"/>
              <w:left w:val="single" w:sz="4" w:space="0" w:color="000000"/>
              <w:right w:val="single" w:sz="4" w:space="0" w:color="000000"/>
            </w:tcBorders>
            <w:shd w:val="clear" w:color="auto" w:fill="D9D9D9"/>
          </w:tcPr>
          <w:p>
            <w:pPr/>
          </w:p>
        </w:tc>
      </w:tr>
      <w:tr>
        <w:trPr>
          <w:trHeight w:val="156" w:hRule="exact"/>
        </w:trPr>
        <w:tc>
          <w:tcPr>
            <w:tcW w:w="422" w:type="dxa"/>
            <w:vMerge w:val="restart"/>
            <w:tcBorders>
              <w:top w:val="nil" w:sz="6" w:space="0" w:color="auto"/>
              <w:left w:val="single" w:sz="4" w:space="0" w:color="000000"/>
              <w:right w:val="single" w:sz="4" w:space="0" w:color="000000"/>
            </w:tcBorders>
            <w:shd w:val="clear" w:color="auto" w:fill="D9D9D9"/>
          </w:tcPr>
          <w:p>
            <w:pPr>
              <w:pStyle w:val="TableParagraph"/>
              <w:spacing w:line="316" w:lineRule="auto" w:before="51"/>
              <w:ind w:left="19" w:right="30"/>
              <w:jc w:val="left"/>
              <w:rPr>
                <w:rFonts w:ascii="宋体" w:hAnsi="宋体" w:cs="宋体" w:eastAsia="宋体" w:hint="default"/>
                <w:sz w:val="18"/>
                <w:szCs w:val="18"/>
              </w:rPr>
            </w:pPr>
            <w:r>
              <w:rPr>
                <w:rFonts w:ascii="宋体" w:hAnsi="宋体" w:cs="宋体" w:eastAsia="宋体" w:hint="default"/>
                <w:sz w:val="18"/>
                <w:szCs w:val="18"/>
              </w:rPr>
              <w:t>债券 名称</w:t>
            </w:r>
          </w:p>
        </w:tc>
        <w:tc>
          <w:tcPr>
            <w:tcW w:w="1186" w:type="dxa"/>
            <w:vMerge/>
            <w:tcBorders>
              <w:left w:val="single" w:sz="4" w:space="0" w:color="000000"/>
              <w:bottom w:val="nil" w:sz="6" w:space="0" w:color="auto"/>
              <w:right w:val="single" w:sz="4" w:space="0" w:color="000000"/>
            </w:tcBorders>
            <w:shd w:val="clear" w:color="auto" w:fill="D9D9D9"/>
          </w:tcPr>
          <w:p>
            <w:pPr/>
          </w:p>
        </w:tc>
        <w:tc>
          <w:tcPr>
            <w:tcW w:w="588" w:type="dxa"/>
            <w:vMerge w:val="restart"/>
            <w:tcBorders>
              <w:top w:val="nil" w:sz="6" w:space="0" w:color="auto"/>
              <w:left w:val="single" w:sz="4" w:space="0" w:color="000000"/>
              <w:right w:val="single" w:sz="4" w:space="0" w:color="000000"/>
            </w:tcBorders>
            <w:shd w:val="clear" w:color="auto" w:fill="D9D9D9"/>
          </w:tcPr>
          <w:p>
            <w:pPr>
              <w:pStyle w:val="TableParagraph"/>
              <w:spacing w:line="316" w:lineRule="auto" w:before="51"/>
              <w:ind w:left="107" w:right="108"/>
              <w:jc w:val="left"/>
              <w:rPr>
                <w:rFonts w:ascii="宋体" w:hAnsi="宋体" w:cs="宋体" w:eastAsia="宋体" w:hint="default"/>
                <w:sz w:val="18"/>
                <w:szCs w:val="18"/>
              </w:rPr>
            </w:pPr>
            <w:r>
              <w:rPr>
                <w:rFonts w:ascii="宋体" w:hAnsi="宋体" w:cs="宋体" w:eastAsia="宋体" w:hint="default"/>
                <w:sz w:val="18"/>
                <w:szCs w:val="18"/>
              </w:rPr>
              <w:t>发行 日期</w:t>
            </w:r>
          </w:p>
        </w:tc>
        <w:tc>
          <w:tcPr>
            <w:tcW w:w="334" w:type="dxa"/>
            <w:vMerge/>
            <w:tcBorders>
              <w:left w:val="single" w:sz="4" w:space="0" w:color="000000"/>
              <w:right w:val="single" w:sz="4" w:space="0" w:color="000000"/>
            </w:tcBorders>
            <w:shd w:val="clear" w:color="auto" w:fill="D9D9D9"/>
          </w:tcPr>
          <w:p>
            <w:pPr/>
          </w:p>
        </w:tc>
        <w:tc>
          <w:tcPr>
            <w:tcW w:w="1187" w:type="dxa"/>
            <w:vMerge/>
            <w:tcBorders>
              <w:left w:val="single" w:sz="4" w:space="0" w:color="000000"/>
              <w:bottom w:val="nil" w:sz="6" w:space="0" w:color="auto"/>
              <w:right w:val="single" w:sz="4" w:space="0" w:color="000000"/>
            </w:tcBorders>
            <w:shd w:val="clear" w:color="auto" w:fill="D9D9D9"/>
          </w:tcPr>
          <w:p>
            <w:pPr/>
          </w:p>
        </w:tc>
        <w:tc>
          <w:tcPr>
            <w:tcW w:w="1185" w:type="dxa"/>
            <w:vMerge/>
            <w:tcBorders>
              <w:left w:val="single" w:sz="4" w:space="0" w:color="000000"/>
              <w:bottom w:val="nil" w:sz="6" w:space="0" w:color="auto"/>
              <w:right w:val="single" w:sz="4" w:space="0" w:color="000000"/>
            </w:tcBorders>
            <w:shd w:val="clear" w:color="auto" w:fill="D9D9D9"/>
          </w:tcPr>
          <w:p>
            <w:pPr/>
          </w:p>
        </w:tc>
        <w:tc>
          <w:tcPr>
            <w:tcW w:w="334" w:type="dxa"/>
            <w:vMerge/>
            <w:tcBorders>
              <w:left w:val="single" w:sz="4" w:space="0" w:color="000000"/>
              <w:right w:val="single" w:sz="4" w:space="0" w:color="000000"/>
            </w:tcBorders>
            <w:shd w:val="clear" w:color="auto" w:fill="D9D9D9"/>
          </w:tcPr>
          <w:p>
            <w:pPr/>
          </w:p>
        </w:tc>
        <w:tc>
          <w:tcPr>
            <w:tcW w:w="1061" w:type="dxa"/>
            <w:vMerge w:val="restart"/>
            <w:tcBorders>
              <w:top w:val="nil" w:sz="6" w:space="0" w:color="auto"/>
              <w:left w:val="single" w:sz="4" w:space="0" w:color="000000"/>
              <w:right w:val="single" w:sz="4" w:space="0" w:color="000000"/>
            </w:tcBorders>
            <w:shd w:val="clear" w:color="auto" w:fill="D9D9D9"/>
          </w:tcPr>
          <w:p>
            <w:pPr>
              <w:pStyle w:val="TableParagraph"/>
              <w:spacing w:line="316" w:lineRule="auto" w:before="51"/>
              <w:ind w:left="345" w:right="73" w:hanging="270"/>
              <w:jc w:val="left"/>
              <w:rPr>
                <w:rFonts w:ascii="宋体" w:hAnsi="宋体" w:cs="宋体" w:eastAsia="宋体" w:hint="default"/>
                <w:sz w:val="18"/>
                <w:szCs w:val="18"/>
              </w:rPr>
            </w:pPr>
            <w:r>
              <w:rPr>
                <w:rFonts w:ascii="宋体" w:hAnsi="宋体" w:cs="宋体" w:eastAsia="宋体" w:hint="default"/>
                <w:sz w:val="18"/>
                <w:szCs w:val="18"/>
              </w:rPr>
              <w:t>按面值计提 利息</w:t>
            </w:r>
          </w:p>
        </w:tc>
        <w:tc>
          <w:tcPr>
            <w:tcW w:w="1094" w:type="dxa"/>
            <w:vMerge/>
            <w:tcBorders>
              <w:left w:val="single" w:sz="4" w:space="0" w:color="000000"/>
              <w:bottom w:val="nil" w:sz="6" w:space="0" w:color="auto"/>
              <w:right w:val="single" w:sz="4" w:space="0" w:color="000000"/>
            </w:tcBorders>
            <w:shd w:val="clear" w:color="auto" w:fill="D9D9D9"/>
          </w:tcPr>
          <w:p>
            <w:pPr/>
          </w:p>
        </w:tc>
        <w:tc>
          <w:tcPr>
            <w:tcW w:w="332" w:type="dxa"/>
            <w:vMerge/>
            <w:tcBorders>
              <w:left w:val="single" w:sz="4" w:space="0" w:color="000000"/>
              <w:right w:val="single" w:sz="4" w:space="0" w:color="000000"/>
            </w:tcBorders>
            <w:shd w:val="clear" w:color="auto" w:fill="D9D9D9"/>
          </w:tcPr>
          <w:p>
            <w:pPr/>
          </w:p>
        </w:tc>
        <w:tc>
          <w:tcPr>
            <w:tcW w:w="778" w:type="dxa"/>
            <w:vMerge/>
            <w:tcBorders>
              <w:left w:val="single" w:sz="4" w:space="0" w:color="000000"/>
              <w:bottom w:val="nil" w:sz="6" w:space="0" w:color="auto"/>
              <w:right w:val="single" w:sz="4" w:space="0" w:color="000000"/>
            </w:tcBorders>
            <w:shd w:val="clear" w:color="auto" w:fill="D9D9D9"/>
          </w:tcPr>
          <w:p>
            <w:pPr/>
          </w:p>
        </w:tc>
        <w:tc>
          <w:tcPr>
            <w:tcW w:w="1184" w:type="dxa"/>
            <w:vMerge/>
            <w:tcBorders>
              <w:left w:val="single" w:sz="4" w:space="0" w:color="000000"/>
              <w:bottom w:val="nil" w:sz="6" w:space="0" w:color="auto"/>
              <w:right w:val="single" w:sz="4" w:space="0" w:color="000000"/>
            </w:tcBorders>
            <w:shd w:val="clear" w:color="auto" w:fill="D9D9D9"/>
          </w:tcPr>
          <w:p>
            <w:pPr/>
          </w:p>
        </w:tc>
      </w:tr>
      <w:tr>
        <w:trPr>
          <w:trHeight w:val="391" w:hRule="exact"/>
        </w:trPr>
        <w:tc>
          <w:tcPr>
            <w:tcW w:w="422" w:type="dxa"/>
            <w:vMerge/>
            <w:tcBorders>
              <w:left w:val="single" w:sz="4" w:space="0" w:color="000000"/>
              <w:right w:val="single" w:sz="4" w:space="0" w:color="000000"/>
            </w:tcBorders>
            <w:shd w:val="clear" w:color="auto" w:fill="D9D9D9"/>
          </w:tcPr>
          <w:p>
            <w:pPr/>
          </w:p>
        </w:tc>
        <w:tc>
          <w:tcPr>
            <w:tcW w:w="1186"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588" w:type="dxa"/>
            <w:vMerge/>
            <w:tcBorders>
              <w:left w:val="single" w:sz="4" w:space="0" w:color="000000"/>
              <w:right w:val="single" w:sz="4" w:space="0" w:color="000000"/>
            </w:tcBorders>
            <w:shd w:val="clear" w:color="auto" w:fill="D9D9D9"/>
          </w:tcPr>
          <w:p>
            <w:pPr/>
          </w:p>
        </w:tc>
        <w:tc>
          <w:tcPr>
            <w:tcW w:w="334" w:type="dxa"/>
            <w:vMerge/>
            <w:tcBorders>
              <w:left w:val="single" w:sz="4" w:space="0" w:color="000000"/>
              <w:right w:val="single" w:sz="4" w:space="0" w:color="000000"/>
            </w:tcBorders>
            <w:shd w:val="clear" w:color="auto" w:fill="D9D9D9"/>
          </w:tcPr>
          <w:p>
            <w:pPr/>
          </w:p>
        </w:tc>
        <w:tc>
          <w:tcPr>
            <w:tcW w:w="1187"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发行金额</w:t>
            </w:r>
          </w:p>
        </w:tc>
        <w:tc>
          <w:tcPr>
            <w:tcW w:w="1185"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334" w:type="dxa"/>
            <w:vMerge/>
            <w:tcBorders>
              <w:left w:val="single" w:sz="4" w:space="0" w:color="000000"/>
              <w:right w:val="single" w:sz="4" w:space="0" w:color="000000"/>
            </w:tcBorders>
            <w:shd w:val="clear" w:color="auto" w:fill="D9D9D9"/>
          </w:tcPr>
          <w:p>
            <w:pPr/>
          </w:p>
        </w:tc>
        <w:tc>
          <w:tcPr>
            <w:tcW w:w="1061" w:type="dxa"/>
            <w:vMerge/>
            <w:tcBorders>
              <w:left w:val="single" w:sz="4" w:space="0" w:color="000000"/>
              <w:right w:val="single" w:sz="4" w:space="0" w:color="000000"/>
            </w:tcBorders>
            <w:shd w:val="clear" w:color="auto" w:fill="D9D9D9"/>
          </w:tcPr>
          <w:p>
            <w:pPr/>
          </w:p>
        </w:tc>
        <w:tc>
          <w:tcPr>
            <w:tcW w:w="1094"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溢折价摊销</w:t>
            </w:r>
          </w:p>
        </w:tc>
        <w:tc>
          <w:tcPr>
            <w:tcW w:w="332" w:type="dxa"/>
            <w:vMerge/>
            <w:tcBorders>
              <w:left w:val="single" w:sz="4" w:space="0" w:color="000000"/>
              <w:right w:val="single" w:sz="4" w:space="0" w:color="000000"/>
            </w:tcBorders>
            <w:shd w:val="clear" w:color="auto" w:fill="D9D9D9"/>
          </w:tcPr>
          <w:p>
            <w:pPr/>
          </w:p>
        </w:tc>
        <w:tc>
          <w:tcPr>
            <w:tcW w:w="778"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本期转股</w:t>
            </w:r>
          </w:p>
        </w:tc>
        <w:tc>
          <w:tcPr>
            <w:tcW w:w="1184"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6" w:hRule="exact"/>
        </w:trPr>
        <w:tc>
          <w:tcPr>
            <w:tcW w:w="422" w:type="dxa"/>
            <w:vMerge/>
            <w:tcBorders>
              <w:left w:val="single" w:sz="4" w:space="0" w:color="000000"/>
              <w:bottom w:val="nil" w:sz="6" w:space="0" w:color="auto"/>
              <w:right w:val="single" w:sz="4" w:space="0" w:color="000000"/>
            </w:tcBorders>
            <w:shd w:val="clear" w:color="auto" w:fill="D9D9D9"/>
          </w:tcPr>
          <w:p>
            <w:pPr/>
          </w:p>
        </w:tc>
        <w:tc>
          <w:tcPr>
            <w:tcW w:w="1186" w:type="dxa"/>
            <w:vMerge w:val="restart"/>
            <w:tcBorders>
              <w:top w:val="nil" w:sz="6" w:space="0" w:color="auto"/>
              <w:left w:val="single" w:sz="4" w:space="0" w:color="000000"/>
              <w:right w:val="single" w:sz="4" w:space="0" w:color="000000"/>
            </w:tcBorders>
            <w:shd w:val="clear" w:color="auto" w:fill="D9D9D9"/>
          </w:tcPr>
          <w:p>
            <w:pPr/>
          </w:p>
        </w:tc>
        <w:tc>
          <w:tcPr>
            <w:tcW w:w="588" w:type="dxa"/>
            <w:vMerge/>
            <w:tcBorders>
              <w:left w:val="single" w:sz="4" w:space="0" w:color="000000"/>
              <w:bottom w:val="nil" w:sz="6" w:space="0" w:color="auto"/>
              <w:right w:val="single" w:sz="4" w:space="0" w:color="000000"/>
            </w:tcBorders>
            <w:shd w:val="clear" w:color="auto" w:fill="D9D9D9"/>
          </w:tcPr>
          <w:p>
            <w:pPr/>
          </w:p>
        </w:tc>
        <w:tc>
          <w:tcPr>
            <w:tcW w:w="334" w:type="dxa"/>
            <w:vMerge/>
            <w:tcBorders>
              <w:left w:val="single" w:sz="4" w:space="0" w:color="000000"/>
              <w:right w:val="single" w:sz="4" w:space="0" w:color="000000"/>
            </w:tcBorders>
            <w:shd w:val="clear" w:color="auto" w:fill="D9D9D9"/>
          </w:tcPr>
          <w:p>
            <w:pPr/>
          </w:p>
        </w:tc>
        <w:tc>
          <w:tcPr>
            <w:tcW w:w="1187" w:type="dxa"/>
            <w:vMerge w:val="restart"/>
            <w:tcBorders>
              <w:top w:val="nil" w:sz="6" w:space="0" w:color="auto"/>
              <w:left w:val="single" w:sz="4" w:space="0" w:color="000000"/>
              <w:right w:val="single" w:sz="4" w:space="0" w:color="000000"/>
            </w:tcBorders>
            <w:shd w:val="clear" w:color="auto" w:fill="D9D9D9"/>
          </w:tcPr>
          <w:p>
            <w:pPr/>
          </w:p>
        </w:tc>
        <w:tc>
          <w:tcPr>
            <w:tcW w:w="1185" w:type="dxa"/>
            <w:vMerge w:val="restart"/>
            <w:tcBorders>
              <w:top w:val="nil" w:sz="6" w:space="0" w:color="auto"/>
              <w:left w:val="single" w:sz="4" w:space="0" w:color="000000"/>
              <w:right w:val="single" w:sz="4" w:space="0" w:color="000000"/>
            </w:tcBorders>
            <w:shd w:val="clear" w:color="auto" w:fill="D9D9D9"/>
          </w:tcPr>
          <w:p>
            <w:pPr/>
          </w:p>
        </w:tc>
        <w:tc>
          <w:tcPr>
            <w:tcW w:w="334" w:type="dxa"/>
            <w:vMerge/>
            <w:tcBorders>
              <w:left w:val="single" w:sz="4" w:space="0" w:color="000000"/>
              <w:right w:val="single" w:sz="4" w:space="0" w:color="000000"/>
            </w:tcBorders>
            <w:shd w:val="clear" w:color="auto" w:fill="D9D9D9"/>
          </w:tcPr>
          <w:p>
            <w:pPr/>
          </w:p>
        </w:tc>
        <w:tc>
          <w:tcPr>
            <w:tcW w:w="1061" w:type="dxa"/>
            <w:vMerge/>
            <w:tcBorders>
              <w:left w:val="single" w:sz="4" w:space="0" w:color="000000"/>
              <w:bottom w:val="nil" w:sz="6" w:space="0" w:color="auto"/>
              <w:right w:val="single" w:sz="4" w:space="0" w:color="000000"/>
            </w:tcBorders>
            <w:shd w:val="clear" w:color="auto" w:fill="D9D9D9"/>
          </w:tcPr>
          <w:p>
            <w:pPr/>
          </w:p>
        </w:tc>
        <w:tc>
          <w:tcPr>
            <w:tcW w:w="1094" w:type="dxa"/>
            <w:vMerge w:val="restart"/>
            <w:tcBorders>
              <w:top w:val="nil" w:sz="6" w:space="0" w:color="auto"/>
              <w:left w:val="single" w:sz="4" w:space="0" w:color="000000"/>
              <w:right w:val="single" w:sz="4" w:space="0" w:color="000000"/>
            </w:tcBorders>
            <w:shd w:val="clear" w:color="auto" w:fill="D9D9D9"/>
          </w:tcPr>
          <w:p>
            <w:pPr/>
          </w:p>
        </w:tc>
        <w:tc>
          <w:tcPr>
            <w:tcW w:w="332" w:type="dxa"/>
            <w:vMerge/>
            <w:tcBorders>
              <w:left w:val="single" w:sz="4" w:space="0" w:color="000000"/>
              <w:right w:val="single" w:sz="4" w:space="0" w:color="000000"/>
            </w:tcBorders>
            <w:shd w:val="clear" w:color="auto" w:fill="D9D9D9"/>
          </w:tcPr>
          <w:p>
            <w:pPr/>
          </w:p>
        </w:tc>
        <w:tc>
          <w:tcPr>
            <w:tcW w:w="778" w:type="dxa"/>
            <w:vMerge w:val="restart"/>
            <w:tcBorders>
              <w:top w:val="nil" w:sz="6" w:space="0" w:color="auto"/>
              <w:left w:val="single" w:sz="4" w:space="0" w:color="000000"/>
              <w:right w:val="single" w:sz="4" w:space="0" w:color="000000"/>
            </w:tcBorders>
            <w:shd w:val="clear" w:color="auto" w:fill="D9D9D9"/>
          </w:tcPr>
          <w:p>
            <w:pPr/>
          </w:p>
        </w:tc>
        <w:tc>
          <w:tcPr>
            <w:tcW w:w="1184" w:type="dxa"/>
            <w:vMerge w:val="restart"/>
            <w:tcBorders>
              <w:top w:val="nil" w:sz="6" w:space="0" w:color="auto"/>
              <w:left w:val="single" w:sz="4" w:space="0" w:color="000000"/>
              <w:right w:val="single" w:sz="4" w:space="0" w:color="000000"/>
            </w:tcBorders>
            <w:shd w:val="clear" w:color="auto" w:fill="D9D9D9"/>
          </w:tcPr>
          <w:p>
            <w:pPr/>
          </w:p>
        </w:tc>
      </w:tr>
      <w:tr>
        <w:trPr>
          <w:trHeight w:val="317" w:hRule="exact"/>
        </w:trPr>
        <w:tc>
          <w:tcPr>
            <w:tcW w:w="422" w:type="dxa"/>
            <w:tcBorders>
              <w:top w:val="nil" w:sz="6" w:space="0" w:color="auto"/>
              <w:left w:val="single" w:sz="4" w:space="0" w:color="000000"/>
              <w:bottom w:val="single" w:sz="4" w:space="0" w:color="000000"/>
              <w:right w:val="single" w:sz="4" w:space="0" w:color="000000"/>
            </w:tcBorders>
            <w:shd w:val="clear" w:color="auto" w:fill="D9D9D9"/>
          </w:tcPr>
          <w:p>
            <w:pPr/>
          </w:p>
        </w:tc>
        <w:tc>
          <w:tcPr>
            <w:tcW w:w="1186" w:type="dxa"/>
            <w:vMerge/>
            <w:tcBorders>
              <w:left w:val="single" w:sz="4" w:space="0" w:color="000000"/>
              <w:bottom w:val="single" w:sz="4" w:space="0" w:color="000000"/>
              <w:right w:val="single" w:sz="4" w:space="0" w:color="000000"/>
            </w:tcBorders>
            <w:shd w:val="clear" w:color="auto" w:fill="D9D9D9"/>
          </w:tcPr>
          <w:p>
            <w:pPr/>
          </w:p>
        </w:tc>
        <w:tc>
          <w:tcPr>
            <w:tcW w:w="588" w:type="dxa"/>
            <w:tcBorders>
              <w:top w:val="nil" w:sz="6" w:space="0" w:color="auto"/>
              <w:left w:val="single" w:sz="4" w:space="0" w:color="000000"/>
              <w:bottom w:val="single" w:sz="4" w:space="0" w:color="000000"/>
              <w:right w:val="single" w:sz="4" w:space="0" w:color="000000"/>
            </w:tcBorders>
            <w:shd w:val="clear" w:color="auto" w:fill="D9D9D9"/>
          </w:tcPr>
          <w:p>
            <w:pPr/>
          </w:p>
        </w:tc>
        <w:tc>
          <w:tcPr>
            <w:tcW w:w="334" w:type="dxa"/>
            <w:vMerge/>
            <w:tcBorders>
              <w:left w:val="single" w:sz="4" w:space="0" w:color="000000"/>
              <w:bottom w:val="single" w:sz="4" w:space="0" w:color="000000"/>
              <w:right w:val="single" w:sz="4" w:space="0" w:color="000000"/>
            </w:tcBorders>
            <w:shd w:val="clear" w:color="auto" w:fill="D9D9D9"/>
          </w:tcPr>
          <w:p>
            <w:pPr/>
          </w:p>
        </w:tc>
        <w:tc>
          <w:tcPr>
            <w:tcW w:w="1187" w:type="dxa"/>
            <w:vMerge/>
            <w:tcBorders>
              <w:left w:val="single" w:sz="4" w:space="0" w:color="000000"/>
              <w:bottom w:val="single" w:sz="4" w:space="0" w:color="000000"/>
              <w:right w:val="single" w:sz="4" w:space="0" w:color="000000"/>
            </w:tcBorders>
            <w:shd w:val="clear" w:color="auto" w:fill="D9D9D9"/>
          </w:tcPr>
          <w:p>
            <w:pPr/>
          </w:p>
        </w:tc>
        <w:tc>
          <w:tcPr>
            <w:tcW w:w="1185" w:type="dxa"/>
            <w:vMerge/>
            <w:tcBorders>
              <w:left w:val="single" w:sz="4" w:space="0" w:color="000000"/>
              <w:bottom w:val="single" w:sz="4" w:space="0" w:color="000000"/>
              <w:right w:val="single" w:sz="4" w:space="0" w:color="000000"/>
            </w:tcBorders>
            <w:shd w:val="clear" w:color="auto" w:fill="D9D9D9"/>
          </w:tcPr>
          <w:p>
            <w:pPr/>
          </w:p>
        </w:tc>
        <w:tc>
          <w:tcPr>
            <w:tcW w:w="334" w:type="dxa"/>
            <w:vMerge/>
            <w:tcBorders>
              <w:left w:val="single" w:sz="4" w:space="0" w:color="000000"/>
              <w:bottom w:val="single" w:sz="4" w:space="0" w:color="000000"/>
              <w:right w:val="single" w:sz="4" w:space="0" w:color="000000"/>
            </w:tcBorders>
            <w:shd w:val="clear" w:color="auto" w:fill="D9D9D9"/>
          </w:tcPr>
          <w:p>
            <w:pPr/>
          </w:p>
        </w:tc>
        <w:tc>
          <w:tcPr>
            <w:tcW w:w="1061" w:type="dxa"/>
            <w:tcBorders>
              <w:top w:val="nil" w:sz="6" w:space="0" w:color="auto"/>
              <w:left w:val="single" w:sz="4" w:space="0" w:color="000000"/>
              <w:bottom w:val="single" w:sz="4" w:space="0" w:color="000000"/>
              <w:right w:val="single" w:sz="4" w:space="0" w:color="000000"/>
            </w:tcBorders>
            <w:shd w:val="clear" w:color="auto" w:fill="D9D9D9"/>
          </w:tcPr>
          <w:p>
            <w:pPr/>
          </w:p>
        </w:tc>
        <w:tc>
          <w:tcPr>
            <w:tcW w:w="1094" w:type="dxa"/>
            <w:vMerge/>
            <w:tcBorders>
              <w:left w:val="single" w:sz="4" w:space="0" w:color="000000"/>
              <w:bottom w:val="single" w:sz="4" w:space="0" w:color="000000"/>
              <w:right w:val="single" w:sz="4" w:space="0" w:color="000000"/>
            </w:tcBorders>
            <w:shd w:val="clear" w:color="auto" w:fill="D9D9D9"/>
          </w:tcPr>
          <w:p>
            <w:pPr/>
          </w:p>
        </w:tc>
        <w:tc>
          <w:tcPr>
            <w:tcW w:w="332" w:type="dxa"/>
            <w:vMerge/>
            <w:tcBorders>
              <w:left w:val="single" w:sz="4" w:space="0" w:color="000000"/>
              <w:bottom w:val="single" w:sz="4" w:space="0" w:color="000000"/>
              <w:right w:val="single" w:sz="4" w:space="0" w:color="000000"/>
            </w:tcBorders>
            <w:shd w:val="clear" w:color="auto" w:fill="D9D9D9"/>
          </w:tcPr>
          <w:p>
            <w:pPr/>
          </w:p>
        </w:tc>
        <w:tc>
          <w:tcPr>
            <w:tcW w:w="778" w:type="dxa"/>
            <w:vMerge/>
            <w:tcBorders>
              <w:left w:val="single" w:sz="4" w:space="0" w:color="000000"/>
              <w:bottom w:val="single" w:sz="4" w:space="0" w:color="000000"/>
              <w:right w:val="single" w:sz="4" w:space="0" w:color="000000"/>
            </w:tcBorders>
            <w:shd w:val="clear" w:color="auto" w:fill="D9D9D9"/>
          </w:tcPr>
          <w:p>
            <w:pPr/>
          </w:p>
        </w:tc>
        <w:tc>
          <w:tcPr>
            <w:tcW w:w="1184" w:type="dxa"/>
            <w:vMerge/>
            <w:tcBorders>
              <w:left w:val="single" w:sz="4" w:space="0" w:color="000000"/>
              <w:bottom w:val="single" w:sz="4" w:space="0" w:color="000000"/>
              <w:right w:val="single" w:sz="4" w:space="0" w:color="000000"/>
            </w:tcBorders>
            <w:shd w:val="clear" w:color="auto" w:fill="D9D9D9"/>
          </w:tcPr>
          <w:p>
            <w:pPr/>
          </w:p>
        </w:tc>
      </w:tr>
      <w:tr>
        <w:trPr>
          <w:trHeight w:val="1338" w:hRule="exact"/>
        </w:trPr>
        <w:tc>
          <w:tcPr>
            <w:tcW w:w="4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可转 换公 司债 券</w:t>
            </w:r>
          </w:p>
        </w:tc>
        <w:tc>
          <w:tcPr>
            <w:tcW w:w="118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780,000,000.00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780,000,000.00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628,609,066.64</w:t>
            </w:r>
          </w:p>
        </w:tc>
        <w:tc>
          <w:tcPr>
            <w:tcW w:w="33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3,226,166.67</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34,425,309.34</w:t>
            </w:r>
          </w:p>
        </w:tc>
        <w:tc>
          <w:tcPr>
            <w:tcW w:w="33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82,499.89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659,725,709.42</w:t>
            </w:r>
          </w:p>
        </w:tc>
      </w:tr>
      <w:tr>
        <w:trPr>
          <w:trHeight w:val="403" w:hRule="exact"/>
        </w:trPr>
        <w:tc>
          <w:tcPr>
            <w:tcW w:w="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780,000,000.00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628,609,066.64</w:t>
            </w:r>
          </w:p>
        </w:tc>
        <w:tc>
          <w:tcPr>
            <w:tcW w:w="33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3,226,166.67</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34,425,309.34</w:t>
            </w:r>
          </w:p>
        </w:tc>
        <w:tc>
          <w:tcPr>
            <w:tcW w:w="33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82,499.89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659,725,709.42</w:t>
            </w:r>
          </w:p>
        </w:tc>
      </w:tr>
    </w:tbl>
    <w:p>
      <w:pPr>
        <w:spacing w:line="240" w:lineRule="auto" w:before="2"/>
        <w:rPr>
          <w:rFonts w:ascii="宋体" w:hAnsi="宋体" w:cs="宋体" w:eastAsia="宋体" w:hint="default"/>
          <w:sz w:val="19"/>
          <w:szCs w:val="19"/>
        </w:rPr>
      </w:pPr>
    </w:p>
    <w:p>
      <w:pPr>
        <w:pStyle w:val="Heading3"/>
        <w:spacing w:line="240" w:lineRule="auto" w:before="35"/>
        <w:ind w:right="0"/>
        <w:jc w:val="both"/>
        <w:rPr>
          <w:b w:val="0"/>
          <w:bCs w:val="0"/>
        </w:rPr>
      </w:pPr>
      <w:bookmarkStart w:name="（3）可转换公司债券的转股条件、转股时间说明" w:id="306"/>
      <w:bookmarkEnd w:id="306"/>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jc w:val="both"/>
      </w:pPr>
      <w:r>
        <w:rPr>
          <w:spacing w:val="-2"/>
        </w:rPr>
        <w:t>根据相关法规和《北京久其软件股份有限公司公开发行可转换公司债券募集说明书》的规定，本次发行的可转换公司债券转</w:t>
      </w:r>
      <w:r>
        <w:rPr>
          <w:spacing w:val="-66"/>
        </w:rPr>
        <w:t> </w:t>
      </w:r>
      <w:r>
        <w:rPr>
          <w:spacing w:val="-66"/>
        </w:rPr>
      </w:r>
      <w:r>
        <w:rPr/>
        <w:t>股期限自发行结束之日起满六个月后的第一个交易日起至可转换公司债券到期日止，本次发行的可转债的初始转股价格为</w:t>
      </w:r>
      <w:r>
        <w:rPr>
          <w:spacing w:val="-3"/>
        </w:rPr>
        <w:t> </w:t>
      </w:r>
      <w:r>
        <w:rPr>
          <w:spacing w:val="-3"/>
        </w:rPr>
      </w:r>
      <w:r>
        <w:rPr>
          <w:rFonts w:ascii="Times New Roman" w:hAnsi="Times New Roman" w:cs="Times New Roman" w:eastAsia="Times New Roman" w:hint="default"/>
        </w:rPr>
        <w:t>12.97</w:t>
      </w:r>
      <w:r>
        <w:rPr/>
        <w:t>元</w:t>
      </w:r>
      <w:r>
        <w:rPr>
          <w:rFonts w:ascii="Times New Roman" w:hAnsi="Times New Roman" w:cs="Times New Roman" w:eastAsia="Times New Roman" w:hint="default"/>
        </w:rPr>
        <w:t>/</w:t>
      </w:r>
      <w:r>
        <w:rPr/>
        <w:t>股，由于公司实施股权激励限制性股票首次授予而新增的 </w:t>
      </w:r>
      <w:r>
        <w:rPr>
          <w:rFonts w:ascii="Times New Roman" w:hAnsi="Times New Roman" w:cs="Times New Roman" w:eastAsia="Times New Roman" w:hint="default"/>
        </w:rPr>
        <w:t>707.08 </w:t>
      </w:r>
      <w:r>
        <w:rPr/>
        <w:t>万股股份上市流通日期为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27</w:t>
      </w:r>
      <w:r>
        <w:rPr>
          <w:rFonts w:ascii="Times New Roman" w:hAnsi="Times New Roman" w:cs="Times New Roman" w:eastAsia="Times New Roman" w:hint="default"/>
          <w:spacing w:val="-6"/>
        </w:rPr>
        <w:t> </w:t>
      </w:r>
      <w:r>
        <w:rPr>
          <w:spacing w:val="-14"/>
        </w:rPr>
        <w:t>日，久</w:t>
      </w:r>
    </w:p>
    <w:p>
      <w:pPr>
        <w:pStyle w:val="BodyText"/>
        <w:spacing w:line="300" w:lineRule="auto"/>
        <w:ind w:right="1131"/>
        <w:jc w:val="both"/>
      </w:pPr>
      <w:r>
        <w:rPr/>
        <w:t>其转债的转股价格于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27 </w:t>
      </w:r>
      <w:r>
        <w:rPr/>
        <w:t>日由初始的 </w:t>
      </w:r>
      <w:r>
        <w:rPr>
          <w:rFonts w:ascii="Times New Roman" w:hAnsi="Times New Roman" w:cs="Times New Roman" w:eastAsia="Times New Roman" w:hint="default"/>
        </w:rPr>
        <w:t>12.97 </w:t>
      </w:r>
      <w:r>
        <w:rPr/>
        <w:t>元</w:t>
      </w:r>
      <w:r>
        <w:rPr>
          <w:rFonts w:ascii="Times New Roman" w:hAnsi="Times New Roman" w:cs="Times New Roman" w:eastAsia="Times New Roman" w:hint="default"/>
        </w:rPr>
        <w:t>/</w:t>
      </w:r>
      <w:r>
        <w:rPr/>
        <w:t>股调整至 </w:t>
      </w:r>
      <w:r>
        <w:rPr>
          <w:rFonts w:ascii="Times New Roman" w:hAnsi="Times New Roman" w:cs="Times New Roman" w:eastAsia="Times New Roman" w:hint="default"/>
        </w:rPr>
        <w:t>12.90</w:t>
      </w:r>
      <w:r>
        <w:rPr>
          <w:rFonts w:ascii="Times New Roman" w:hAnsi="Times New Roman" w:cs="Times New Roman" w:eastAsia="Times New Roman" w:hint="default"/>
          <w:spacing w:val="36"/>
        </w:rPr>
        <w:t> </w:t>
      </w:r>
      <w:r>
        <w:rPr/>
        <w:t>元</w:t>
      </w:r>
      <w:r>
        <w:rPr>
          <w:rFonts w:ascii="Times New Roman" w:hAnsi="Times New Roman" w:cs="Times New Roman" w:eastAsia="Times New Roman" w:hint="default"/>
        </w:rPr>
        <w:t>/</w:t>
      </w:r>
      <w:r>
        <w:rPr/>
        <w:t>股。公司实施</w:t>
      </w:r>
      <w:r>
        <w:rPr>
          <w:rFonts w:ascii="Times New Roman" w:hAnsi="Times New Roman" w:cs="Times New Roman" w:eastAsia="Times New Roman" w:hint="default"/>
        </w:rPr>
        <w:t>2017</w:t>
      </w:r>
      <w:r>
        <w:rPr/>
        <w:t>年年度权益分派方案，以 </w:t>
      </w:r>
      <w:r>
        <w:rPr>
          <w:spacing w:val="-1"/>
        </w:rPr>
        <w:t>权益分派股权登记日（即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3</w:t>
      </w:r>
      <w:r>
        <w:rPr>
          <w:spacing w:val="-1"/>
        </w:rPr>
        <w:t>日）的总股本为基数向全体股东每</w:t>
      </w:r>
      <w:r>
        <w:rPr>
          <w:rFonts w:ascii="Times New Roman" w:hAnsi="Times New Roman" w:cs="Times New Roman" w:eastAsia="Times New Roman" w:hint="default"/>
          <w:spacing w:val="-1"/>
        </w:rPr>
        <w:t>10</w:t>
      </w:r>
      <w:r>
        <w:rPr>
          <w:spacing w:val="-1"/>
        </w:rPr>
        <w:t>股派发</w:t>
      </w:r>
      <w:r>
        <w:rPr>
          <w:rFonts w:ascii="Times New Roman" w:hAnsi="Times New Roman" w:cs="Times New Roman" w:eastAsia="Times New Roman" w:hint="default"/>
          <w:spacing w:val="-1"/>
        </w:rPr>
        <w:t>0.30</w:t>
      </w:r>
      <w:r>
        <w:rPr>
          <w:spacing w:val="-1"/>
        </w:rPr>
        <w:t>元（含税）现金股利。此外，公司不送</w:t>
      </w:r>
      <w:r>
        <w:rPr>
          <w:spacing w:val="-68"/>
        </w:rPr>
        <w:t> </w:t>
      </w:r>
      <w:r>
        <w:rPr>
          <w:spacing w:val="-68"/>
        </w:rPr>
      </w:r>
      <w:r>
        <w:rPr/>
        <w:t>红股，不以资本公积金转增股本，除息日（即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4</w:t>
      </w:r>
      <w:r>
        <w:rPr/>
        <w:t>日）久其转债转股价格由</w:t>
      </w:r>
      <w:r>
        <w:rPr>
          <w:rFonts w:ascii="Times New Roman" w:hAnsi="Times New Roman" w:cs="Times New Roman" w:eastAsia="Times New Roman" w:hint="default"/>
        </w:rPr>
        <w:t>12.90</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12.87</w:t>
      </w:r>
      <w:r>
        <w:rPr/>
        <w:t>元</w:t>
      </w:r>
      <w:r>
        <w:rPr>
          <w:rFonts w:ascii="Times New Roman" w:hAnsi="Times New Roman" w:cs="Times New Roman" w:eastAsia="Times New Roman" w:hint="default"/>
        </w:rPr>
        <w:t>/</w:t>
      </w:r>
      <w:r>
        <w:rPr/>
        <w:t>股，调整后的</w:t>
      </w:r>
      <w:r>
        <w:rPr>
          <w:spacing w:val="-15"/>
        </w:rPr>
        <w:t> </w:t>
      </w:r>
      <w:r>
        <w:rPr>
          <w:spacing w:val="-15"/>
        </w:rPr>
      </w:r>
      <w:r>
        <w:rPr>
          <w:spacing w:val="2"/>
        </w:rPr>
        <w:t>价格于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4</w:t>
      </w:r>
      <w:r>
        <w:rPr>
          <w:spacing w:val="2"/>
        </w:rPr>
        <w:t>日起生效。公司股权激励计划预留限制性股票完成登记并于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7</w:t>
      </w:r>
      <w:r>
        <w:rPr>
          <w:spacing w:val="2"/>
        </w:rPr>
        <w:t>日上市，久其转债转股价格由</w:t>
      </w:r>
      <w:r>
        <w:rPr>
          <w:spacing w:val="-50"/>
        </w:rPr>
        <w:t> </w:t>
      </w:r>
      <w:r>
        <w:rPr>
          <w:spacing w:val="-50"/>
        </w:rPr>
      </w:r>
      <w:r>
        <w:rPr>
          <w:rFonts w:ascii="Times New Roman" w:hAnsi="Times New Roman" w:cs="Times New Roman" w:eastAsia="Times New Roman" w:hint="default"/>
        </w:rPr>
        <w:t>12.87</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12.86</w:t>
      </w:r>
      <w:r>
        <w:rPr/>
        <w:t>元</w:t>
      </w:r>
      <w:r>
        <w:rPr>
          <w:rFonts w:ascii="Times New Roman" w:hAnsi="Times New Roman" w:cs="Times New Roman" w:eastAsia="Times New Roman" w:hint="default"/>
        </w:rPr>
        <w:t>/</w:t>
      </w:r>
      <w:r>
        <w:rPr/>
        <w:t>股，调整后的价格已于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日起生效。</w:t>
      </w:r>
    </w:p>
    <w:p>
      <w:pPr>
        <w:spacing w:after="0" w:line="300" w:lineRule="auto"/>
        <w:jc w:val="both"/>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both"/>
        <w:rPr>
          <w:b w:val="0"/>
          <w:bCs w:val="0"/>
        </w:rPr>
      </w:pPr>
      <w:bookmarkStart w:name="（4）划分为金融负债的其他金融工具说明" w:id="307"/>
      <w:bookmarkEnd w:id="307"/>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6252"/>
        <w:jc w:val="left"/>
      </w:pPr>
      <w:r>
        <w:rPr/>
        <w:t>期末发行在外的优先股、永续债等其他金融工具基本情况 无</w:t>
      </w:r>
    </w:p>
    <w:p>
      <w:pPr>
        <w:pStyle w:val="BodyText"/>
        <w:spacing w:line="240" w:lineRule="auto" w:before="29"/>
        <w:ind w:right="0"/>
        <w:jc w:val="both"/>
      </w:pPr>
      <w:r>
        <w:rPr/>
        <w:t>其他说明</w:t>
      </w:r>
    </w:p>
    <w:p>
      <w:pPr>
        <w:pStyle w:val="BodyText"/>
        <w:spacing w:line="300" w:lineRule="auto" w:before="116"/>
        <w:ind w:right="1124"/>
        <w:jc w:val="both"/>
      </w:pPr>
      <w:r>
        <w:rPr/>
        <w:t>本期债券为六年期品种，基本发行规模为</w:t>
      </w:r>
      <w:r>
        <w:rPr>
          <w:rFonts w:ascii="Times New Roman" w:hAnsi="Times New Roman" w:cs="Times New Roman" w:eastAsia="Times New Roman" w:hint="default"/>
        </w:rPr>
        <w:t>78,000</w:t>
      </w:r>
      <w:r>
        <w:rPr/>
        <w:t>万元，每张面值</w:t>
      </w:r>
      <w:r>
        <w:rPr>
          <w:rFonts w:ascii="Times New Roman" w:hAnsi="Times New Roman" w:cs="Times New Roman" w:eastAsia="Times New Roman" w:hint="default"/>
        </w:rPr>
        <w:t>100</w:t>
      </w:r>
      <w:r>
        <w:rPr/>
        <w:t>元，共计</w:t>
      </w:r>
      <w:r>
        <w:rPr>
          <w:rFonts w:ascii="Times New Roman" w:hAnsi="Times New Roman" w:cs="Times New Roman" w:eastAsia="Times New Roman" w:hint="default"/>
        </w:rPr>
        <w:t>780</w:t>
      </w:r>
      <w:r>
        <w:rPr/>
        <w:t>万张，发行价格为</w:t>
      </w:r>
      <w:r>
        <w:rPr>
          <w:rFonts w:ascii="Times New Roman" w:hAnsi="Times New Roman" w:cs="Times New Roman" w:eastAsia="Times New Roman" w:hint="default"/>
        </w:rPr>
        <w:t>100</w:t>
      </w:r>
      <w:r>
        <w:rPr/>
        <w:t>元</w:t>
      </w:r>
      <w:r>
        <w:rPr>
          <w:rFonts w:ascii="Times New Roman" w:hAnsi="Times New Roman" w:cs="Times New Roman" w:eastAsia="Times New Roman" w:hint="default"/>
        </w:rPr>
        <w:t>/</w:t>
      </w:r>
      <w:r>
        <w:rPr/>
        <w:t>张。本次债券票面 利率预设区间为</w:t>
      </w:r>
      <w:r>
        <w:rPr>
          <w:rFonts w:ascii="Times New Roman" w:hAnsi="Times New Roman" w:cs="Times New Roman" w:eastAsia="Times New Roman" w:hint="default"/>
        </w:rPr>
        <w:t>0.3%-1.8% </w:t>
      </w:r>
      <w:r>
        <w:rPr/>
        <w:t>，第一年为 </w:t>
      </w:r>
      <w:r>
        <w:rPr>
          <w:rFonts w:ascii="Times New Roman" w:hAnsi="Times New Roman" w:cs="Times New Roman" w:eastAsia="Times New Roman" w:hint="default"/>
        </w:rPr>
        <w:t>0.3%</w:t>
      </w:r>
      <w:r>
        <w:rPr/>
        <w:t>，第二年为 </w:t>
      </w:r>
      <w:r>
        <w:rPr>
          <w:rFonts w:ascii="Times New Roman" w:hAnsi="Times New Roman" w:cs="Times New Roman" w:eastAsia="Times New Roman" w:hint="default"/>
        </w:rPr>
        <w:t>0.5%</w:t>
      </w:r>
      <w:r>
        <w:rPr/>
        <w:t>，第三年为 </w:t>
      </w:r>
      <w:r>
        <w:rPr>
          <w:rFonts w:ascii="Times New Roman" w:hAnsi="Times New Roman" w:cs="Times New Roman" w:eastAsia="Times New Roman" w:hint="default"/>
        </w:rPr>
        <w:t>1.0%</w:t>
      </w:r>
      <w:r>
        <w:rPr/>
        <w:t>，第四年为 </w:t>
      </w:r>
      <w:r>
        <w:rPr>
          <w:rFonts w:ascii="Times New Roman" w:hAnsi="Times New Roman" w:cs="Times New Roman" w:eastAsia="Times New Roman" w:hint="default"/>
        </w:rPr>
        <w:t>1.3%</w:t>
      </w:r>
      <w:r>
        <w:rPr/>
        <w:t>，第五年为</w:t>
      </w:r>
      <w:r>
        <w:rPr>
          <w:spacing w:val="-36"/>
        </w:rPr>
        <w:t> </w:t>
      </w:r>
      <w:r>
        <w:rPr>
          <w:rFonts w:ascii="Times New Roman" w:hAnsi="Times New Roman" w:cs="Times New Roman" w:eastAsia="Times New Roman" w:hint="default"/>
        </w:rPr>
        <w:t>1.5%</w:t>
      </w:r>
      <w:r>
        <w:rPr/>
        <w:t>，第六年 为</w:t>
      </w:r>
      <w:r>
        <w:rPr>
          <w:spacing w:val="41"/>
        </w:rPr>
        <w:t> </w:t>
      </w:r>
      <w:r>
        <w:rPr>
          <w:rFonts w:ascii="Times New Roman" w:hAnsi="Times New Roman" w:cs="Times New Roman" w:eastAsia="Times New Roman" w:hint="default"/>
          <w:spacing w:val="3"/>
        </w:rPr>
        <w:t>1.8%</w:t>
      </w:r>
      <w:r>
        <w:rPr>
          <w:spacing w:val="3"/>
        </w:rPr>
        <w:t>。扣除发行费用后，计入负债部分公允价值为</w:t>
      </w:r>
      <w:r>
        <w:rPr>
          <w:rFonts w:ascii="Times New Roman" w:hAnsi="Times New Roman" w:cs="Times New Roman" w:eastAsia="Times New Roman" w:hint="default"/>
          <w:spacing w:val="3"/>
        </w:rPr>
        <w:t>611,192,859.76</w:t>
      </w:r>
      <w:r>
        <w:rPr>
          <w:spacing w:val="3"/>
        </w:rPr>
        <w:t>元，计入权益部分公允价值为</w:t>
      </w:r>
      <w:r>
        <w:rPr>
          <w:rFonts w:ascii="Times New Roman" w:hAnsi="Times New Roman" w:cs="Times New Roman" w:eastAsia="Times New Roman" w:hint="default"/>
          <w:spacing w:val="3"/>
        </w:rPr>
        <w:t>154,607,993.81</w:t>
      </w:r>
      <w:r>
        <w:rPr>
          <w:spacing w:val="3"/>
        </w:rPr>
        <w:t>，合计</w:t>
      </w:r>
      <w:r>
        <w:rPr>
          <w:spacing w:val="-80"/>
        </w:rPr>
        <w:t> </w:t>
      </w:r>
      <w:r>
        <w:rPr>
          <w:rFonts w:ascii="Times New Roman" w:hAnsi="Times New Roman" w:cs="Times New Roman" w:eastAsia="Times New Roman" w:hint="default"/>
          <w:spacing w:val="-3"/>
        </w:rPr>
        <w:t>765,800,853.57</w:t>
      </w:r>
      <w:r>
        <w:rPr>
          <w:spacing w:val="-3"/>
        </w:rPr>
        <w:t>元。上期按面值计提利息</w:t>
      </w:r>
      <w:r>
        <w:rPr>
          <w:rFonts w:ascii="Times New Roman" w:hAnsi="Times New Roman" w:cs="Times New Roman" w:eastAsia="Times New Roman" w:hint="default"/>
          <w:spacing w:val="-3"/>
        </w:rPr>
        <w:t>1,345,500.00</w:t>
      </w:r>
      <w:r>
        <w:rPr>
          <w:spacing w:val="-3"/>
        </w:rPr>
        <w:t>元，按实际利率和摊余成本计提利息</w:t>
      </w:r>
      <w:r>
        <w:rPr>
          <w:rFonts w:ascii="Times New Roman" w:hAnsi="Times New Roman" w:cs="Times New Roman" w:eastAsia="Times New Roman" w:hint="default"/>
          <w:spacing w:val="-3"/>
        </w:rPr>
        <w:t>18,763,977.37</w:t>
      </w:r>
      <w:r>
        <w:rPr>
          <w:spacing w:val="-3"/>
        </w:rPr>
        <w:t>元。</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31"/>
        </w:rPr>
        <w:t> </w:t>
      </w:r>
      <w:r>
        <w:rPr/>
        <w:t>年第四季度， 久其转债因转股减少 </w:t>
      </w:r>
      <w:r>
        <w:rPr>
          <w:rFonts w:ascii="Times New Roman" w:hAnsi="Times New Roman" w:cs="Times New Roman" w:eastAsia="Times New Roman" w:hint="default"/>
        </w:rPr>
        <w:t>31,700 </w:t>
      </w:r>
      <w:r>
        <w:rPr/>
        <w:t>元（</w:t>
      </w:r>
      <w:r>
        <w:rPr>
          <w:rFonts w:ascii="Times New Roman" w:hAnsi="Times New Roman" w:cs="Times New Roman" w:eastAsia="Times New Roman" w:hint="default"/>
        </w:rPr>
        <w:t>317 </w:t>
      </w:r>
      <w:r>
        <w:rPr/>
        <w:t>张），转股数量为 </w:t>
      </w:r>
      <w:r>
        <w:rPr>
          <w:rFonts w:ascii="Times New Roman" w:hAnsi="Times New Roman" w:cs="Times New Roman" w:eastAsia="Times New Roman" w:hint="default"/>
        </w:rPr>
        <w:t>2,456 </w:t>
      </w:r>
      <w:r>
        <w:rPr/>
        <w:t>股，剩余可转债余额为 </w:t>
      </w:r>
      <w:r>
        <w:rPr>
          <w:rFonts w:ascii="Times New Roman" w:hAnsi="Times New Roman" w:cs="Times New Roman" w:eastAsia="Times New Roman" w:hint="default"/>
        </w:rPr>
        <w:t>779,968,300 </w:t>
      </w:r>
      <w:r>
        <w:rPr/>
        <w:t>元（</w:t>
      </w:r>
      <w:r>
        <w:rPr>
          <w:rFonts w:ascii="Times New Roman" w:hAnsi="Times New Roman" w:cs="Times New Roman" w:eastAsia="Times New Roman" w:hint="default"/>
        </w:rPr>
        <w:t>7,799,683</w:t>
      </w:r>
      <w:r>
        <w:rPr>
          <w:rFonts w:ascii="Times New Roman" w:hAnsi="Times New Roman" w:cs="Times New Roman" w:eastAsia="Times New Roman" w:hint="default"/>
          <w:spacing w:val="12"/>
        </w:rPr>
        <w:t> </w:t>
      </w:r>
      <w:r>
        <w:rPr>
          <w:spacing w:val="-3"/>
        </w:rPr>
        <w:t>张），减</w:t>
      </w:r>
      <w:r>
        <w:rPr/>
        <w:t> 少应付债券金额</w:t>
      </w:r>
      <w:r>
        <w:rPr>
          <w:rFonts w:ascii="Times New Roman" w:hAnsi="Times New Roman" w:cs="Times New Roman" w:eastAsia="Times New Roman" w:hint="default"/>
        </w:rPr>
        <w:t>2,270.49</w:t>
      </w:r>
      <w:r>
        <w:rPr/>
        <w:t>元。本期按面值计提利息</w:t>
      </w:r>
      <w:r>
        <w:rPr>
          <w:rFonts w:ascii="Times New Roman" w:hAnsi="Times New Roman" w:cs="Times New Roman" w:eastAsia="Times New Roman" w:hint="default"/>
        </w:rPr>
        <w:t>3,226,166.67</w:t>
      </w:r>
      <w:r>
        <w:rPr/>
        <w:t>元，按实际利率和摊余成本计提利息</w:t>
      </w:r>
      <w:r>
        <w:rPr>
          <w:rFonts w:ascii="Times New Roman" w:hAnsi="Times New Roman" w:cs="Times New Roman" w:eastAsia="Times New Roman" w:hint="default"/>
        </w:rPr>
        <w:t>34,425,309.34 </w:t>
      </w:r>
      <w:r>
        <w:rPr/>
        <w:t>元。</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spacing w:val="-4"/>
        </w:rPr>
        <w:t>年第一季度，久其转债因转股减少 </w:t>
      </w:r>
      <w:r>
        <w:rPr>
          <w:rFonts w:ascii="Times New Roman" w:hAnsi="Times New Roman" w:cs="Times New Roman" w:eastAsia="Times New Roman" w:hint="default"/>
          <w:spacing w:val="-5"/>
        </w:rPr>
        <w:t>99,700</w:t>
      </w:r>
      <w:r>
        <w:rPr>
          <w:spacing w:val="-5"/>
        </w:rPr>
        <w:t>元（</w:t>
      </w:r>
      <w:r>
        <w:rPr>
          <w:rFonts w:ascii="Times New Roman" w:hAnsi="Times New Roman" w:cs="Times New Roman" w:eastAsia="Times New Roman" w:hint="default"/>
          <w:spacing w:val="-5"/>
        </w:rPr>
        <w:t>997 </w:t>
      </w:r>
      <w:r>
        <w:rPr>
          <w:spacing w:val="-5"/>
        </w:rPr>
        <w:t>张），转股数量为</w:t>
      </w:r>
      <w:r>
        <w:rPr>
          <w:rFonts w:ascii="Times New Roman" w:hAnsi="Times New Roman" w:cs="Times New Roman" w:eastAsia="Times New Roman" w:hint="default"/>
          <w:spacing w:val="-5"/>
        </w:rPr>
        <w:t>7,726</w:t>
      </w:r>
      <w:r>
        <w:rPr>
          <w:spacing w:val="-5"/>
        </w:rPr>
        <w:t>股，剩余可转债余额</w:t>
      </w:r>
      <w:r>
        <w:rPr>
          <w:rFonts w:ascii="Times New Roman" w:hAnsi="Times New Roman" w:cs="Times New Roman" w:eastAsia="Times New Roman" w:hint="default"/>
          <w:spacing w:val="-5"/>
        </w:rPr>
        <w:t>779,868,600</w:t>
      </w:r>
      <w:r>
        <w:rPr>
          <w:spacing w:val="-5"/>
        </w:rPr>
        <w:t>元（</w:t>
      </w:r>
      <w:r>
        <w:rPr>
          <w:rFonts w:ascii="Times New Roman" w:hAnsi="Times New Roman" w:cs="Times New Roman" w:eastAsia="Times New Roman" w:hint="default"/>
          <w:spacing w:val="-5"/>
        </w:rPr>
        <w:t>7,798,686</w:t>
      </w:r>
      <w:r>
        <w:rPr>
          <w:spacing w:val="-5"/>
        </w:rPr>
        <w:t>张）。</w:t>
      </w:r>
      <w:r>
        <w:rPr>
          <w:spacing w:val="-87"/>
        </w:rPr>
        <w:t> </w:t>
      </w:r>
      <w:r>
        <w:rPr>
          <w:spacing w:val="-87"/>
        </w:rPr>
      </w:r>
      <w:r>
        <w:rPr>
          <w:rFonts w:ascii="Times New Roman" w:hAnsi="Times New Roman" w:cs="Times New Roman" w:eastAsia="Times New Roman" w:hint="default"/>
          <w:spacing w:val="-4"/>
        </w:rPr>
        <w:t>2018</w:t>
      </w:r>
      <w:r>
        <w:rPr>
          <w:spacing w:val="-4"/>
        </w:rPr>
        <w:t>年第二季度，久其转债因转股减少</w:t>
      </w:r>
      <w:r>
        <w:rPr>
          <w:rFonts w:ascii="Times New Roman" w:hAnsi="Times New Roman" w:cs="Times New Roman" w:eastAsia="Times New Roman" w:hint="default"/>
          <w:spacing w:val="-4"/>
        </w:rPr>
        <w:t>1,400</w:t>
      </w:r>
      <w:r>
        <w:rPr>
          <w:spacing w:val="-4"/>
        </w:rPr>
        <w:t>元（</w:t>
      </w:r>
      <w:r>
        <w:rPr>
          <w:rFonts w:ascii="Times New Roman" w:hAnsi="Times New Roman" w:cs="Times New Roman" w:eastAsia="Times New Roman" w:hint="default"/>
          <w:spacing w:val="-4"/>
        </w:rPr>
        <w:t>14</w:t>
      </w:r>
      <w:r>
        <w:rPr>
          <w:spacing w:val="-4"/>
        </w:rPr>
        <w:t>张），转股数量为</w:t>
      </w:r>
      <w:r>
        <w:rPr>
          <w:rFonts w:ascii="Times New Roman" w:hAnsi="Times New Roman" w:cs="Times New Roman" w:eastAsia="Times New Roman" w:hint="default"/>
          <w:spacing w:val="-4"/>
        </w:rPr>
        <w:t>108</w:t>
      </w:r>
      <w:r>
        <w:rPr>
          <w:spacing w:val="-4"/>
        </w:rPr>
        <w:t>股，剩余可转债余额</w:t>
      </w:r>
      <w:r>
        <w:rPr>
          <w:rFonts w:ascii="Times New Roman" w:hAnsi="Times New Roman" w:cs="Times New Roman" w:eastAsia="Times New Roman" w:hint="default"/>
          <w:spacing w:val="-4"/>
        </w:rPr>
        <w:t>779,867,200</w:t>
      </w:r>
      <w:r>
        <w:rPr>
          <w:spacing w:val="-4"/>
        </w:rPr>
        <w:t>元（</w:t>
      </w:r>
      <w:r>
        <w:rPr>
          <w:rFonts w:ascii="Times New Roman" w:hAnsi="Times New Roman" w:cs="Times New Roman" w:eastAsia="Times New Roman" w:hint="default"/>
          <w:spacing w:val="-4"/>
        </w:rPr>
        <w:t>7,798,672</w:t>
      </w:r>
      <w:r>
        <w:rPr>
          <w:spacing w:val="-4"/>
        </w:rPr>
        <w:t>张）。</w:t>
      </w:r>
    </w:p>
    <w:p>
      <w:pPr>
        <w:pStyle w:val="BodyText"/>
        <w:spacing w:line="240" w:lineRule="auto" w:before="13"/>
        <w:ind w:right="0"/>
        <w:jc w:val="both"/>
      </w:pPr>
      <w:r>
        <w:rPr>
          <w:rFonts w:ascii="Times New Roman" w:hAnsi="Times New Roman" w:cs="Times New Roman" w:eastAsia="Times New Roman" w:hint="default"/>
        </w:rPr>
        <w:t>2018</w:t>
      </w:r>
      <w:r>
        <w:rPr/>
        <w:t>年第三季度，无久其转债转换为公司股份。</w:t>
      </w:r>
      <w:r>
        <w:rPr>
          <w:rFonts w:ascii="Times New Roman" w:hAnsi="Times New Roman" w:cs="Times New Roman" w:eastAsia="Times New Roman" w:hint="default"/>
        </w:rPr>
        <w:t>2018</w:t>
      </w:r>
      <w:r>
        <w:rPr/>
        <w:t>年第四季度，无久其转债转换为公司股份。</w:t>
      </w:r>
    </w:p>
    <w:p>
      <w:pPr>
        <w:spacing w:line="240" w:lineRule="auto" w:before="11"/>
        <w:rPr>
          <w:rFonts w:ascii="宋体" w:hAnsi="宋体" w:cs="宋体" w:eastAsia="宋体" w:hint="default"/>
          <w:sz w:val="25"/>
          <w:szCs w:val="25"/>
        </w:rPr>
      </w:pPr>
    </w:p>
    <w:p>
      <w:pPr>
        <w:pStyle w:val="Heading3"/>
        <w:spacing w:line="240" w:lineRule="auto"/>
        <w:ind w:right="0"/>
        <w:jc w:val="both"/>
        <w:rPr>
          <w:b w:val="0"/>
          <w:bCs w:val="0"/>
        </w:rPr>
      </w:pPr>
      <w:bookmarkStart w:name="32、长期应付款" w:id="308"/>
      <w:bookmarkEnd w:id="308"/>
      <w:r>
        <w:rPr>
          <w:b w:val="0"/>
          <w:bCs w:val="0"/>
        </w:rPr>
      </w:r>
      <w:r>
        <w:rPr>
          <w:rFonts w:ascii="Times New Roman" w:hAnsi="Times New Roman" w:cs="Times New Roman" w:eastAsia="Times New Roman" w:hint="default"/>
        </w:rPr>
        <w:t>32</w:t>
      </w:r>
      <w:r>
        <w:rPr/>
        <w:t>、长期应付款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bookmarkStart w:name="33、长期应付职工薪酬" w:id="309"/>
      <w:bookmarkEnd w:id="309"/>
      <w:r>
        <w:rPr>
          <w:b w:val="0"/>
          <w:bCs w:val="0"/>
        </w:rPr>
      </w:r>
      <w:r>
        <w:rPr>
          <w:rFonts w:ascii="Times New Roman" w:hAnsi="Times New Roman" w:cs="Times New Roman" w:eastAsia="Times New Roman" w:hint="default"/>
        </w:rPr>
        <w:t>33</w:t>
      </w:r>
      <w:r>
        <w:rPr/>
        <w:t>、长期应付职工薪酬</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bookmarkStart w:name="34、预计负债" w:id="310"/>
      <w:bookmarkEnd w:id="310"/>
      <w:r>
        <w:rPr>
          <w:b w:val="0"/>
          <w:bCs w:val="0"/>
        </w:rPr>
      </w:r>
      <w:r>
        <w:rPr>
          <w:rFonts w:ascii="Times New Roman" w:hAnsi="Times New Roman" w:cs="Times New Roman" w:eastAsia="Times New Roman" w:hint="default"/>
        </w:rPr>
        <w:t>34</w:t>
      </w:r>
      <w:r>
        <w:rPr/>
        <w:t>、预计负债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bookmarkStart w:name="35、递延收益" w:id="311"/>
      <w:bookmarkEnd w:id="311"/>
      <w:r>
        <w:rPr>
          <w:b w:val="0"/>
          <w:bCs w:val="0"/>
        </w:rPr>
      </w:r>
      <w:r>
        <w:rPr>
          <w:rFonts w:ascii="Times New Roman" w:hAnsi="Times New Roman" w:cs="Times New Roman" w:eastAsia="Times New Roman" w:hint="default"/>
        </w:rPr>
        <w:t>35</w:t>
      </w:r>
      <w:r>
        <w:rPr/>
        <w:t>、递延收益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13,861,358.79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4,312,776.77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9,548,582.02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补贴款</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13,861,358.79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4,312,776.77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9,548,582.02</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986"/>
        <w:gridCol w:w="1093"/>
        <w:gridCol w:w="795"/>
        <w:gridCol w:w="1032"/>
        <w:gridCol w:w="1382"/>
        <w:gridCol w:w="952"/>
        <w:gridCol w:w="475"/>
        <w:gridCol w:w="1004"/>
        <w:gridCol w:w="974"/>
      </w:tblGrid>
      <w:tr>
        <w:trPr>
          <w:trHeight w:val="1026"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2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2" w:right="30"/>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 w:right="60"/>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15" w:right="55" w:hanging="360"/>
              <w:jc w:val="left"/>
              <w:rPr>
                <w:rFonts w:ascii="宋体" w:hAnsi="宋体" w:cs="宋体" w:eastAsia="宋体" w:hint="default"/>
                <w:sz w:val="18"/>
                <w:szCs w:val="18"/>
              </w:rPr>
            </w:pPr>
            <w:r>
              <w:rPr>
                <w:rFonts w:ascii="宋体" w:hAnsi="宋体" w:cs="宋体" w:eastAsia="宋体" w:hint="default"/>
                <w:sz w:val="18"/>
                <w:szCs w:val="18"/>
              </w:rPr>
              <w:t>本期计入其他收 益金额</w:t>
            </w:r>
          </w:p>
        </w:tc>
        <w:tc>
          <w:tcPr>
            <w:tcW w:w="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 w:right="111"/>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4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1" w:right="53"/>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 w:right="0"/>
              <w:jc w:val="left"/>
              <w:rPr>
                <w:rFonts w:ascii="宋体" w:hAnsi="宋体" w:cs="宋体" w:eastAsia="宋体" w:hint="default"/>
                <w:sz w:val="18"/>
                <w:szCs w:val="18"/>
              </w:rPr>
            </w:pPr>
            <w:r>
              <w:rPr>
                <w:rFonts w:ascii="宋体" w:hAnsi="宋体" w:cs="宋体" w:eastAsia="宋体" w:hint="default"/>
                <w:sz w:val="18"/>
                <w:szCs w:val="18"/>
              </w:rPr>
              <w:t>与资产相关</w:t>
            </w:r>
          </w:p>
          <w:p>
            <w:pPr>
              <w:pStyle w:val="TableParagraph"/>
              <w:spacing w:line="302" w:lineRule="auto" w:before="76"/>
              <w:ind w:left="392" w:right="95" w:hanging="29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 关</w:t>
            </w:r>
          </w:p>
        </w:tc>
      </w:tr>
      <w:tr>
        <w:trPr>
          <w:trHeight w:val="1026"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基于新一代开发平台的 集团管控软件的升级改 造项目</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265,013.52</w:t>
            </w:r>
          </w:p>
        </w:tc>
        <w:tc>
          <w:tcPr>
            <w:tcW w:w="795"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265,013.52</w:t>
            </w:r>
          </w:p>
        </w:tc>
        <w:tc>
          <w:tcPr>
            <w:tcW w:w="952"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久其智慧物流公共服务</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5,085,669.67</w:t>
            </w:r>
          </w:p>
        </w:tc>
        <w:tc>
          <w:tcPr>
            <w:tcW w:w="795"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1,489,129.68</w:t>
            </w:r>
          </w:p>
        </w:tc>
        <w:tc>
          <w:tcPr>
            <w:tcW w:w="952"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3,596,539.99</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986"/>
        <w:gridCol w:w="1093"/>
        <w:gridCol w:w="795"/>
        <w:gridCol w:w="1032"/>
        <w:gridCol w:w="1382"/>
        <w:gridCol w:w="952"/>
        <w:gridCol w:w="475"/>
        <w:gridCol w:w="1004"/>
        <w:gridCol w:w="974"/>
      </w:tblGrid>
      <w:tr>
        <w:trPr>
          <w:trHeight w:val="1026"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2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2" w:right="30"/>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 w:right="60"/>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15" w:right="55" w:hanging="360"/>
              <w:jc w:val="left"/>
              <w:rPr>
                <w:rFonts w:ascii="宋体" w:hAnsi="宋体" w:cs="宋体" w:eastAsia="宋体" w:hint="default"/>
                <w:sz w:val="18"/>
                <w:szCs w:val="18"/>
              </w:rPr>
            </w:pPr>
            <w:r>
              <w:rPr>
                <w:rFonts w:ascii="宋体" w:hAnsi="宋体" w:cs="宋体" w:eastAsia="宋体" w:hint="default"/>
                <w:sz w:val="18"/>
                <w:szCs w:val="18"/>
              </w:rPr>
              <w:t>本期计入其他收 益金额</w:t>
            </w:r>
          </w:p>
        </w:tc>
        <w:tc>
          <w:tcPr>
            <w:tcW w:w="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 w:right="111"/>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4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1" w:right="53"/>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 w:right="0"/>
              <w:jc w:val="left"/>
              <w:rPr>
                <w:rFonts w:ascii="宋体" w:hAnsi="宋体" w:cs="宋体" w:eastAsia="宋体" w:hint="default"/>
                <w:sz w:val="18"/>
                <w:szCs w:val="18"/>
              </w:rPr>
            </w:pPr>
            <w:r>
              <w:rPr>
                <w:rFonts w:ascii="宋体" w:hAnsi="宋体" w:cs="宋体" w:eastAsia="宋体" w:hint="default"/>
                <w:sz w:val="18"/>
                <w:szCs w:val="18"/>
              </w:rPr>
              <w:t>与资产相关</w:t>
            </w:r>
          </w:p>
          <w:p>
            <w:pPr>
              <w:pStyle w:val="TableParagraph"/>
              <w:spacing w:line="302" w:lineRule="auto" w:before="76"/>
              <w:ind w:left="392" w:right="95" w:hanging="29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 关</w:t>
            </w:r>
          </w:p>
        </w:tc>
      </w:tr>
      <w:tr>
        <w:trPr>
          <w:trHeight w:val="36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平台项目</w:t>
            </w:r>
          </w:p>
        </w:tc>
        <w:tc>
          <w:tcPr>
            <w:tcW w:w="1093"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工程实验室</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8,390,454.27</w:t>
            </w:r>
          </w:p>
        </w:tc>
        <w:tc>
          <w:tcPr>
            <w:tcW w:w="795"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2,438,412.24</w:t>
            </w:r>
          </w:p>
        </w:tc>
        <w:tc>
          <w:tcPr>
            <w:tcW w:w="952"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5,952,042.03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华夏电通数字媒体综合 控制系统生产项目补贴 款</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120,221.33</w:t>
            </w:r>
          </w:p>
        </w:tc>
        <w:tc>
          <w:tcPr>
            <w:tcW w:w="795"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120,221.33</w:t>
            </w:r>
          </w:p>
        </w:tc>
        <w:tc>
          <w:tcPr>
            <w:tcW w:w="952"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13,861,358.79</w:t>
            </w:r>
          </w:p>
        </w:tc>
        <w:tc>
          <w:tcPr>
            <w:tcW w:w="795"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4,312,776.77</w:t>
            </w:r>
          </w:p>
        </w:tc>
        <w:tc>
          <w:tcPr>
            <w:tcW w:w="952"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9,548,582.02</w:t>
            </w:r>
          </w:p>
        </w:tc>
        <w:tc>
          <w:tcPr>
            <w:tcW w:w="97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pStyle w:val="BodyText"/>
        <w:spacing w:line="300" w:lineRule="auto" w:before="116"/>
        <w:ind w:right="1122"/>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月，根据北京市发展和改革委员会《关于北京久其软件股份有限公司基于新一代开发平台的集团管控软件的升级</w:t>
      </w:r>
      <w:r>
        <w:rPr>
          <w:spacing w:val="-60"/>
        </w:rPr>
        <w:t> </w:t>
      </w:r>
      <w:r>
        <w:rPr>
          <w:spacing w:val="-60"/>
        </w:rPr>
      </w:r>
      <w:r>
        <w:rPr/>
        <w:t>改造项目资金申请报告的批复》（京发改【</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1313</w:t>
      </w:r>
      <w:r>
        <w:rPr/>
        <w:t>号），公司收到</w:t>
      </w:r>
      <w:r>
        <w:rPr>
          <w:rFonts w:ascii="Times New Roman" w:hAnsi="Times New Roman" w:cs="Times New Roman" w:eastAsia="Times New Roman" w:hint="default"/>
        </w:rPr>
        <w:t>“</w:t>
      </w:r>
      <w:r>
        <w:rPr/>
        <w:t>基于新一代开发平台的集团管控软件的升级改造项 目</w:t>
      </w:r>
      <w:r>
        <w:rPr>
          <w:rFonts w:ascii="Times New Roman" w:hAnsi="Times New Roman" w:cs="Times New Roman" w:eastAsia="Times New Roman" w:hint="default"/>
        </w:rPr>
        <w:t>”</w:t>
      </w:r>
      <w:r>
        <w:rPr/>
        <w:t>专项补贴</w:t>
      </w:r>
      <w:r>
        <w:rPr>
          <w:rFonts w:ascii="Times New Roman" w:hAnsi="Times New Roman" w:cs="Times New Roman" w:eastAsia="Times New Roman" w:hint="default"/>
        </w:rPr>
        <w:t>1,700,000.00</w:t>
      </w:r>
      <w:r>
        <w:rPr/>
        <w:t>元；截止</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月，该资金已全部用于购买机器设备和无形资产，该专项补贴按机器设备和无形 资产使用年限分摊计入其他收益，本年计入其他收益</w:t>
      </w:r>
      <w:r>
        <w:rPr>
          <w:rFonts w:ascii="Times New Roman" w:hAnsi="Times New Roman" w:cs="Times New Roman" w:eastAsia="Times New Roman" w:hint="default"/>
        </w:rPr>
        <w:t>265,013.52</w:t>
      </w:r>
      <w:r>
        <w:rPr/>
        <w:t>元。 </w:t>
      </w:r>
      <w:r>
        <w:rPr>
          <w:rFonts w:ascii="Times New Roman" w:hAnsi="Times New Roman" w:cs="Times New Roman" w:eastAsia="Times New Roman" w:hint="default"/>
          <w:spacing w:val="-1"/>
        </w:rPr>
        <w:t>2</w:t>
      </w:r>
      <w:r>
        <w:rPr>
          <w:spacing w:val="-1"/>
        </w:rPr>
        <w:t>、根据《财政部发展改革委商务部科技部关于批复中关村现代服务业试点方案的通知》</w:t>
      </w:r>
      <w:r>
        <w:rPr>
          <w:rFonts w:ascii="Times New Roman" w:hAnsi="Times New Roman" w:cs="Times New Roman" w:eastAsia="Times New Roman" w:hint="default"/>
          <w:spacing w:val="-1"/>
        </w:rPr>
        <w:t>(</w:t>
      </w:r>
      <w:r>
        <w:rPr>
          <w:spacing w:val="-1"/>
        </w:rPr>
        <w:t>财建函</w:t>
      </w:r>
      <w:r>
        <w:rPr>
          <w:rFonts w:ascii="Times New Roman" w:hAnsi="Times New Roman" w:cs="Times New Roman" w:eastAsia="Times New Roman" w:hint="default"/>
          <w:spacing w:val="-1"/>
        </w:rPr>
        <w:t>[2011]32</w:t>
      </w:r>
      <w:r>
        <w:rPr>
          <w:spacing w:val="-1"/>
        </w:rPr>
        <w:t>号</w:t>
      </w:r>
      <w:r>
        <w:rPr>
          <w:rFonts w:ascii="Times New Roman" w:hAnsi="Times New Roman" w:cs="Times New Roman" w:eastAsia="Times New Roman" w:hint="default"/>
          <w:spacing w:val="-1"/>
        </w:rPr>
        <w:t>)</w:t>
      </w:r>
      <w:r>
        <w:rPr>
          <w:spacing w:val="-1"/>
        </w:rPr>
        <w:t>文件要求，公司</w:t>
      </w:r>
      <w:r>
        <w:rPr>
          <w:spacing w:val="-86"/>
        </w:rPr>
        <w:t> </w:t>
      </w:r>
      <w:r>
        <w:rPr>
          <w:spacing w:val="-86"/>
        </w:rPr>
      </w:r>
      <w:r>
        <w:rPr>
          <w:spacing w:val="-1"/>
        </w:rPr>
        <w:t>申报</w:t>
      </w:r>
      <w:r>
        <w:rPr>
          <w:rFonts w:ascii="Times New Roman" w:hAnsi="Times New Roman" w:cs="Times New Roman" w:eastAsia="Times New Roman" w:hint="default"/>
          <w:spacing w:val="-1"/>
        </w:rPr>
        <w:t>2014</w:t>
      </w:r>
      <w:r>
        <w:rPr>
          <w:spacing w:val="-1"/>
        </w:rPr>
        <w:t>年中关村现代服务业试点项目通过审批，于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3</w:t>
      </w:r>
      <w:r>
        <w:rPr>
          <w:spacing w:val="-1"/>
        </w:rPr>
        <w:t>月收到</w:t>
      </w:r>
      <w:r>
        <w:rPr>
          <w:rFonts w:ascii="Times New Roman" w:hAnsi="Times New Roman" w:cs="Times New Roman" w:eastAsia="Times New Roman" w:hint="default"/>
          <w:spacing w:val="-1"/>
        </w:rPr>
        <w:t>“</w:t>
      </w:r>
      <w:r>
        <w:rPr>
          <w:spacing w:val="-1"/>
        </w:rPr>
        <w:t>久其智慧物流公共服务平台</w:t>
      </w:r>
      <w:r>
        <w:rPr>
          <w:rFonts w:ascii="Times New Roman" w:hAnsi="Times New Roman" w:cs="Times New Roman" w:eastAsia="Times New Roman" w:hint="default"/>
          <w:spacing w:val="-1"/>
        </w:rPr>
        <w:t>”</w:t>
      </w:r>
      <w:r>
        <w:rPr>
          <w:spacing w:val="-1"/>
        </w:rPr>
        <w:t>政府支持资金</w:t>
      </w:r>
      <w:r>
        <w:rPr>
          <w:rFonts w:ascii="Times New Roman" w:hAnsi="Times New Roman" w:cs="Times New Roman" w:eastAsia="Times New Roman" w:hint="default"/>
          <w:spacing w:val="-1"/>
        </w:rPr>
        <w:t>8,370,000.00</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元，该专项补贴按平台使用年限分摊计入其他收益，本年计入其他收益</w:t>
      </w:r>
      <w:r>
        <w:rPr>
          <w:rFonts w:ascii="Times New Roman" w:hAnsi="Times New Roman" w:cs="Times New Roman" w:eastAsia="Times New Roman" w:hint="default"/>
        </w:rPr>
        <w:t>1,489,129.68</w:t>
      </w:r>
      <w:r>
        <w:rPr/>
        <w:t>元。 </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月，根据北京市发展和改革委员会《关于北京久其软件股份有限公司基于大数据的预测预警技术北京市工程实验</w:t>
      </w:r>
      <w:r>
        <w:rPr>
          <w:spacing w:val="-61"/>
        </w:rPr>
        <w:t> </w:t>
      </w:r>
      <w:r>
        <w:rPr>
          <w:spacing w:val="-61"/>
        </w:rPr>
      </w:r>
      <w:r>
        <w:rPr/>
        <w:t>室创新能力建设项目补助资金的批复》（京发改【</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1039</w:t>
      </w:r>
      <w:r>
        <w:rPr/>
        <w:t>号），公司收到</w:t>
      </w:r>
      <w:r>
        <w:rPr>
          <w:rFonts w:ascii="Times New Roman" w:hAnsi="Times New Roman" w:cs="Times New Roman" w:eastAsia="Times New Roman" w:hint="default"/>
        </w:rPr>
        <w:t>“</w:t>
      </w:r>
      <w:r>
        <w:rPr/>
        <w:t>基于大数据的预测预警技术北京市工程实验 室创新能力建设项目</w:t>
      </w:r>
      <w:r>
        <w:rPr>
          <w:rFonts w:ascii="Times New Roman" w:hAnsi="Times New Roman" w:cs="Times New Roman" w:eastAsia="Times New Roman" w:hint="default"/>
        </w:rPr>
        <w:t>”</w:t>
      </w:r>
      <w:r>
        <w:rPr/>
        <w:t>专项补贴</w:t>
      </w:r>
      <w:r>
        <w:rPr>
          <w:rFonts w:ascii="Times New Roman" w:hAnsi="Times New Roman" w:cs="Times New Roman" w:eastAsia="Times New Roman" w:hint="default"/>
        </w:rPr>
        <w:t>11,540,000.00</w:t>
      </w:r>
      <w:r>
        <w:rPr/>
        <w:t>元。该专项补贴按实验室项目使用年限分摊计入其他收益，本年计入其他收益 </w:t>
      </w:r>
      <w:r>
        <w:rPr>
          <w:rFonts w:ascii="Times New Roman" w:hAnsi="Times New Roman" w:cs="Times New Roman" w:eastAsia="Times New Roman" w:hint="default"/>
        </w:rPr>
        <w:t>2,438,412.24</w:t>
      </w:r>
      <w:r>
        <w:rPr/>
        <w:t>元。</w:t>
      </w:r>
    </w:p>
    <w:p>
      <w:pPr>
        <w:pStyle w:val="BodyText"/>
        <w:spacing w:line="300" w:lineRule="auto" w:before="13"/>
        <w:ind w:right="1122"/>
        <w:jc w:val="left"/>
      </w:pPr>
      <w:r>
        <w:rPr>
          <w:rFonts w:ascii="Times New Roman" w:hAnsi="Times New Roman" w:cs="Times New Roman" w:eastAsia="Times New Roman" w:hint="default"/>
        </w:rPr>
        <w:t>4</w:t>
      </w:r>
      <w:r>
        <w:rPr/>
        <w:t>、根据北京市经济和信息化委员会发布的《关于组织申报</w:t>
      </w:r>
      <w:r>
        <w:rPr>
          <w:rFonts w:ascii="Times New Roman" w:hAnsi="Times New Roman" w:cs="Times New Roman" w:eastAsia="Times New Roman" w:hint="default"/>
        </w:rPr>
        <w:t>2012</w:t>
      </w:r>
      <w:r>
        <w:rPr/>
        <w:t>年第二批北京市中小企业发展专项资金项目的通知》的有关 </w:t>
      </w:r>
      <w:r>
        <w:rPr>
          <w:spacing w:val="-2"/>
        </w:rPr>
        <w:t>规定，本公司申报</w:t>
      </w:r>
      <w:r>
        <w:rPr>
          <w:rFonts w:ascii="Times New Roman" w:hAnsi="Times New Roman" w:cs="Times New Roman" w:eastAsia="Times New Roman" w:hint="default"/>
          <w:spacing w:val="-2"/>
        </w:rPr>
        <w:t>“</w:t>
      </w:r>
      <w:r>
        <w:rPr>
          <w:spacing w:val="-2"/>
        </w:rPr>
        <w:t>华夏电通数字媒体综合控制系统生产项目</w:t>
      </w:r>
      <w:r>
        <w:rPr>
          <w:rFonts w:ascii="Times New Roman" w:hAnsi="Times New Roman" w:cs="Times New Roman" w:eastAsia="Times New Roman" w:hint="default"/>
          <w:spacing w:val="-2"/>
        </w:rPr>
        <w:t>”</w:t>
      </w:r>
      <w:r>
        <w:rPr>
          <w:spacing w:val="-2"/>
        </w:rPr>
        <w:t>专项补贴，于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月与北京市经济和信息化委员会签订了</w:t>
      </w:r>
    </w:p>
    <w:p>
      <w:pPr>
        <w:pStyle w:val="BodyText"/>
        <w:spacing w:line="300" w:lineRule="auto" w:before="13"/>
        <w:ind w:right="1132"/>
        <w:jc w:val="both"/>
      </w:pPr>
      <w:r>
        <w:rPr>
          <w:spacing w:val="-1"/>
        </w:rPr>
        <w:t>《北京市工业发展资金拨款项目合同书》，合同约定本公司获得专项发展资金</w:t>
      </w:r>
      <w:r>
        <w:rPr>
          <w:rFonts w:ascii="Times New Roman" w:hAnsi="Times New Roman" w:cs="Times New Roman" w:eastAsia="Times New Roman" w:hint="default"/>
          <w:spacing w:val="-1"/>
        </w:rPr>
        <w:t>1,140,000.00</w:t>
      </w:r>
      <w:r>
        <w:rPr>
          <w:spacing w:val="-1"/>
        </w:rPr>
        <w:t>元，该项资金用于购买</w:t>
      </w:r>
      <w:r>
        <w:rPr>
          <w:rFonts w:ascii="Times New Roman" w:hAnsi="Times New Roman" w:cs="Times New Roman" w:eastAsia="Times New Roman" w:hint="default"/>
          <w:spacing w:val="-1"/>
        </w:rPr>
        <w:t>“</w:t>
      </w:r>
      <w:r>
        <w:rPr>
          <w:spacing w:val="-1"/>
        </w:rPr>
        <w:t>华夏电通</w:t>
      </w:r>
      <w:r>
        <w:rPr>
          <w:spacing w:val="-62"/>
        </w:rPr>
        <w:t> </w:t>
      </w:r>
      <w:r>
        <w:rPr/>
        <w:t>数字媒体综合控制系统生产项目</w:t>
      </w:r>
      <w:r>
        <w:rPr>
          <w:rFonts w:ascii="Times New Roman" w:hAnsi="Times New Roman" w:cs="Times New Roman" w:eastAsia="Times New Roman" w:hint="default"/>
        </w:rPr>
        <w:t>”</w:t>
      </w:r>
      <w:r>
        <w:rPr/>
        <w:t>相关资产，包括</w:t>
      </w:r>
      <w:r>
        <w:rPr>
          <w:rFonts w:ascii="Times New Roman" w:hAnsi="Times New Roman" w:cs="Times New Roman" w:eastAsia="Times New Roman" w:hint="default"/>
        </w:rPr>
        <w:t>IBM</w:t>
      </w:r>
      <w:r>
        <w:rPr/>
        <w:t>服务器、多点控制单元、视频会议终端、机柜、软件，在实际收到资 金时计入递延收益并在资产使用期限内分期计入其他收益，本年计入其他收益</w:t>
      </w:r>
      <w:r>
        <w:rPr>
          <w:rFonts w:ascii="Times New Roman" w:hAnsi="Times New Roman" w:cs="Times New Roman" w:eastAsia="Times New Roman" w:hint="default"/>
        </w:rPr>
        <w:t>120,221.33</w:t>
      </w:r>
      <w:r>
        <w:rPr/>
        <w:t>元。</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36、其他非流动负债" w:id="312"/>
      <w:bookmarkEnd w:id="312"/>
      <w:r>
        <w:rPr>
          <w:b w:val="0"/>
          <w:bCs w:val="0"/>
        </w:rPr>
      </w:r>
      <w:r>
        <w:rPr>
          <w:rFonts w:ascii="Times New Roman" w:hAnsi="Times New Roman" w:cs="Times New Roman" w:eastAsia="Times New Roman" w:hint="default"/>
        </w:rPr>
        <w:t>36</w:t>
      </w:r>
      <w:r>
        <w:rPr/>
        <w:t>、其他非流动负债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7、股本" w:id="313"/>
      <w:bookmarkEnd w:id="313"/>
      <w:r>
        <w:rPr>
          <w:b w:val="0"/>
          <w:bCs w:val="0"/>
        </w:rPr>
      </w:r>
      <w:r>
        <w:rPr>
          <w:rFonts w:ascii="Times New Roman" w:hAnsi="Times New Roman" w:cs="Times New Roman" w:eastAsia="Times New Roman" w:hint="default"/>
        </w:rPr>
        <w:t>37</w:t>
      </w:r>
      <w:r>
        <w:rPr/>
        <w:t>、股本</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710,727,417.00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2" w:right="0"/>
              <w:jc w:val="left"/>
              <w:rPr>
                <w:rFonts w:ascii="Times New Roman" w:hAnsi="Times New Roman" w:cs="Times New Roman" w:eastAsia="Times New Roman" w:hint="default"/>
                <w:sz w:val="18"/>
                <w:szCs w:val="18"/>
              </w:rPr>
            </w:pPr>
            <w:r>
              <w:rPr>
                <w:rFonts w:ascii="Times New Roman"/>
                <w:sz w:val="18"/>
              </w:rPr>
              <w:t>790,000.00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3" w:right="0"/>
              <w:jc w:val="left"/>
              <w:rPr>
                <w:rFonts w:ascii="Times New Roman" w:hAnsi="Times New Roman" w:cs="Times New Roman" w:eastAsia="Times New Roman" w:hint="default"/>
                <w:sz w:val="18"/>
                <w:szCs w:val="18"/>
              </w:rPr>
            </w:pPr>
            <w:r>
              <w:rPr>
                <w:rFonts w:ascii="Times New Roman"/>
                <w:sz w:val="18"/>
              </w:rPr>
              <w:t>-290,839.00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499,161.00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711,226,578.00</w:t>
            </w:r>
          </w:p>
        </w:tc>
      </w:tr>
    </w:tbl>
    <w:p>
      <w:pPr>
        <w:pStyle w:val="BodyText"/>
        <w:spacing w:line="240" w:lineRule="auto" w:before="51"/>
        <w:ind w:right="0"/>
        <w:jc w:val="left"/>
      </w:pPr>
      <w:r>
        <w:rPr/>
        <w:t>其他说明：</w:t>
      </w:r>
    </w:p>
    <w:p>
      <w:pPr>
        <w:pStyle w:val="BodyText"/>
        <w:spacing w:line="240" w:lineRule="auto" w:before="116"/>
        <w:ind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4</w:t>
      </w:r>
      <w:r>
        <w:rPr/>
        <w:t>月，可转债转股后，久其转债因转股减少</w:t>
      </w:r>
      <w:r>
        <w:rPr>
          <w:rFonts w:ascii="Times New Roman" w:hAnsi="Times New Roman" w:cs="Times New Roman" w:eastAsia="Times New Roman" w:hint="default"/>
        </w:rPr>
        <w:t>101,100</w:t>
      </w:r>
      <w:r>
        <w:rPr/>
        <w:t>元（</w:t>
      </w:r>
      <w:r>
        <w:rPr>
          <w:rFonts w:ascii="Times New Roman" w:hAnsi="Times New Roman" w:cs="Times New Roman" w:eastAsia="Times New Roman" w:hint="default"/>
        </w:rPr>
        <w:t>1,011</w:t>
      </w:r>
      <w:r>
        <w:rPr/>
        <w:t>张），转股数量为</w:t>
      </w:r>
      <w:r>
        <w:rPr>
          <w:rFonts w:ascii="Times New Roman" w:hAnsi="Times New Roman" w:cs="Times New Roman" w:eastAsia="Times New Roman" w:hint="default"/>
        </w:rPr>
        <w:t>7,834</w:t>
      </w:r>
      <w:r>
        <w:rPr/>
        <w:t>股。</w:t>
      </w:r>
    </w:p>
    <w:p>
      <w:pPr>
        <w:pStyle w:val="BodyText"/>
        <w:spacing w:line="300" w:lineRule="auto" w:before="63"/>
        <w:ind w:right="1122"/>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月，根据</w:t>
      </w:r>
      <w:r>
        <w:rPr>
          <w:rFonts w:ascii="Times New Roman" w:hAnsi="Times New Roman" w:cs="Times New Roman" w:eastAsia="Times New Roman" w:hint="default"/>
        </w:rPr>
        <w:t>2017</w:t>
      </w:r>
      <w:r>
        <w:rPr/>
        <w:t>年度股东大会决议通过的《关于定向回购王新、李勇</w:t>
      </w:r>
      <w:r>
        <w:rPr>
          <w:rFonts w:ascii="Times New Roman" w:hAnsi="Times New Roman" w:cs="Times New Roman" w:eastAsia="Times New Roman" w:hint="default"/>
        </w:rPr>
        <w:t>2017</w:t>
      </w:r>
      <w:r>
        <w:rPr/>
        <w:t>年度应补偿股份暨关联交易的议案》及《关 于回购注销部分激励对象已获授但尚未解锁的限制性股票的议案》，公司以</w:t>
      </w:r>
      <w:r>
        <w:rPr>
          <w:rFonts w:ascii="Times New Roman" w:hAnsi="Times New Roman" w:cs="Times New Roman" w:eastAsia="Times New Roman" w:hint="default"/>
        </w:rPr>
        <w:t>1</w:t>
      </w:r>
      <w:r>
        <w:rPr/>
        <w:t>元总价回购股东王新</w:t>
      </w:r>
      <w:r>
        <w:rPr>
          <w:rFonts w:ascii="Times New Roman" w:hAnsi="Times New Roman" w:cs="Times New Roman" w:eastAsia="Times New Roman" w:hint="default"/>
        </w:rPr>
        <w:t>104,124.00</w:t>
      </w:r>
      <w:r>
        <w:rPr/>
        <w:t>股及股东李勇 </w:t>
      </w:r>
      <w:r>
        <w:rPr>
          <w:rFonts w:ascii="Times New Roman" w:hAnsi="Times New Roman" w:cs="Times New Roman" w:eastAsia="Times New Roman" w:hint="default"/>
        </w:rPr>
        <w:t>78,549.00</w:t>
      </w:r>
      <w:r>
        <w:rPr/>
        <w:t>股并予以注销，本次回购注销股份小计</w:t>
      </w:r>
      <w:r>
        <w:rPr>
          <w:rFonts w:ascii="Times New Roman" w:hAnsi="Times New Roman" w:cs="Times New Roman" w:eastAsia="Times New Roman" w:hint="default"/>
        </w:rPr>
        <w:t>182,673.00</w:t>
      </w:r>
      <w:r>
        <w:rPr/>
        <w:t>股；公司对</w:t>
      </w:r>
      <w:r>
        <w:rPr>
          <w:rFonts w:ascii="Times New Roman" w:hAnsi="Times New Roman" w:cs="Times New Roman" w:eastAsia="Times New Roman" w:hint="default"/>
        </w:rPr>
        <w:t>10</w:t>
      </w:r>
      <w:r>
        <w:rPr/>
        <w:t>名已离职或未达到个人绩效考核标准的激励对象持</w:t>
      </w:r>
    </w:p>
    <w:p>
      <w:pPr>
        <w:spacing w:after="0" w:line="30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0" w:lineRule="auto" w:before="44"/>
        <w:ind w:right="1115"/>
        <w:jc w:val="left"/>
      </w:pPr>
      <w:r>
        <w:rPr>
          <w:spacing w:val="-2"/>
        </w:rPr>
        <w:t>有的</w:t>
      </w:r>
      <w:r>
        <w:rPr>
          <w:rFonts w:ascii="Times New Roman" w:hAnsi="Times New Roman" w:cs="Times New Roman" w:eastAsia="Times New Roman" w:hint="default"/>
          <w:spacing w:val="-2"/>
        </w:rPr>
        <w:t>116,000.00</w:t>
      </w:r>
      <w:r>
        <w:rPr>
          <w:spacing w:val="-2"/>
        </w:rPr>
        <w:t>股限制性股票予以回购注销，本次回购的股份已于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19</w:t>
      </w:r>
      <w:r>
        <w:rPr>
          <w:spacing w:val="-2"/>
        </w:rPr>
        <w:t>日在中国证券登记结算有限责任公司深圳分公</w:t>
      </w:r>
      <w:r>
        <w:rPr>
          <w:spacing w:val="-47"/>
        </w:rPr>
        <w:t> </w:t>
      </w:r>
      <w:r>
        <w:rPr/>
        <w:t>司完成注销手续，共计回购注销</w:t>
      </w:r>
      <w:r>
        <w:rPr>
          <w:rFonts w:ascii="Times New Roman" w:hAnsi="Times New Roman" w:cs="Times New Roman" w:eastAsia="Times New Roman" w:hint="default"/>
        </w:rPr>
        <w:t>298,673</w:t>
      </w:r>
      <w:r>
        <w:rPr/>
        <w:t>股。</w:t>
      </w:r>
      <w:r>
        <w:rPr>
          <w:spacing w:val="-2"/>
        </w:rPr>
        <w:t> </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6</w:t>
      </w:r>
      <w:r>
        <w:rPr>
          <w:spacing w:val="-2"/>
        </w:rPr>
        <w:t>日，公司第六届董事会第二十八次（临时）会议和第六届监事会第十六次（临时）会议分别审议通过了《关于向</w:t>
      </w:r>
      <w:r>
        <w:rPr>
          <w:spacing w:val="-63"/>
        </w:rPr>
        <w:t> </w:t>
      </w:r>
      <w:r>
        <w:rPr>
          <w:spacing w:val="-63"/>
        </w:rPr>
      </w:r>
      <w:r>
        <w:rPr/>
        <w:t>公司</w:t>
      </w:r>
      <w:r>
        <w:rPr>
          <w:rFonts w:ascii="Times New Roman" w:hAnsi="Times New Roman" w:cs="Times New Roman" w:eastAsia="Times New Roman" w:hint="default"/>
        </w:rPr>
        <w:t>2017</w:t>
      </w:r>
      <w:r>
        <w:rPr/>
        <w:t>年度限制性股票激励计划激励对象授予预留限制性股票的议案》，授予日为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日，授予</w:t>
      </w:r>
      <w:r>
        <w:rPr>
          <w:spacing w:val="-41"/>
        </w:rPr>
        <w:t> </w:t>
      </w:r>
      <w:r>
        <w:rPr>
          <w:rFonts w:ascii="Times New Roman" w:hAnsi="Times New Roman" w:cs="Times New Roman" w:eastAsia="Times New Roman" w:hint="default"/>
        </w:rPr>
        <w:t>41</w:t>
      </w:r>
      <w:r>
        <w:rPr>
          <w:rFonts w:ascii="Times New Roman" w:hAnsi="Times New Roman" w:cs="Times New Roman" w:eastAsia="Times New Roman" w:hint="default"/>
          <w:spacing w:val="3"/>
        </w:rPr>
        <w:t> </w:t>
      </w:r>
      <w:r>
        <w:rPr/>
        <w:t>名激励对象</w:t>
      </w:r>
      <w:r>
        <w:rPr>
          <w:rFonts w:ascii="Times New Roman" w:hAnsi="Times New Roman" w:cs="Times New Roman" w:eastAsia="Times New Roman" w:hint="default"/>
        </w:rPr>
        <w:t>80 </w:t>
      </w:r>
      <w:r>
        <w:rPr/>
        <w:t>万股限制性股票，在预留限制性股票授予过程中，</w:t>
      </w:r>
      <w:r>
        <w:rPr>
          <w:rFonts w:ascii="Times New Roman" w:hAnsi="Times New Roman" w:cs="Times New Roman" w:eastAsia="Times New Roman" w:hint="default"/>
        </w:rPr>
        <w:t>3</w:t>
      </w:r>
      <w:r>
        <w:rPr/>
        <w:t>名激励对象由于个人原因自愿放弃认购。因此，公司激励计划实际授予 </w:t>
      </w:r>
      <w:r>
        <w:rPr>
          <w:rFonts w:ascii="Times New Roman" w:hAnsi="Times New Roman" w:cs="Times New Roman" w:eastAsia="Times New Roman" w:hint="default"/>
        </w:rPr>
        <w:t>38</w:t>
      </w:r>
      <w:r>
        <w:rPr/>
        <w:t>名激励对象共计</w:t>
      </w:r>
      <w:r>
        <w:rPr>
          <w:rFonts w:ascii="Times New Roman" w:hAnsi="Times New Roman" w:cs="Times New Roman" w:eastAsia="Times New Roman" w:hint="default"/>
        </w:rPr>
        <w:t>79</w:t>
      </w:r>
      <w:r>
        <w:rPr/>
        <w:t>万股限制性股票。</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38、其他权益工具" w:id="314"/>
      <w:bookmarkEnd w:id="314"/>
      <w:r>
        <w:rPr>
          <w:b w:val="0"/>
          <w:bCs w:val="0"/>
        </w:rPr>
      </w:r>
      <w:r>
        <w:rPr>
          <w:rFonts w:ascii="Times New Roman" w:hAnsi="Times New Roman" w:cs="Times New Roman" w:eastAsia="Times New Roman" w:hint="default"/>
        </w:rPr>
        <w:t>38</w:t>
      </w:r>
      <w:r>
        <w:rPr/>
        <w:t>、其他权益工具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期末发行在外的优先股、永续债等其他金融工具基本情况" w:id="315"/>
      <w:bookmarkEnd w:id="315"/>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期末发行在外的优先股、永续债等金融工具变动情况表" w:id="316"/>
      <w:bookmarkEnd w:id="316"/>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030"/>
        <w:gridCol w:w="937"/>
        <w:gridCol w:w="1430"/>
        <w:gridCol w:w="504"/>
        <w:gridCol w:w="938"/>
        <w:gridCol w:w="551"/>
        <w:gridCol w:w="939"/>
        <w:gridCol w:w="937"/>
        <w:gridCol w:w="1429"/>
      </w:tblGrid>
      <w:tr>
        <w:trPr>
          <w:trHeight w:val="402" w:hRule="exact"/>
        </w:trPr>
        <w:tc>
          <w:tcPr>
            <w:tcW w:w="20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发行在外的金融工具</w:t>
            </w:r>
          </w:p>
        </w:tc>
        <w:tc>
          <w:tcPr>
            <w:tcW w:w="23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4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3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2030" w:type="dxa"/>
            <w:vMerge/>
            <w:tcBorders>
              <w:left w:val="single" w:sz="4" w:space="0" w:color="000000"/>
              <w:bottom w:val="single" w:sz="4" w:space="0" w:color="000000"/>
              <w:right w:val="single" w:sz="4" w:space="0" w:color="000000"/>
            </w:tcBorders>
            <w:shd w:val="clear" w:color="auto" w:fill="D2D2D2"/>
          </w:tcPr>
          <w:p>
            <w:pPr/>
          </w:p>
        </w:tc>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7,799,683</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154,607,862.97</w:t>
            </w:r>
          </w:p>
        </w:tc>
        <w:tc>
          <w:tcPr>
            <w:tcW w:w="504"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1,011</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20,038.72</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7,798,672</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154,587,824.25</w:t>
            </w:r>
          </w:p>
        </w:tc>
      </w:tr>
      <w:tr>
        <w:trPr>
          <w:trHeight w:val="402" w:hRule="exact"/>
        </w:trPr>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7,799,683</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154,607,862.97</w:t>
            </w:r>
          </w:p>
        </w:tc>
        <w:tc>
          <w:tcPr>
            <w:tcW w:w="504"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1,011</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20,038.72</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7,798,672</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154,587,824.25</w:t>
            </w:r>
          </w:p>
        </w:tc>
      </w:tr>
    </w:tbl>
    <w:p>
      <w:pPr>
        <w:pStyle w:val="BodyText"/>
        <w:spacing w:line="240" w:lineRule="auto" w:before="51"/>
        <w:ind w:right="0"/>
        <w:jc w:val="both"/>
      </w:pPr>
      <w:r>
        <w:rPr/>
        <w:t>其他权益工具本期增减变动情况、变动原因说明，以及相关会计处理的依据：</w:t>
      </w:r>
    </w:p>
    <w:p>
      <w:pPr>
        <w:pStyle w:val="BodyText"/>
        <w:spacing w:line="300" w:lineRule="auto" w:before="116"/>
        <w:ind w:right="1132"/>
        <w:jc w:val="both"/>
      </w:pPr>
      <w:r>
        <w:rPr>
          <w:spacing w:val="-2"/>
        </w:rPr>
        <w:t>本公司于</w:t>
      </w:r>
      <w:r>
        <w:rPr>
          <w:rFonts w:ascii="Times New Roman" w:hAnsi="Times New Roman" w:cs="Times New Roman" w:eastAsia="Times New Roman" w:hint="default"/>
          <w:spacing w:val="-2"/>
        </w:rPr>
        <w:t>2017</w:t>
      </w:r>
      <w:r>
        <w:rPr>
          <w:spacing w:val="-2"/>
        </w:rPr>
        <w:t>年第六届董事会第七次（临时）会议通过了关于公司公开发行可转换公司债券上市的议案，经中国证券监督管</w:t>
      </w:r>
      <w:r>
        <w:rPr>
          <w:spacing w:val="-62"/>
        </w:rPr>
        <w:t> </w:t>
      </w:r>
      <w:r>
        <w:rPr>
          <w:spacing w:val="-62"/>
        </w:rPr>
      </w:r>
      <w:r>
        <w:rPr/>
        <w:t>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[2017]392  </w:t>
      </w:r>
      <w:r>
        <w:rPr/>
        <w:t>号</w:t>
      </w:r>
      <w:r>
        <w:rPr>
          <w:rFonts w:ascii="Times New Roman" w:hAnsi="Times New Roman" w:cs="Times New Roman" w:eastAsia="Times New Roman" w:hint="default"/>
        </w:rPr>
        <w:t>”</w:t>
      </w:r>
      <w:r>
        <w:rPr/>
        <w:t>文核准，公司于 </w:t>
      </w:r>
      <w:r>
        <w:rPr>
          <w:rFonts w:ascii="Times New Roman" w:hAnsi="Times New Roman" w:cs="Times New Roman" w:eastAsia="Times New Roman" w:hint="default"/>
        </w:rPr>
        <w:t>2017</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8 </w:t>
      </w:r>
      <w:r>
        <w:rPr/>
        <w:t>日公开发行了 </w:t>
      </w:r>
      <w:r>
        <w:rPr>
          <w:rFonts w:ascii="Times New Roman" w:hAnsi="Times New Roman" w:cs="Times New Roman" w:eastAsia="Times New Roman" w:hint="default"/>
        </w:rPr>
        <w:t>780</w:t>
      </w:r>
      <w:r>
        <w:rPr>
          <w:rFonts w:ascii="Times New Roman" w:hAnsi="Times New Roman" w:cs="Times New Roman" w:eastAsia="Times New Roman" w:hint="default"/>
          <w:spacing w:val="-13"/>
        </w:rPr>
        <w:t> </w:t>
      </w:r>
      <w:r>
        <w:rPr/>
        <w:t>万张可转换公司债券（以下简称</w:t>
      </w:r>
      <w:r>
        <w:rPr>
          <w:rFonts w:ascii="Times New Roman" w:hAnsi="Times New Roman" w:cs="Times New Roman" w:eastAsia="Times New Roman" w:hint="default"/>
        </w:rPr>
        <w:t>“</w:t>
      </w:r>
      <w:r>
        <w:rPr/>
        <w:t>可转</w:t>
      </w:r>
    </w:p>
    <w:p>
      <w:pPr>
        <w:pStyle w:val="BodyText"/>
        <w:spacing w:line="300" w:lineRule="auto" w:before="13"/>
        <w:ind w:right="1175"/>
        <w:jc w:val="both"/>
      </w:pPr>
      <w:r>
        <w:rPr/>
        <w:t>债</w:t>
      </w:r>
      <w:r>
        <w:rPr>
          <w:rFonts w:ascii="Times New Roman" w:hAnsi="Times New Roman" w:cs="Times New Roman" w:eastAsia="Times New Roman" w:hint="default"/>
        </w:rPr>
        <w:t>”</w:t>
      </w:r>
      <w:r>
        <w:rPr/>
        <w:t>），每张面值 </w:t>
      </w:r>
      <w:r>
        <w:rPr>
          <w:rFonts w:ascii="Times New Roman" w:hAnsi="Times New Roman" w:cs="Times New Roman" w:eastAsia="Times New Roman" w:hint="default"/>
        </w:rPr>
        <w:t>100 </w:t>
      </w:r>
      <w:r>
        <w:rPr/>
        <w:t>元，发行总额 </w:t>
      </w:r>
      <w:r>
        <w:rPr>
          <w:rFonts w:ascii="Times New Roman" w:hAnsi="Times New Roman" w:cs="Times New Roman" w:eastAsia="Times New Roman" w:hint="default"/>
        </w:rPr>
        <w:t>78,000 </w:t>
      </w:r>
      <w:r>
        <w:rPr/>
        <w:t>万元。</w:t>
      </w:r>
      <w:r>
        <w:rPr>
          <w:rFonts w:ascii="Times New Roman" w:hAnsi="Times New Roman" w:cs="Times New Roman" w:eastAsia="Times New Roman" w:hint="default"/>
        </w:rPr>
        <w:t>2017 </w:t>
      </w:r>
      <w:r>
        <w:rPr/>
        <w:t>年第四季度，久其转债因转股减少 </w:t>
      </w:r>
      <w:r>
        <w:rPr>
          <w:rFonts w:ascii="Times New Roman" w:hAnsi="Times New Roman" w:cs="Times New Roman" w:eastAsia="Times New Roman" w:hint="default"/>
        </w:rPr>
        <w:t>31,700 </w:t>
      </w:r>
      <w:r>
        <w:rPr/>
        <w:t>元（</w:t>
      </w:r>
      <w:r>
        <w:rPr>
          <w:rFonts w:ascii="Times New Roman" w:hAnsi="Times New Roman" w:cs="Times New Roman" w:eastAsia="Times New Roman" w:hint="default"/>
        </w:rPr>
        <w:t>317</w:t>
      </w:r>
      <w:r>
        <w:rPr>
          <w:rFonts w:ascii="Times New Roman" w:hAnsi="Times New Roman" w:cs="Times New Roman" w:eastAsia="Times New Roman" w:hint="default"/>
          <w:spacing w:val="32"/>
        </w:rPr>
        <w:t> </w:t>
      </w:r>
      <w:r>
        <w:rPr/>
        <w:t>张）。</w:t>
      </w:r>
      <w:r>
        <w:rPr>
          <w:rFonts w:ascii="Times New Roman" w:hAnsi="Times New Roman" w:cs="Times New Roman" w:eastAsia="Times New Roman" w:hint="default"/>
        </w:rPr>
        <w:t>2018</w:t>
      </w:r>
      <w:r>
        <w:rPr/>
        <w:t>年 第一季度，久其转债因转股减少 </w:t>
      </w:r>
      <w:r>
        <w:rPr>
          <w:rFonts w:ascii="Times New Roman" w:hAnsi="Times New Roman" w:cs="Times New Roman" w:eastAsia="Times New Roman" w:hint="default"/>
        </w:rPr>
        <w:t>99,700</w:t>
      </w:r>
      <w:r>
        <w:rPr/>
        <w:t>元（</w:t>
      </w:r>
      <w:r>
        <w:rPr>
          <w:rFonts w:ascii="Times New Roman" w:hAnsi="Times New Roman" w:cs="Times New Roman" w:eastAsia="Times New Roman" w:hint="default"/>
        </w:rPr>
        <w:t>997</w:t>
      </w:r>
      <w:r>
        <w:rPr>
          <w:rFonts w:ascii="Times New Roman" w:hAnsi="Times New Roman" w:cs="Times New Roman" w:eastAsia="Times New Roman" w:hint="default"/>
          <w:spacing w:val="6"/>
        </w:rPr>
        <w:t> </w:t>
      </w:r>
      <w:r>
        <w:rPr/>
        <w:t>张）。</w:t>
      </w:r>
      <w:r>
        <w:rPr>
          <w:rFonts w:ascii="Times New Roman" w:hAnsi="Times New Roman" w:cs="Times New Roman" w:eastAsia="Times New Roman" w:hint="default"/>
        </w:rPr>
        <w:t>2018</w:t>
      </w:r>
      <w:r>
        <w:rPr/>
        <w:t>年第二季度，久其转债因转股减少</w:t>
      </w:r>
      <w:r>
        <w:rPr>
          <w:rFonts w:ascii="Times New Roman" w:hAnsi="Times New Roman" w:cs="Times New Roman" w:eastAsia="Times New Roman" w:hint="default"/>
        </w:rPr>
        <w:t>1,400</w:t>
      </w:r>
      <w:r>
        <w:rPr/>
        <w:t>元（</w:t>
      </w:r>
      <w:r>
        <w:rPr>
          <w:rFonts w:ascii="Times New Roman" w:hAnsi="Times New Roman" w:cs="Times New Roman" w:eastAsia="Times New Roman" w:hint="default"/>
        </w:rPr>
        <w:t>14</w:t>
      </w:r>
      <w:r>
        <w:rPr/>
        <w:t>张）。</w:t>
      </w:r>
      <w:r>
        <w:rPr>
          <w:rFonts w:ascii="Times New Roman" w:hAnsi="Times New Roman" w:cs="Times New Roman" w:eastAsia="Times New Roman" w:hint="default"/>
        </w:rPr>
        <w:t>2018</w:t>
      </w:r>
      <w:r>
        <w:rPr/>
        <w:t>年第 三季度，没有久其转债转换为公司股份。</w:t>
      </w:r>
      <w:r>
        <w:rPr>
          <w:rFonts w:ascii="Times New Roman" w:hAnsi="Times New Roman" w:cs="Times New Roman" w:eastAsia="Times New Roman" w:hint="default"/>
        </w:rPr>
        <w:t>2018</w:t>
      </w:r>
      <w:r>
        <w:rPr/>
        <w:t>年第四季度，没有久其转债转换为公司股份。</w:t>
      </w:r>
    </w:p>
    <w:p>
      <w:pPr>
        <w:pStyle w:val="BodyText"/>
        <w:spacing w:line="357" w:lineRule="auto" w:before="53"/>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both"/>
        <w:rPr>
          <w:b w:val="0"/>
          <w:bCs w:val="0"/>
        </w:rPr>
      </w:pPr>
      <w:bookmarkStart w:name="39、资本公积" w:id="317"/>
      <w:bookmarkEnd w:id="317"/>
      <w:r>
        <w:rPr>
          <w:b w:val="0"/>
          <w:bCs w:val="0"/>
        </w:rPr>
      </w:r>
      <w:r>
        <w:rPr>
          <w:rFonts w:ascii="Times New Roman" w:hAnsi="Times New Roman" w:cs="Times New Roman" w:eastAsia="Times New Roman" w:hint="default"/>
        </w:rPr>
        <w:t>39</w:t>
      </w:r>
      <w:r>
        <w:rPr/>
        <w:t>、资本公积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862,950,357.45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6,662,943.22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662,056,368.36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207,556,932.31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29,006,051.80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25,190,584.50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2,766,385.87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51,430,250.43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891,956,409.25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31,853,527.72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664,822,754.23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258,987,182.74</w:t>
            </w:r>
          </w:p>
        </w:tc>
      </w:tr>
    </w:tbl>
    <w:p>
      <w:pPr>
        <w:pStyle w:val="BodyText"/>
        <w:spacing w:line="240" w:lineRule="auto" w:before="51"/>
        <w:ind w:right="0"/>
        <w:jc w:val="both"/>
      </w:pPr>
      <w:r>
        <w:rPr/>
        <w:t>其他说明，包括本期增减变动情况、变动原因说明：</w:t>
      </w:r>
    </w:p>
    <w:p>
      <w:pPr>
        <w:pStyle w:val="BodyText"/>
        <w:spacing w:line="300" w:lineRule="auto" w:before="116"/>
        <w:ind w:right="1130"/>
        <w:jc w:val="both"/>
      </w:pPr>
      <w:r>
        <w:rPr>
          <w:rFonts w:ascii="Times New Roman" w:hAnsi="Times New Roman" w:cs="Times New Roman" w:eastAsia="Times New Roman" w:hint="default"/>
          <w:spacing w:val="-2"/>
        </w:rPr>
        <w:t>1</w:t>
      </w:r>
      <w:r>
        <w:rPr>
          <w:spacing w:val="-2"/>
        </w:rPr>
        <w:t>、将回购股东王新、股东李勇股份并予以注销增加资本溢价</w:t>
      </w:r>
      <w:r>
        <w:rPr>
          <w:rFonts w:ascii="Times New Roman" w:hAnsi="Times New Roman" w:cs="Times New Roman" w:eastAsia="Times New Roman" w:hint="default"/>
          <w:spacing w:val="-2"/>
        </w:rPr>
        <w:t>182,673.00</w:t>
      </w:r>
      <w:r>
        <w:rPr>
          <w:spacing w:val="-2"/>
        </w:rPr>
        <w:t>元；转让北京久其金建科技有限公司股权增加资本溢</w:t>
      </w:r>
      <w:r>
        <w:rPr>
          <w:spacing w:val="-55"/>
        </w:rPr>
        <w:t> </w:t>
      </w:r>
      <w:r>
        <w:rPr>
          <w:spacing w:val="-55"/>
        </w:rPr>
      </w:r>
      <w:r>
        <w:rPr>
          <w:spacing w:val="-1"/>
        </w:rPr>
        <w:t>价</w:t>
      </w:r>
      <w:r>
        <w:rPr>
          <w:rFonts w:ascii="Times New Roman" w:hAnsi="Times New Roman" w:cs="Times New Roman" w:eastAsia="Times New Roman" w:hint="default"/>
          <w:spacing w:val="-1"/>
        </w:rPr>
        <w:t>458,928.35</w:t>
      </w:r>
      <w:r>
        <w:rPr>
          <w:spacing w:val="-1"/>
        </w:rPr>
        <w:t>元；可转债转股增加资本溢价</w:t>
      </w:r>
      <w:r>
        <w:rPr>
          <w:rFonts w:ascii="Times New Roman" w:hAnsi="Times New Roman" w:cs="Times New Roman" w:eastAsia="Times New Roman" w:hint="default"/>
          <w:spacing w:val="-1"/>
        </w:rPr>
        <w:t>94,956.00</w:t>
      </w:r>
      <w:r>
        <w:rPr>
          <w:spacing w:val="-1"/>
        </w:rPr>
        <w:t>元；收到员工股权激励款计入资本溢价部分</w:t>
      </w:r>
      <w:r>
        <w:rPr>
          <w:rFonts w:ascii="Times New Roman" w:hAnsi="Times New Roman" w:cs="Times New Roman" w:eastAsia="Times New Roman" w:hint="default"/>
          <w:spacing w:val="-1"/>
        </w:rPr>
        <w:t>3,160,000.00</w:t>
      </w:r>
      <w:r>
        <w:rPr>
          <w:spacing w:val="-1"/>
        </w:rPr>
        <w:t>元；限制性股票</w:t>
      </w:r>
      <w:r>
        <w:rPr>
          <w:spacing w:val="-65"/>
        </w:rPr>
        <w:t> </w:t>
      </w:r>
      <w:r>
        <w:rPr>
          <w:spacing w:val="-65"/>
        </w:rPr>
      </w:r>
      <w:r>
        <w:rPr/>
        <w:t>本期解锁对应的上期确认的其他资本公积</w:t>
      </w:r>
      <w:r>
        <w:rPr>
          <w:rFonts w:ascii="Times New Roman" w:hAnsi="Times New Roman" w:cs="Times New Roman" w:eastAsia="Times New Roman" w:hint="default"/>
        </w:rPr>
        <w:t>2,766,385.87</w:t>
      </w:r>
      <w:r>
        <w:rPr/>
        <w:t>元转入资本溢价；收购上海移通网络有限公司少数股东股权冲减资本 溢价</w:t>
      </w:r>
      <w:r>
        <w:rPr>
          <w:rFonts w:ascii="Times New Roman" w:hAnsi="Times New Roman" w:cs="Times New Roman" w:eastAsia="Times New Roman" w:hint="default"/>
        </w:rPr>
        <w:t>661,464,767.36</w:t>
      </w:r>
      <w:r>
        <w:rPr/>
        <w:t>元；回购股权激励减少资本溢价</w:t>
      </w:r>
      <w:r>
        <w:rPr>
          <w:rFonts w:ascii="Times New Roman" w:hAnsi="Times New Roman" w:cs="Times New Roman" w:eastAsia="Times New Roman" w:hint="default"/>
        </w:rPr>
        <w:t>591,601.00</w:t>
      </w:r>
      <w:r>
        <w:rPr/>
        <w:t>元。</w:t>
      </w:r>
    </w:p>
    <w:p>
      <w:pPr>
        <w:spacing w:after="0" w:line="300" w:lineRule="auto"/>
        <w:jc w:val="both"/>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0" w:lineRule="auto" w:before="44"/>
        <w:ind w:right="1167"/>
        <w:jc w:val="left"/>
      </w:pPr>
      <w:r>
        <w:rPr>
          <w:rFonts w:ascii="Times New Roman" w:hAnsi="Times New Roman" w:cs="Times New Roman" w:eastAsia="Times New Roman" w:hint="default"/>
        </w:rPr>
        <w:t>2</w:t>
      </w:r>
      <w:r>
        <w:rPr/>
        <w:t>、其他资本公积本年增加系确认</w:t>
      </w:r>
      <w:r>
        <w:rPr>
          <w:rFonts w:ascii="Times New Roman" w:hAnsi="Times New Roman" w:cs="Times New Roman" w:eastAsia="Times New Roman" w:hint="default"/>
        </w:rPr>
        <w:t>25,190,584.50</w:t>
      </w:r>
      <w:r>
        <w:rPr/>
        <w:t>元限制性股票激励费用；减少系限制性股票本期解锁对应的上期确认的其他 资本公积</w:t>
      </w:r>
      <w:r>
        <w:rPr>
          <w:rFonts w:ascii="Times New Roman" w:hAnsi="Times New Roman" w:cs="Times New Roman" w:eastAsia="Times New Roman" w:hint="default"/>
        </w:rPr>
        <w:t>2,766,385.87</w:t>
      </w:r>
      <w:r>
        <w:rPr/>
        <w:t>元转入资本溢价。</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40、库存股" w:id="318"/>
      <w:bookmarkEnd w:id="318"/>
      <w:r>
        <w:rPr>
          <w:b w:val="0"/>
          <w:bCs w:val="0"/>
        </w:rPr>
      </w:r>
      <w:r>
        <w:rPr>
          <w:rFonts w:ascii="Times New Roman" w:hAnsi="Times New Roman" w:cs="Times New Roman" w:eastAsia="Times New Roman" w:hint="default"/>
        </w:rPr>
        <w:t>40</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43,131,880.00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17,207,856.00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29,874,024.00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43,131,880.00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17,207,856.00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29,874,024.00</w:t>
            </w:r>
          </w:p>
        </w:tc>
      </w:tr>
    </w:tbl>
    <w:p>
      <w:pPr>
        <w:pStyle w:val="BodyText"/>
        <w:spacing w:line="240" w:lineRule="auto" w:before="51"/>
        <w:ind w:right="0"/>
        <w:jc w:val="left"/>
      </w:pPr>
      <w:r>
        <w:rPr/>
        <w:t>其他说明，包括本期增减变动情况、变动原因说明：</w:t>
      </w:r>
    </w:p>
    <w:p>
      <w:pPr>
        <w:pStyle w:val="BodyText"/>
        <w:spacing w:line="300" w:lineRule="auto" w:before="115"/>
        <w:ind w:right="1032"/>
        <w:jc w:val="left"/>
      </w:pPr>
      <w:r>
        <w:rPr>
          <w:spacing w:val="-2"/>
        </w:rPr>
        <w:t>本期库存股减少系根据《上市公司股权激励管理办法》及公司激励计划的相关规定，办理</w:t>
      </w:r>
      <w:r>
        <w:rPr>
          <w:rFonts w:ascii="Times New Roman" w:hAnsi="Times New Roman" w:cs="Times New Roman" w:eastAsia="Times New Roman" w:hint="default"/>
          <w:spacing w:val="-2"/>
        </w:rPr>
        <w:t>2017</w:t>
      </w:r>
      <w:r>
        <w:rPr>
          <w:spacing w:val="-2"/>
        </w:rPr>
        <w:t>年度限制性股票激励计划首次</w:t>
      </w:r>
      <w:r>
        <w:rPr>
          <w:spacing w:val="-62"/>
        </w:rPr>
        <w:t> </w:t>
      </w:r>
      <w:r>
        <w:rPr/>
        <w:t>授予部分第一期符合解除限售条件的限制性股票解除限售所致。本期库存股增加系完成预留部分限制性股票授予登记所致。</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41、其他综合收益" w:id="319"/>
      <w:bookmarkEnd w:id="319"/>
      <w:r>
        <w:rPr>
          <w:b w:val="0"/>
          <w:bCs w:val="0"/>
        </w:rPr>
      </w:r>
      <w:r>
        <w:rPr>
          <w:rFonts w:ascii="Times New Roman" w:hAnsi="Times New Roman" w:cs="Times New Roman" w:eastAsia="Times New Roman" w:hint="default"/>
        </w:rPr>
        <w:t>41</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397"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282"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6"/>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-989,779.34</w:t>
            </w: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 w:right="0"/>
              <w:jc w:val="left"/>
              <w:rPr>
                <w:rFonts w:ascii="Times New Roman" w:hAnsi="Times New Roman" w:cs="Times New Roman" w:eastAsia="Times New Roman" w:hint="default"/>
                <w:sz w:val="18"/>
                <w:szCs w:val="18"/>
              </w:rPr>
            </w:pPr>
            <w:r>
              <w:rPr>
                <w:rFonts w:ascii="Times New Roman"/>
                <w:sz w:val="18"/>
              </w:rPr>
              <w:t>-1,781,644.37</w:t>
            </w: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1,781,644.3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791,865.0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-989,779.34</w:t>
            </w:r>
          </w:p>
        </w:tc>
        <w:tc>
          <w:tcPr>
            <w:tcW w:w="935" w:type="dxa"/>
            <w:vMerge w:val="restart"/>
            <w:tcBorders>
              <w:top w:val="single" w:sz="4" w:space="0" w:color="000000"/>
              <w:left w:val="single" w:sz="4" w:space="0" w:color="000000"/>
              <w:right w:val="single" w:sz="4" w:space="0" w:color="000000"/>
            </w:tcBorders>
          </w:tcPr>
          <w:p>
            <w:pP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 w:right="0"/>
              <w:jc w:val="left"/>
              <w:rPr>
                <w:rFonts w:ascii="Times New Roman" w:hAnsi="Times New Roman" w:cs="Times New Roman" w:eastAsia="Times New Roman" w:hint="default"/>
                <w:sz w:val="18"/>
                <w:szCs w:val="18"/>
              </w:rPr>
            </w:pPr>
            <w:r>
              <w:rPr>
                <w:rFonts w:ascii="Times New Roman"/>
                <w:sz w:val="18"/>
              </w:rPr>
              <w:t>-1,781,644.37</w:t>
            </w: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1,781,644.3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791,865.0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-989,779.34</w:t>
            </w:r>
          </w:p>
        </w:tc>
        <w:tc>
          <w:tcPr>
            <w:tcW w:w="935" w:type="dxa"/>
            <w:vMerge w:val="restart"/>
            <w:tcBorders>
              <w:top w:val="single" w:sz="4" w:space="0" w:color="000000"/>
              <w:left w:val="single" w:sz="4" w:space="0" w:color="000000"/>
              <w:right w:val="single" w:sz="4" w:space="0" w:color="000000"/>
            </w:tcBorders>
          </w:tcPr>
          <w:p>
            <w:pP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 w:right="0"/>
              <w:jc w:val="left"/>
              <w:rPr>
                <w:rFonts w:ascii="Times New Roman" w:hAnsi="Times New Roman" w:cs="Times New Roman" w:eastAsia="Times New Roman" w:hint="default"/>
                <w:sz w:val="18"/>
                <w:szCs w:val="18"/>
              </w:rPr>
            </w:pPr>
            <w:r>
              <w:rPr>
                <w:rFonts w:ascii="Times New Roman"/>
                <w:sz w:val="18"/>
              </w:rPr>
              <w:t>-1,781,644.37</w:t>
            </w: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1,781,644.3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791,865.0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pStyle w:val="BodyText"/>
        <w:spacing w:line="338" w:lineRule="auto" w:before="51"/>
        <w:ind w:right="1118"/>
        <w:jc w:val="left"/>
      </w:pPr>
      <w:r>
        <w:rPr/>
        <w:t>其他说明，包括对现金流量套期损益的有效部分转为被套期项目初始确认金额调整： </w:t>
      </w:r>
      <w:r>
        <w:rPr>
          <w:spacing w:val="-2"/>
        </w:rPr>
        <w:t>本期外币财务报表折算差额为全资子公司北京亿起联科技有限公司三级子公司亿起联科技（香港）有限公司期末外币报表折</w:t>
      </w:r>
      <w:r>
        <w:rPr>
          <w:spacing w:val="-64"/>
        </w:rPr>
        <w:t> </w:t>
      </w:r>
      <w:r>
        <w:rPr>
          <w:spacing w:val="-64"/>
        </w:rPr>
      </w:r>
      <w:r>
        <w:rPr/>
        <w:t>算产生。</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42、专项储备" w:id="320"/>
      <w:bookmarkEnd w:id="320"/>
      <w:r>
        <w:rPr>
          <w:b w:val="0"/>
          <w:bCs w:val="0"/>
        </w:rPr>
      </w:r>
      <w:r>
        <w:rPr>
          <w:rFonts w:ascii="Times New Roman" w:hAnsi="Times New Roman" w:cs="Times New Roman" w:eastAsia="Times New Roman" w:hint="default"/>
        </w:rPr>
        <w:t>42</w:t>
      </w:r>
      <w:r>
        <w:rPr/>
        <w:t>、专项储备</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3、盈余公积" w:id="321"/>
      <w:bookmarkEnd w:id="321"/>
      <w:r>
        <w:rPr>
          <w:b w:val="0"/>
          <w:bCs w:val="0"/>
        </w:rPr>
      </w:r>
      <w:r>
        <w:rPr>
          <w:rFonts w:ascii="Times New Roman" w:hAnsi="Times New Roman" w:cs="Times New Roman" w:eastAsia="Times New Roman" w:hint="default"/>
        </w:rPr>
        <w:t>43</w:t>
      </w:r>
      <w:r>
        <w:rPr/>
        <w:t>、盈余公积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72,495,704.44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72,495,704.44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72,495,704.44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72,495,704.44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盈余公积说明，包括本期增减变动情况、变动原因说明：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4、未分配利润" w:id="322"/>
      <w:bookmarkEnd w:id="322"/>
      <w:r>
        <w:rPr>
          <w:b w:val="0"/>
          <w:bCs w:val="0"/>
        </w:rPr>
      </w:r>
      <w:r>
        <w:rPr>
          <w:rFonts w:ascii="Times New Roman" w:hAnsi="Times New Roman" w:cs="Times New Roman" w:eastAsia="Times New Roman" w:hint="default"/>
        </w:rPr>
        <w:t>44</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828,390,827.75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548,613,579.60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828,390,827.75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548,613,579.60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-841,464,317.58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306,943,384.51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10,927,963.40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21,313,097.34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16,238,172.96</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-34,386,587.17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828,390,827.75</w:t>
            </w:r>
          </w:p>
        </w:tc>
      </w:tr>
    </w:tbl>
    <w:p>
      <w:pPr>
        <w:pStyle w:val="BodyText"/>
        <w:spacing w:line="240" w:lineRule="auto" w:before="51"/>
        <w:ind w:right="0"/>
        <w:jc w:val="left"/>
      </w:pPr>
      <w:r>
        <w:rPr/>
        <w:t>调整期初未分配利润明细：</w:t>
      </w:r>
    </w:p>
    <w:p>
      <w:pPr>
        <w:pStyle w:val="BodyText"/>
        <w:spacing w:line="240" w:lineRule="auto" w:before="116"/>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5、营业收入和营业成本" w:id="323"/>
      <w:bookmarkEnd w:id="323"/>
      <w:r>
        <w:rPr>
          <w:b w:val="0"/>
          <w:bCs w:val="0"/>
        </w:rPr>
      </w:r>
      <w:r>
        <w:rPr>
          <w:rFonts w:ascii="Times New Roman" w:hAnsi="Times New Roman" w:cs="Times New Roman" w:eastAsia="Times New Roman" w:hint="default"/>
        </w:rPr>
        <w:t>45</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2,711,815,939.77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1,559,480,504.34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1,983,180,235.78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1,006,545,322.82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8,419,629.62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942,876.64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8,996,745.22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211,053.10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2,720,235,569.39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1,560,423,380.98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1,992,176,981.00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1,006,756,375.92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6、税金及附加" w:id="324"/>
      <w:bookmarkEnd w:id="324"/>
      <w:r>
        <w:rPr>
          <w:b w:val="0"/>
          <w:bCs w:val="0"/>
        </w:rPr>
      </w:r>
      <w:r>
        <w:rPr>
          <w:rFonts w:ascii="Times New Roman" w:hAnsi="Times New Roman" w:cs="Times New Roman" w:eastAsia="Times New Roman" w:hint="default"/>
        </w:rPr>
        <w:t>46</w:t>
      </w:r>
      <w:r>
        <w:rPr/>
        <w:t>、税金及附加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5,294,262.74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4,376,049.05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3,881,755.38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3,215,265.95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2,533,613.15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2,450,350.53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3,209,617.42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3,175,819.25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2,323,787.26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14,885,450.52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15,575,070.21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47、销售费用" w:id="325"/>
      <w:bookmarkEnd w:id="325"/>
      <w:r>
        <w:rPr>
          <w:b w:val="0"/>
          <w:bCs w:val="0"/>
        </w:rPr>
      </w:r>
      <w:r>
        <w:rPr>
          <w:rFonts w:ascii="Times New Roman" w:hAnsi="Times New Roman" w:cs="Times New Roman" w:eastAsia="Times New Roman" w:hint="default"/>
        </w:rPr>
        <w:t>47</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其中：工资及福利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68,949,986.26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48,903,239.24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11,150,184.83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8,752,212.89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8,666,259.64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6,875,062.15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12,069,463.66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9,862,440.14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1,694,877.52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2,022,910.00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8,597,724.80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9,556,713.78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111,128,496.71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85,972,578.20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8、管理费用" w:id="326"/>
      <w:bookmarkEnd w:id="326"/>
      <w:r>
        <w:rPr>
          <w:b w:val="0"/>
          <w:bCs w:val="0"/>
        </w:rPr>
      </w:r>
      <w:r>
        <w:rPr>
          <w:rFonts w:ascii="Times New Roman" w:hAnsi="Times New Roman" w:cs="Times New Roman" w:eastAsia="Times New Roman" w:hint="default"/>
        </w:rPr>
        <w:t>48</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其中：工资及福利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286,233,571.49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226,943,893.28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12,978,758.38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14,935,258.42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10,506,946.80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7,947,971.84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9,252,923.62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8,453,997.59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4,577,069.44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6,848,505.22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3,187,420.36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3,510,358.05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3,275,866.34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5,153,316.23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聘请中介机构费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9,258,455.39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7,539,675.51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1,379,058.03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1,075,655.61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股份支付费用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25,190,584.50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7,238,731.50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36,437,917.57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35,094,297.98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402,278,571.92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324,741,661.23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Heading3"/>
        <w:spacing w:line="240" w:lineRule="auto" w:before="35"/>
        <w:ind w:right="0"/>
        <w:jc w:val="left"/>
        <w:rPr>
          <w:b w:val="0"/>
          <w:bCs w:val="0"/>
        </w:rPr>
      </w:pPr>
      <w:bookmarkStart w:name="49、研发费用" w:id="327"/>
      <w:bookmarkEnd w:id="327"/>
      <w:r>
        <w:rPr>
          <w:b w:val="0"/>
          <w:bCs w:val="0"/>
        </w:rPr>
      </w:r>
      <w:r>
        <w:rPr>
          <w:rFonts w:ascii="Times New Roman" w:hAnsi="Times New Roman" w:cs="Times New Roman" w:eastAsia="Times New Roman" w:hint="default"/>
        </w:rPr>
        <w:t>49</w:t>
      </w:r>
      <w:r>
        <w:rPr/>
        <w:t>、研发费用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工资及福利费（含五险一金）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222,096,718.95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170,681,825.94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18,547,176.63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15,785,193.46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5,694,509.38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4,898,431.75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1,023,242.33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940,111.29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1,300,695.14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1,181,465.22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1,011,731.86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1,361,483.94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18,302.91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168,318.44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邮电通讯费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20,063,329.45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27,966,350.06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1,655,677.23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5,834,388.52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测试认证费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28,046.49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521,022.64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125,966.98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1,830,404.98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1,054,540.20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1,588,321.56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272,619,937.55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232,757,317.80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50、财务费用" w:id="328"/>
      <w:bookmarkEnd w:id="328"/>
      <w:r>
        <w:rPr>
          <w:b w:val="0"/>
          <w:bCs w:val="0"/>
        </w:rPr>
      </w:r>
      <w:r>
        <w:rPr>
          <w:rFonts w:ascii="Times New Roman" w:hAnsi="Times New Roman" w:cs="Times New Roman" w:eastAsia="Times New Roman" w:hint="default"/>
        </w:rPr>
        <w:t>50</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52,699,346.43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22,324,534.16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5,481,810.56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11,703,464.58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-6,630,300.52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7,001,739.45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203,935.63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171,356.37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40,791,170.98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17,794,165.40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1、资产减值损失" w:id="329"/>
      <w:bookmarkEnd w:id="329"/>
      <w:r>
        <w:rPr>
          <w:b w:val="0"/>
          <w:bCs w:val="0"/>
        </w:rPr>
      </w:r>
      <w:r>
        <w:rPr>
          <w:rFonts w:ascii="Times New Roman" w:hAnsi="Times New Roman" w:cs="Times New Roman" w:eastAsia="Times New Roman" w:hint="default"/>
        </w:rPr>
        <w:t>51</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77,747,457.47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3,065,681.04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5,527.81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5,832,901.09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16,139,800.00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1,077,394,931.22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2,401,000.00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2,052,713.89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1,179,173,331.48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5,466,681.04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2、其他收益" w:id="330"/>
      <w:bookmarkEnd w:id="330"/>
      <w:r>
        <w:rPr>
          <w:b w:val="0"/>
          <w:bCs w:val="0"/>
        </w:rPr>
      </w:r>
      <w:r>
        <w:rPr>
          <w:rFonts w:ascii="Times New Roman" w:hAnsi="Times New Roman" w:cs="Times New Roman" w:eastAsia="Times New Roman" w:hint="default"/>
        </w:rPr>
        <w:t>52</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24,206,453.93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21,042,422.42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工程实验室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2,438,412.24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2,438,412.24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久其智慧物流公共服务平台项目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1,489,129.68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1,489,129.68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个税返还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833,580.96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2,079,288.88</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基于新一代开发平台的集团管控软件的 升级改造项目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265,013.52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315,940.08</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华夏电通数字媒体综合控制系统生产项 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120,221.33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205,462.36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29,352,811.66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27,570,655.66</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53、投资收益" w:id="331"/>
      <w:bookmarkEnd w:id="331"/>
      <w:r>
        <w:rPr>
          <w:b w:val="0"/>
          <w:bCs w:val="0"/>
        </w:rPr>
      </w:r>
      <w:r>
        <w:rPr>
          <w:rFonts w:ascii="Times New Roman" w:hAnsi="Times New Roman" w:cs="Times New Roman" w:eastAsia="Times New Roman" w:hint="default"/>
        </w:rPr>
        <w:t>53</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1"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1,374,034.36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4,162,658.65</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-694,885.83</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23,212,289.03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770,852.79</w:t>
            </w: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23,891,437.56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4,933,511.44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4、公允价值变动收益" w:id="332"/>
      <w:bookmarkEnd w:id="332"/>
      <w:r>
        <w:rPr>
          <w:b w:val="0"/>
          <w:bCs w:val="0"/>
        </w:rPr>
      </w:r>
      <w:r>
        <w:rPr>
          <w:rFonts w:ascii="Times New Roman" w:hAnsi="Times New Roman" w:cs="Times New Roman" w:eastAsia="Times New Roman" w:hint="default"/>
        </w:rPr>
        <w:t>54</w:t>
      </w:r>
      <w:r>
        <w:rPr/>
        <w:t>、公允价值变动收益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5、资产处置收益" w:id="333"/>
      <w:bookmarkEnd w:id="333"/>
      <w:r>
        <w:rPr>
          <w:b w:val="0"/>
          <w:bCs w:val="0"/>
        </w:rPr>
      </w:r>
      <w:r>
        <w:rPr>
          <w:rFonts w:ascii="Times New Roman" w:hAnsi="Times New Roman" w:cs="Times New Roman" w:eastAsia="Times New Roman" w:hint="default"/>
        </w:rPr>
        <w:t>55</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13,694.33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28,335,690.17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0"/>
        <w:jc w:val="left"/>
        <w:rPr>
          <w:b w:val="0"/>
          <w:bCs w:val="0"/>
        </w:rPr>
      </w:pPr>
      <w:bookmarkStart w:name="56、营业外收入" w:id="334"/>
      <w:bookmarkEnd w:id="334"/>
      <w:r>
        <w:rPr>
          <w:b w:val="0"/>
          <w:bCs w:val="0"/>
        </w:rPr>
      </w:r>
      <w:r>
        <w:rPr>
          <w:rFonts w:ascii="Times New Roman" w:hAnsi="Times New Roman" w:cs="Times New Roman" w:eastAsia="Times New Roman" w:hint="default"/>
        </w:rPr>
        <w:t>56</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36"/>
        <w:jc w:val="right"/>
      </w:pPr>
      <w:r>
        <w:rPr/>
        <w:t>单位： 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2032"/>
        <w:gridCol w:w="2856"/>
        <w:gridCol w:w="2856"/>
        <w:gridCol w:w="6270"/>
      </w:tblGrid>
      <w:tr>
        <w:trPr>
          <w:trHeight w:val="402" w:hRule="exact"/>
        </w:trPr>
        <w:tc>
          <w:tcPr>
            <w:tcW w:w="2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c>
          <w:tcPr>
            <w:tcW w:w="6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9"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2" w:hRule="exact"/>
        </w:trPr>
        <w:tc>
          <w:tcPr>
            <w:tcW w:w="2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8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11,111,859.28</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10,163,803.92</w:t>
            </w:r>
          </w:p>
        </w:tc>
        <w:tc>
          <w:tcPr>
            <w:tcW w:w="6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11,111,859.28</w:t>
            </w:r>
          </w:p>
        </w:tc>
      </w:tr>
      <w:tr>
        <w:trPr>
          <w:trHeight w:val="402" w:hRule="exact"/>
        </w:trPr>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2,365,222.17</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5,100,563.99</w:t>
            </w:r>
          </w:p>
        </w:tc>
        <w:tc>
          <w:tcPr>
            <w:tcW w:w="6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2,365,222.17</w:t>
            </w:r>
          </w:p>
        </w:tc>
      </w:tr>
      <w:tr>
        <w:trPr>
          <w:trHeight w:val="403" w:hRule="exact"/>
        </w:trPr>
        <w:tc>
          <w:tcPr>
            <w:tcW w:w="2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13,477,081.45</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15,264,367.91</w:t>
            </w:r>
          </w:p>
        </w:tc>
        <w:tc>
          <w:tcPr>
            <w:tcW w:w="6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13,477,081.45</w:t>
            </w:r>
          </w:p>
        </w:tc>
      </w:tr>
    </w:tbl>
    <w:p>
      <w:pPr>
        <w:pStyle w:val="BodyText"/>
        <w:spacing w:line="240" w:lineRule="auto" w:before="51"/>
        <w:ind w:left="140" w:right="0"/>
        <w:jc w:val="left"/>
      </w:pPr>
      <w:r>
        <w:rPr/>
        <w:t>计入当期损益的政府补助：</w:t>
      </w:r>
    </w:p>
    <w:p>
      <w:pPr>
        <w:pStyle w:val="BodyText"/>
        <w:spacing w:line="240" w:lineRule="auto" w:before="116"/>
        <w:ind w:left="0" w:right="136"/>
        <w:jc w:val="right"/>
      </w:pPr>
      <w:r>
        <w:rPr/>
        <w:t>单位： 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663"/>
        <w:gridCol w:w="2158"/>
        <w:gridCol w:w="510"/>
        <w:gridCol w:w="3624"/>
        <w:gridCol w:w="1062"/>
        <w:gridCol w:w="695"/>
        <w:gridCol w:w="1104"/>
        <w:gridCol w:w="1114"/>
        <w:gridCol w:w="1085"/>
      </w:tblGrid>
      <w:tr>
        <w:trPr>
          <w:trHeight w:val="714"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1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4"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3"/>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2" w:right="71"/>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57" w:right="95"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62" w:right="100"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86" w:right="63"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4"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上海市静安区产业专项资金扶持</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上海市静安区财政局直接 支付零余额账户</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1"/>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 而获得的补助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850,500.00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3,630,000.00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4"/>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年科技成果转化项目补助经 费</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年科技成果转化项目 补助经费</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因从事国家鼓励和扶持特定行业、产业而获得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的补助（按国家级政策规定依法取得）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年企业中介资金补贴</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中关村企业信用促进会</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因从事国家鼓励和扶持特定行业、产业而获得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的补助（按国家级政策规定依法取得）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首都知识产权服务业协会</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首都知识产权服务业协会</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因从事国家鼓励和扶持特定行业、产业而获得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的补助（按国家级政策规定依法取得）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北京市标准化交流服务中心</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北京市标准化交流服务中 心</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因从事国家鼓励和扶持特定行业、产业而获得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的补助（按国家级政策规定依法取得）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中关村企业信用促进会</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中关村企业信用促进会</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因从事国家鼓励和扶持特定行业、产业而获得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的补助（按国家级政策规定依法取得）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海南省互联网产业发展专项资金 非社保类项目</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5"/>
                <w:sz w:val="18"/>
                <w:szCs w:val="18"/>
              </w:rPr>
              <w:t>海南省工信厅、海南老城经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济技术开发区管委会</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因从事国家鼓励和扶持特定行业、产业而获得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的补助（按国家级政策规定依法取得）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469,000.00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海南省互联网产业发展专项资金</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海南省工信厅</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pacing w:val="-2"/>
                <w:sz w:val="18"/>
                <w:szCs w:val="18"/>
              </w:rPr>
              <w:t>因从事国家鼓励和扶持特定行业、产业而获得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123,407.00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headerReference w:type="default" r:id="rId28"/>
          <w:footerReference w:type="default" r:id="rId29"/>
          <w:pgSz w:w="16840" w:h="11910" w:orient="landscape"/>
          <w:pgMar w:header="867" w:footer="979" w:top="1060" w:bottom="1160" w:left="1300" w:right="1300"/>
          <w:pgNumType w:start="163"/>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663"/>
        <w:gridCol w:w="2158"/>
        <w:gridCol w:w="510"/>
        <w:gridCol w:w="3624"/>
        <w:gridCol w:w="1062"/>
        <w:gridCol w:w="695"/>
        <w:gridCol w:w="1104"/>
        <w:gridCol w:w="1114"/>
        <w:gridCol w:w="1085"/>
      </w:tblGrid>
      <w:tr>
        <w:trPr>
          <w:trHeight w:val="729" w:hRule="exact"/>
        </w:trPr>
        <w:tc>
          <w:tcPr>
            <w:tcW w:w="266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15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14"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51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362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106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3"/>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69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2" w:right="71"/>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10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57" w:right="95"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11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62" w:right="100"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8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86" w:right="63"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362"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社保补贴</w:t>
            </w:r>
          </w:p>
        </w:tc>
        <w:tc>
          <w:tcPr>
            <w:tcW w:w="2158"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的补助（按国家级政策规定依法取得）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4"/>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年新认定高新技术产品研发 补助</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海南省科技厅</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因从事国家鼓励和扶持特定行业、产业而获得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的补助（按国家级政策规定依法取得）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海南省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年互联网专项资金社保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海南省工信厅</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因从事国家鼓励和扶持特定行业、产业而获得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的补助（按国家级政策规定依法取得）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66,618.75</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北京中关村企业信用促进会信用 评级中介资金补贴款</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北京中关村信用促进会</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1"/>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 而获得的补助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4"/>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年中关村技术创新能力建设 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专利部分</w:t>
            </w:r>
            <w:r>
              <w:rPr>
                <w:rFonts w:ascii="Times New Roman" w:hAnsi="Times New Roman" w:cs="Times New Roman" w:eastAsia="Times New Roman" w:hint="default"/>
                <w:sz w:val="18"/>
                <w:szCs w:val="18"/>
              </w:rPr>
              <w:t>)</w:t>
            </w:r>
            <w:r>
              <w:rPr>
                <w:rFonts w:ascii="宋体" w:hAnsi="宋体" w:cs="宋体" w:eastAsia="宋体" w:hint="default"/>
                <w:sz w:val="18"/>
                <w:szCs w:val="18"/>
              </w:rPr>
              <w:t>补贴</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中关村标准创新服务中心</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因研究开发、技术更新及改造等获得的补助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68"/>
              <w:jc w:val="left"/>
              <w:rPr>
                <w:rFonts w:ascii="宋体" w:hAnsi="宋体" w:cs="宋体" w:eastAsia="宋体" w:hint="default"/>
                <w:sz w:val="18"/>
                <w:szCs w:val="18"/>
              </w:rPr>
            </w:pPr>
            <w:r>
              <w:rPr>
                <w:rFonts w:ascii="宋体" w:hAnsi="宋体" w:cs="宋体" w:eastAsia="宋体" w:hint="default"/>
                <w:sz w:val="18"/>
                <w:szCs w:val="18"/>
              </w:rPr>
              <w:t>征信报告补贴</w:t>
            </w:r>
            <w:r>
              <w:rPr>
                <w:rFonts w:ascii="Times New Roman" w:hAnsi="Times New Roman" w:cs="Times New Roman" w:eastAsia="Times New Roman" w:hint="default"/>
                <w:sz w:val="18"/>
                <w:szCs w:val="18"/>
              </w:rPr>
              <w:t>--</w:t>
            </w:r>
            <w:r>
              <w:rPr>
                <w:rFonts w:ascii="宋体" w:hAnsi="宋体" w:cs="宋体" w:eastAsia="宋体" w:hint="default"/>
                <w:sz w:val="18"/>
                <w:szCs w:val="18"/>
              </w:rPr>
              <w:t>中关村科技园区 海淀园管委会</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海淀园管委会</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因从事国家鼓励和扶持特定行业、产业而获得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的补助（按国家级政策规定依法取得）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换证认证补贴</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中关村企业信用促进会</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因研究开发、技术更新及改造等获得的补助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14,200.00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iso27001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换证认证补贴</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中关村企业信用促进会</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因研究开发、技术更新及改造等获得的补助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14,200.00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iso9001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换证认证补贴</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中关村企业信用促进会</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因研究开发、技术更新及改造等获得的补助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海淀区企业专利商用化专项资金</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中关村科技园区海淀园管 理委员会</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因研究开发、技术更新及改造等获得的补助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年区品牌建设补贴</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上海市静安区中小企业服 务中心</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因从事国家鼓励和扶持特定行业、产业而获得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的补助（按国家级政策规定依法取得）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专精特新补贴</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上海市静安区财政局直接 支付零余额账户</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因从事国家鼓励和扶持特定行业、产业而获得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的补助（按国家级政策规定依法取得）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196,000.00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4"/>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年科技型中小企业促进专项 立项项目首拨款</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北京市科委</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因研究开发、技术更新及改造等获得的补助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105,000.00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怀柔区企业发展资金</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怀柔区渤海镇人民政府</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1"/>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 而获得的补助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679,218.00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663"/>
        <w:gridCol w:w="2158"/>
        <w:gridCol w:w="510"/>
        <w:gridCol w:w="3624"/>
        <w:gridCol w:w="1062"/>
        <w:gridCol w:w="695"/>
        <w:gridCol w:w="1104"/>
        <w:gridCol w:w="1114"/>
        <w:gridCol w:w="1085"/>
      </w:tblGrid>
      <w:tr>
        <w:trPr>
          <w:trHeight w:val="729" w:hRule="exact"/>
        </w:trPr>
        <w:tc>
          <w:tcPr>
            <w:tcW w:w="266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15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14"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51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362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106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3"/>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69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2" w:right="71"/>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10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57" w:right="95"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11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62" w:right="100"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8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86" w:right="63"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4"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北京市海淀区社保基金管理中心 稳岗补贴</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北京市海淀区社保基金管 理中心</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因从事国家鼓励和扶持特定行业、产业而获得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的补助（按国家级政策规定依法取得）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72,079.78</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58,342.17</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武清发展基金</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北京市怀柔镇镇政府</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1"/>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 而获得的补助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95,418.00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南翔发展基金</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北京市怀柔镇镇政府</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1"/>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 而获得的补助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783,900.00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专项科技成果转化</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海南省科学技术厅</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7"/>
              <w:jc w:val="center"/>
              <w:rPr>
                <w:rFonts w:ascii="宋体" w:hAnsi="宋体" w:cs="宋体" w:eastAsia="宋体" w:hint="default"/>
                <w:sz w:val="18"/>
                <w:szCs w:val="18"/>
              </w:rPr>
            </w:pPr>
            <w:r>
              <w:rPr>
                <w:rFonts w:ascii="宋体" w:hAnsi="宋体" w:cs="宋体" w:eastAsia="宋体" w:hint="default"/>
                <w:sz w:val="18"/>
                <w:szCs w:val="18"/>
              </w:rPr>
              <w:t>因研究开发、技术更新及改造等获得的补助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年度财政扶持</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上海市静安区财政局</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1"/>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 而获得的补助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2,750,000.00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北京市海淀区人民政府办公室</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中关村科技园区海淀园管 理委员会</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因从事国家鼓励和扶持特定行业、产业而获得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的补助（按国家级政策规定依法取得）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1,784,800.00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人才扶持奖励资金</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北京经济技术开发区财政 局</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1"/>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 而获得的补助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459,000.00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年区品牌建设补贴</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上海市静安区财政局</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因从事国家鼓励和扶持特定行业、产业而获得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的补助（按国家级政策规定依法取得）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434,000.00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天津国税高企项目费</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5"/>
                <w:sz w:val="18"/>
                <w:szCs w:val="18"/>
              </w:rPr>
              <w:t>天津市财政局、天津市武清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区财政局</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因从事国家鼓励和扶持特定行业、产业而获得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的补助（按国家级政策规定依法取得）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天津政府扶持资金</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天津京滨工业园</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1"/>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 而获得的补助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347,455.00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海南省科技厅关于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年度高新 技术产业发展专项资金</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海南省科技厅</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47"/>
              <w:jc w:val="center"/>
              <w:rPr>
                <w:rFonts w:ascii="宋体" w:hAnsi="宋体" w:cs="宋体" w:eastAsia="宋体" w:hint="default"/>
                <w:sz w:val="18"/>
                <w:szCs w:val="18"/>
              </w:rPr>
            </w:pPr>
            <w:r>
              <w:rPr>
                <w:rFonts w:ascii="宋体" w:hAnsi="宋体" w:cs="宋体" w:eastAsia="宋体" w:hint="default"/>
                <w:sz w:val="18"/>
                <w:szCs w:val="18"/>
              </w:rPr>
              <w:t>因研究开发、技术更新及改造等获得的补助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高新技术企业首次认定奖补</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陕西省科学技术厅</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因从事国家鼓励和扶持特定行业、产业而获得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的补助（按国家级政策规定依法取得）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名牌补贴</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上海市静安区商务委</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47"/>
              <w:jc w:val="center"/>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663"/>
        <w:gridCol w:w="2158"/>
        <w:gridCol w:w="510"/>
        <w:gridCol w:w="3624"/>
        <w:gridCol w:w="1062"/>
        <w:gridCol w:w="695"/>
        <w:gridCol w:w="1104"/>
        <w:gridCol w:w="1114"/>
        <w:gridCol w:w="1085"/>
      </w:tblGrid>
      <w:tr>
        <w:trPr>
          <w:trHeight w:val="729" w:hRule="exact"/>
        </w:trPr>
        <w:tc>
          <w:tcPr>
            <w:tcW w:w="266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15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14"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51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362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106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3"/>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69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2" w:right="71"/>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10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57" w:right="95"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11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62" w:right="100"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8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86" w:right="63"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362" w:hRule="exact"/>
        </w:trPr>
        <w:tc>
          <w:tcPr>
            <w:tcW w:w="2663"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而获得的补助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4"/>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年海南省互联网产业发展专 项资金拟扶持项目</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5"/>
                <w:sz w:val="18"/>
                <w:szCs w:val="18"/>
              </w:rPr>
              <w:t>海南省工信厅、海南老城经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济技术开发区管委会</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因从事国家鼓励和扶持特定行业、产业而获得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的补助（按国家级政策规定依法取得）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139,453.50</w:t>
            </w:r>
          </w:p>
        </w:tc>
        <w:tc>
          <w:tcPr>
            <w:tcW w:w="111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北京市商务委员会 </w:t>
            </w:r>
            <w:r>
              <w:rPr>
                <w:rFonts w:ascii="Times New Roman" w:hAnsi="Times New Roman" w:cs="Times New Roman" w:eastAsia="Times New Roman" w:hint="default"/>
                <w:sz w:val="18"/>
                <w:szCs w:val="18"/>
              </w:rPr>
              <w:t>CMMI</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认证补</w:t>
            </w:r>
            <w:r>
              <w:rPr>
                <w:rFonts w:ascii="宋体" w:hAnsi="宋体" w:cs="宋体" w:eastAsia="宋体" w:hint="default"/>
                <w:w w:val="99"/>
                <w:sz w:val="18"/>
                <w:szCs w:val="18"/>
              </w:rPr>
              <w:t> </w:t>
            </w:r>
            <w:r>
              <w:rPr>
                <w:rFonts w:ascii="宋体" w:hAnsi="宋体" w:cs="宋体" w:eastAsia="宋体" w:hint="default"/>
                <w:sz w:val="18"/>
                <w:szCs w:val="18"/>
              </w:rPr>
              <w:t>贴</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北京市商务委员会</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因从事国家鼓励和扶持特定行业、产业而获得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的补助（按国家级政策规定依法取得）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130,000.00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中关村示范区科技型小微企业研 发费用资金补助</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中关村管委会</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因从事国家鼓励和扶持特定行业、产业而获得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的补助（按国家级政策规定依法取得）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124,800.00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澄迈县社保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海南省澄迈县工业和信息 化局</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因从事国家鼓励和扶持特定行业、产业而获得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的补助（按国家级政策规定依法取得）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61,179.00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北京中关村企业信用促进会专利 代理费中介服务补贴</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中关村企业信用促进会</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因从事国家鼓励和扶持特定行业、产业而获得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的补助（按国家级政策规定依法取得）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26,200.00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4"/>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年中关村示范区科技型小微 企业研发费用资金</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中关村管委会</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因从事国家鼓励和扶持特定行业、产业而获得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的补助（按国家级政策规定依法取得）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18,892.00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北京中关村企业信用促进会信用 评级中介资金补贴款</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中关村企业信用促进会</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因从事国家鼓励和扶持特定行业、产业而获得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的补助（按国家级政策规定依法取得）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国家知识产权局专利局北京代办 处</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国家知识产权局专利局北 京代办处</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因研究开发、技术更新及改造等获得的补助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国家知识产权局专利局北京代办 处北京市专利资助金</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国家知识产权局专利局北 京代办处</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因研究开发、技术更新及改造等获得的补助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上海市静安区中小企业服务中心</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上海市静安区中小企业服 务中心</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因从事国家鼓励和扶持特定行业、产业而获得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的补助（按国家级政策规定依法取得）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58"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51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62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695"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1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11,111,859.28</w:t>
            </w:r>
          </w:p>
        </w:tc>
        <w:tc>
          <w:tcPr>
            <w:tcW w:w="11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10,163,803.92</w:t>
            </w:r>
          </w:p>
        </w:tc>
        <w:tc>
          <w:tcPr>
            <w:tcW w:w="1085" w:type="dxa"/>
            <w:tcBorders>
              <w:top w:val="single" w:sz="4" w:space="0" w:color="000000"/>
              <w:left w:val="single" w:sz="4" w:space="0" w:color="000000"/>
              <w:bottom w:val="single" w:sz="4" w:space="0" w:color="000000"/>
              <w:right w:val="single" w:sz="4" w:space="0" w:color="000000"/>
            </w:tcBorders>
            <w:shd w:val="clear" w:color="auto" w:fill="D9D9D9"/>
          </w:tcPr>
          <w:p>
            <w:pPr/>
          </w:p>
        </w:tc>
      </w:tr>
    </w:tbl>
    <w:p>
      <w:pPr>
        <w:spacing w:after="0"/>
        <w:sectPr>
          <w:pgSz w:w="16840" w:h="11910" w:orient="landscape"/>
          <w:pgMar w:header="867" w:footer="979" w:top="1060" w:bottom="1160" w:left="1300" w:right="1300"/>
        </w:sectPr>
      </w:pPr>
    </w:p>
    <w:p>
      <w:pPr>
        <w:spacing w:line="240" w:lineRule="auto" w:before="7"/>
        <w:rPr>
          <w:rFonts w:ascii="Times New Roman" w:hAnsi="Times New Roman" w:cs="Times New Roman" w:eastAsia="Times New Roman" w:hint="default"/>
          <w:sz w:val="23"/>
          <w:szCs w:val="23"/>
        </w:rPr>
      </w:pPr>
    </w:p>
    <w:p>
      <w:pPr>
        <w:pStyle w:val="Heading3"/>
        <w:spacing w:line="240" w:lineRule="auto" w:before="35"/>
        <w:ind w:right="0"/>
        <w:jc w:val="left"/>
        <w:rPr>
          <w:b w:val="0"/>
          <w:bCs w:val="0"/>
        </w:rPr>
      </w:pPr>
      <w:bookmarkStart w:name="57、营业外支出" w:id="335"/>
      <w:bookmarkEnd w:id="335"/>
      <w:r>
        <w:rPr>
          <w:b w:val="0"/>
          <w:bCs w:val="0"/>
        </w:rPr>
      </w:r>
      <w:r>
        <w:rPr>
          <w:rFonts w:ascii="Times New Roman" w:hAnsi="Times New Roman" w:cs="Times New Roman" w:eastAsia="Times New Roman" w:hint="default"/>
        </w:rPr>
        <w:t>57</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293,478.71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200,398.89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293,478.71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罚款及违约金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1,000,664.24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1,000,664.24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283,973.99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174,950.21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283,973.99</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1,618,116.94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395,349.10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1,618,116.94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8、所得税费用" w:id="336"/>
      <w:bookmarkEnd w:id="336"/>
      <w:r>
        <w:rPr>
          <w:b w:val="0"/>
          <w:bCs w:val="0"/>
        </w:rPr>
      </w:r>
      <w:r>
        <w:rPr>
          <w:rFonts w:ascii="Times New Roman" w:hAnsi="Times New Roman" w:cs="Times New Roman" w:eastAsia="Times New Roman" w:hint="default"/>
        </w:rPr>
        <w:t>58</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37"/>
      <w:bookmarkEnd w:id="337"/>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40,221,963.22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35,258,633.75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-9,020,293.86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-147,524.34</w:t>
            </w:r>
            <w:r>
              <w:rPr>
                <w:rFonts w:ascii="Times New Roman"/>
                <w:sz w:val="18"/>
              </w:rPr>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31,201,669.36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35,111,109.41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338"/>
      <w:bookmarkEnd w:id="338"/>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9"/>
      </w:tblGrid>
      <w:tr>
        <w:trPr>
          <w:trHeight w:val="397"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7" w:hRule="exact"/>
        </w:trPr>
        <w:tc>
          <w:tcPr>
            <w:tcW w:w="4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-795,947,862.69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-79,594,786.27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2,579,439.45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53,180.65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-32,133,500.00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145,933,516.39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3,296,320.19</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5,717,712.56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税法规定的额外可扣除费用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-14,650,213.61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31,201,669.36</w:t>
            </w:r>
          </w:p>
        </w:tc>
      </w:tr>
    </w:tbl>
    <w:p>
      <w:pPr>
        <w:spacing w:after="0" w:line="240" w:lineRule="auto"/>
        <w:jc w:val="right"/>
        <w:rPr>
          <w:rFonts w:ascii="Times New Roman" w:hAnsi="Times New Roman" w:cs="Times New Roman" w:eastAsia="Times New Roman" w:hint="default"/>
          <w:sz w:val="18"/>
          <w:szCs w:val="18"/>
        </w:rPr>
        <w:sectPr>
          <w:headerReference w:type="default" r:id="rId30"/>
          <w:footerReference w:type="default" r:id="rId31"/>
          <w:pgSz w:w="11910" w:h="16840"/>
          <w:pgMar w:header="877" w:footer="979" w:top="1100" w:bottom="1160" w:left="980" w:right="0"/>
          <w:pgNumType w:start="167"/>
        </w:sectPr>
      </w:pPr>
    </w:p>
    <w:p>
      <w:pPr>
        <w:spacing w:line="240" w:lineRule="auto" w:before="10"/>
        <w:rPr>
          <w:rFonts w:ascii="宋体" w:hAnsi="宋体" w:cs="宋体" w:eastAsia="宋体" w:hint="default"/>
          <w:sz w:val="20"/>
          <w:szCs w:val="20"/>
        </w:rPr>
      </w:pPr>
    </w:p>
    <w:p>
      <w:pPr>
        <w:spacing w:line="544" w:lineRule="auto" w:before="35"/>
        <w:ind w:left="154" w:right="8612" w:firstLine="0"/>
        <w:jc w:val="left"/>
        <w:rPr>
          <w:rFonts w:ascii="宋体" w:hAnsi="宋体" w:cs="宋体" w:eastAsia="宋体" w:hint="default"/>
          <w:sz w:val="21"/>
          <w:szCs w:val="21"/>
        </w:rPr>
      </w:pPr>
      <w:bookmarkStart w:name="59、其他综合收益" w:id="339"/>
      <w:bookmarkEnd w:id="339"/>
      <w:r>
        <w:rPr/>
      </w:r>
      <w:r>
        <w:rPr>
          <w:rFonts w:ascii="Times New Roman" w:hAnsi="Times New Roman" w:cs="Times New Roman" w:eastAsia="Times New Roman" w:hint="default"/>
          <w:b/>
          <w:bCs/>
          <w:sz w:val="21"/>
          <w:szCs w:val="21"/>
        </w:rPr>
        <w:t>59</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41</w:t>
      </w:r>
      <w:r>
        <w:rPr>
          <w:rFonts w:ascii="宋体" w:hAnsi="宋体" w:cs="宋体" w:eastAsia="宋体" w:hint="default"/>
          <w:sz w:val="18"/>
          <w:szCs w:val="18"/>
        </w:rPr>
        <w:t>、其他综合收益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bookmarkStart w:name="60、现金流量表项目" w:id="340"/>
      <w:bookmarkEnd w:id="340"/>
      <w:r>
        <w:rPr>
          <w:rFonts w:ascii="宋体" w:hAnsi="宋体" w:cs="宋体" w:eastAsia="宋体" w:hint="default"/>
          <w:sz w:val="18"/>
          <w:szCs w:val="18"/>
        </w:rPr>
      </w:r>
      <w:r>
        <w:rPr>
          <w:rFonts w:ascii="Times New Roman" w:hAnsi="Times New Roman" w:cs="Times New Roman" w:eastAsia="Times New Roman" w:hint="default"/>
          <w:b/>
          <w:bCs/>
          <w:sz w:val="21"/>
          <w:szCs w:val="21"/>
        </w:rPr>
        <w:t>60</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8"/>
        <w:ind w:right="0"/>
        <w:jc w:val="left"/>
        <w:rPr>
          <w:b w:val="0"/>
          <w:bCs w:val="0"/>
        </w:rPr>
      </w:pPr>
      <w:bookmarkStart w:name="（1）收到的其他与经营活动有关的现金" w:id="341"/>
      <w:bookmarkEnd w:id="341"/>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5,481,810.56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11,703,464.58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收到政府补助款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11,945,441.30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8,605,267.92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收到诉讼赔偿金等其他款项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3,894,917.29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单位及个人往来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46,129,465.50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63,556,717.36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24,203,649.79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支付的其他与经营活动有关的现金" w:id="342"/>
      <w:bookmarkEnd w:id="342"/>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93"/>
              <w:jc w:val="left"/>
              <w:rPr>
                <w:rFonts w:ascii="宋体" w:hAnsi="宋体" w:cs="宋体" w:eastAsia="宋体" w:hint="default"/>
                <w:sz w:val="18"/>
                <w:szCs w:val="18"/>
              </w:rPr>
            </w:pPr>
            <w:r>
              <w:rPr>
                <w:rFonts w:ascii="宋体" w:hAnsi="宋体" w:cs="宋体" w:eastAsia="宋体" w:hint="default"/>
                <w:sz w:val="18"/>
                <w:szCs w:val="18"/>
              </w:rPr>
              <w:t>支付销售费用、管理费用和其它支出等 付现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168,918,196.32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150,000,784.31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190,918,196.32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150,000,784.31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收到的其他与投资活动有关的现金" w:id="343"/>
      <w:bookmarkEnd w:id="343"/>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收到子公司原股东的承诺补偿款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1,923,957.29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1,142,635.00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1,923,957.29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1,142,635.00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支付的其他与投资活动有关的现金" w:id="344"/>
      <w:bookmarkEnd w:id="344"/>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收到的其他与筹资活动有关的现金" w:id="345"/>
      <w:bookmarkEnd w:id="345"/>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收到子公司原股东资金拆借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30,240,000.00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30,240,000.00</w:t>
            </w:r>
          </w:p>
        </w:tc>
      </w:tr>
    </w:tbl>
    <w:p>
      <w:pPr>
        <w:pStyle w:val="BodyText"/>
        <w:spacing w:line="357" w:lineRule="auto" w:before="51"/>
        <w:ind w:right="6072"/>
        <w:jc w:val="left"/>
      </w:pPr>
      <w:r>
        <w:rPr/>
        <w:t>收到的其他与筹资活动有关的现金说明： 系收到子公司上海移通网络有限公司原股东黄家骁往来款。</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6）支付的其他与筹资活动有关的现金" w:id="346"/>
      <w:bookmarkEnd w:id="346"/>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支付瑞意恒动原股东后续对价</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支付上海移通原股东后续对价</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244,800,000.00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部分股权激励限制性股票回购注销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707,601.00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支付可转债发行费用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15,078,000.00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286,507,601.00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76,578,000.00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1、现金流量表补充资料" w:id="347"/>
      <w:bookmarkEnd w:id="347"/>
      <w:r>
        <w:rPr>
          <w:b w:val="0"/>
          <w:bCs w:val="0"/>
        </w:rPr>
      </w:r>
      <w:r>
        <w:rPr>
          <w:rFonts w:ascii="Times New Roman" w:hAnsi="Times New Roman" w:cs="Times New Roman" w:eastAsia="Times New Roman" w:hint="default"/>
        </w:rPr>
        <w:t>61</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48"/>
      <w:bookmarkEnd w:id="348"/>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5826"/>
        <w:gridCol w:w="1935"/>
        <w:gridCol w:w="1922"/>
      </w:tblGrid>
      <w:tr>
        <w:trPr>
          <w:trHeight w:val="403" w:hRule="exact"/>
        </w:trPr>
        <w:tc>
          <w:tcPr>
            <w:tcW w:w="5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7"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1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-827,149,532.05</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343,710,897.87</w:t>
            </w:r>
          </w:p>
        </w:tc>
      </w:tr>
      <w:tr>
        <w:trPr>
          <w:trHeight w:val="402" w:hRule="exact"/>
        </w:trPr>
        <w:tc>
          <w:tcPr>
            <w:tcW w:w="5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1,179,173,331.48</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5,466,681.04</w:t>
            </w:r>
          </w:p>
        </w:tc>
      </w:tr>
      <w:tr>
        <w:trPr>
          <w:trHeight w:val="402" w:hRule="exact"/>
        </w:trPr>
        <w:tc>
          <w:tcPr>
            <w:tcW w:w="5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9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20,205,420.43</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18,588,114.42</w:t>
            </w:r>
          </w:p>
        </w:tc>
      </w:tr>
      <w:tr>
        <w:trPr>
          <w:trHeight w:val="402" w:hRule="exact"/>
        </w:trPr>
        <w:tc>
          <w:tcPr>
            <w:tcW w:w="5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20,157,540.37</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17,814,378.13</w:t>
            </w:r>
          </w:p>
        </w:tc>
      </w:tr>
      <w:tr>
        <w:trPr>
          <w:trHeight w:val="402" w:hRule="exact"/>
        </w:trPr>
        <w:tc>
          <w:tcPr>
            <w:tcW w:w="5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1,379,058.03</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1,444,410.60</w:t>
            </w:r>
          </w:p>
        </w:tc>
      </w:tr>
      <w:tr>
        <w:trPr>
          <w:trHeight w:val="402" w:hRule="exact"/>
        </w:trPr>
        <w:tc>
          <w:tcPr>
            <w:tcW w:w="5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274,851.03</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-28,335,690.17</w:t>
            </w:r>
          </w:p>
        </w:tc>
      </w:tr>
      <w:tr>
        <w:trPr>
          <w:trHeight w:val="402" w:hRule="exact"/>
        </w:trPr>
        <w:tc>
          <w:tcPr>
            <w:tcW w:w="5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23,622.45</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200,398.89</w:t>
            </w:r>
          </w:p>
        </w:tc>
      </w:tr>
      <w:tr>
        <w:trPr>
          <w:trHeight w:val="402" w:hRule="exact"/>
        </w:trPr>
        <w:tc>
          <w:tcPr>
            <w:tcW w:w="5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53,190,019.41</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29,482,140.23</w:t>
            </w:r>
          </w:p>
        </w:tc>
      </w:tr>
      <w:tr>
        <w:trPr>
          <w:trHeight w:val="402" w:hRule="exact"/>
        </w:trPr>
        <w:tc>
          <w:tcPr>
            <w:tcW w:w="5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-23,891,437.56</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-4,933,511.44</w:t>
            </w:r>
          </w:p>
        </w:tc>
      </w:tr>
      <w:tr>
        <w:trPr>
          <w:trHeight w:val="402" w:hRule="exact"/>
        </w:trPr>
        <w:tc>
          <w:tcPr>
            <w:tcW w:w="5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-6,251,858.57</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54,270.66</w:t>
            </w:r>
          </w:p>
        </w:tc>
      </w:tr>
      <w:tr>
        <w:trPr>
          <w:trHeight w:val="402" w:hRule="exact"/>
        </w:trPr>
        <w:tc>
          <w:tcPr>
            <w:tcW w:w="5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-2,730,030.00</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-231,795.00</w:t>
            </w:r>
            <w:r>
              <w:rPr>
                <w:rFonts w:ascii="Times New Roman"/>
                <w:sz w:val="18"/>
              </w:rPr>
            </w:r>
          </w:p>
        </w:tc>
      </w:tr>
      <w:tr>
        <w:trPr>
          <w:trHeight w:val="402" w:hRule="exact"/>
        </w:trPr>
        <w:tc>
          <w:tcPr>
            <w:tcW w:w="5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32,667,057.40</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9,082,226.96</w:t>
            </w:r>
          </w:p>
        </w:tc>
      </w:tr>
      <w:tr>
        <w:trPr>
          <w:trHeight w:val="402" w:hRule="exact"/>
        </w:trPr>
        <w:tc>
          <w:tcPr>
            <w:tcW w:w="5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-308,344,219.58</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-356,060,854.99</w:t>
            </w:r>
          </w:p>
        </w:tc>
      </w:tr>
      <w:tr>
        <w:trPr>
          <w:trHeight w:val="403" w:hRule="exact"/>
        </w:trPr>
        <w:tc>
          <w:tcPr>
            <w:tcW w:w="5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278,392,057.92</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82,147,276.83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33" w:type="dxa"/>
        <w:tblLayout w:type="fixed"/>
        <w:tblCellMar>
          <w:top w:w="0" w:type="dxa"/>
          <w:left w:w="0" w:type="dxa"/>
          <w:bottom w:w="0" w:type="dxa"/>
          <w:right w:w="0" w:type="dxa"/>
        </w:tblCellMar>
        <w:tblLook w:val="01E0"/>
      </w:tblPr>
      <w:tblGrid>
        <w:gridCol w:w="5826"/>
        <w:gridCol w:w="1935"/>
        <w:gridCol w:w="1922"/>
      </w:tblGrid>
      <w:tr>
        <w:trPr>
          <w:trHeight w:val="402" w:hRule="exact"/>
        </w:trPr>
        <w:tc>
          <w:tcPr>
            <w:tcW w:w="5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7"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25,190,584.50</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9,490,981.50</w:t>
            </w:r>
          </w:p>
        </w:tc>
      </w:tr>
      <w:tr>
        <w:trPr>
          <w:trHeight w:val="402" w:hRule="exact"/>
        </w:trPr>
        <w:tc>
          <w:tcPr>
            <w:tcW w:w="5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442,286,465.26</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127,919,925.53</w:t>
            </w:r>
          </w:p>
        </w:tc>
      </w:tr>
      <w:tr>
        <w:trPr>
          <w:trHeight w:val="402" w:hRule="exact"/>
        </w:trPr>
        <w:tc>
          <w:tcPr>
            <w:tcW w:w="5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1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1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771,946,600.93</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909,580,073.82</w:t>
            </w:r>
          </w:p>
        </w:tc>
      </w:tr>
      <w:tr>
        <w:trPr>
          <w:trHeight w:val="402" w:hRule="exact"/>
        </w:trPr>
        <w:tc>
          <w:tcPr>
            <w:tcW w:w="5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909,580,073.82</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686,418,668.57</w:t>
            </w:r>
          </w:p>
        </w:tc>
      </w:tr>
      <w:tr>
        <w:trPr>
          <w:trHeight w:val="402" w:hRule="exact"/>
        </w:trPr>
        <w:tc>
          <w:tcPr>
            <w:tcW w:w="5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-137,633,472.89</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223,161,405.25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349"/>
      <w:bookmarkEnd w:id="349"/>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本期收到的处置子公司的现金净额" w:id="350"/>
      <w:bookmarkEnd w:id="350"/>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492.28</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北京久其龙信数据科技有限公司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492.28</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492.28</w:t>
            </w:r>
          </w:p>
        </w:tc>
      </w:tr>
    </w:tbl>
    <w:p>
      <w:pPr>
        <w:pStyle w:val="BodyText"/>
        <w:spacing w:line="357" w:lineRule="auto" w:before="51"/>
        <w:ind w:right="3957"/>
        <w:jc w:val="left"/>
      </w:pPr>
      <w:r>
        <w:rPr/>
        <w:t>其他说明： 公司对控股子公司北京久其龙信数据科技有限公司进行清算注销，收回现金</w:t>
      </w:r>
      <w:r>
        <w:rPr>
          <w:rFonts w:ascii="Times New Roman" w:hAnsi="Times New Roman" w:cs="Times New Roman" w:eastAsia="Times New Roman" w:hint="default"/>
        </w:rPr>
        <w:t>492.28</w:t>
      </w:r>
      <w:r>
        <w:rPr/>
        <w:t>元。</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4）现金和现金等价物的构成" w:id="351"/>
      <w:bookmarkEnd w:id="351"/>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771,946,600.93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909,580,073.82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397,302.61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551,375.25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771,097,197.90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908,215,833.27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452,100.42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812,865.30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771,946,600.93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909,580,073.82</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62、所有者权益变动表项目注释" w:id="352"/>
      <w:bookmarkEnd w:id="352"/>
      <w:r>
        <w:rPr>
          <w:b w:val="0"/>
          <w:bCs w:val="0"/>
        </w:rPr>
      </w:r>
      <w:r>
        <w:rPr>
          <w:rFonts w:ascii="Times New Roman" w:hAnsi="Times New Roman" w:cs="Times New Roman" w:eastAsia="Times New Roman" w:hint="default"/>
        </w:rPr>
        <w:t>62</w:t>
      </w:r>
      <w:r>
        <w:rPr/>
        <w:t>、所有者权益变动表项目注释</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5372"/>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 无</w:t>
      </w:r>
    </w:p>
    <w:p>
      <w:pPr>
        <w:spacing w:after="0" w:line="338"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79" w:top="1100" w:bottom="1160" w:left="980" w:right="0"/>
        </w:sectPr>
      </w:pPr>
    </w:p>
    <w:p>
      <w:pPr>
        <w:pStyle w:val="Heading3"/>
        <w:spacing w:line="240" w:lineRule="auto" w:before="35"/>
        <w:ind w:right="0"/>
        <w:jc w:val="left"/>
        <w:rPr>
          <w:b w:val="0"/>
          <w:bCs w:val="0"/>
        </w:rPr>
      </w:pPr>
      <w:bookmarkStart w:name="63、所有权或使用权受到限制的资产" w:id="353"/>
      <w:bookmarkEnd w:id="353"/>
      <w:r>
        <w:rPr>
          <w:b w:val="0"/>
          <w:bCs w:val="0"/>
        </w:rPr>
      </w:r>
      <w:r>
        <w:rPr>
          <w:rFonts w:ascii="Times New Roman" w:hAnsi="Times New Roman" w:cs="Times New Roman" w:eastAsia="Times New Roman" w:hint="default"/>
          <w:w w:val="95"/>
        </w:rPr>
        <w:t>63</w:t>
      </w:r>
      <w:r>
        <w:rPr>
          <w:w w:val="95"/>
        </w:rPr>
        <w:t>、所有权或使用权受到限制的资产</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pStyle w:val="BodyText"/>
        <w:spacing w:line="240" w:lineRule="auto"/>
        <w:ind w:left="153" w:right="0"/>
        <w:jc w:val="left"/>
      </w:pPr>
      <w:r>
        <w:rPr/>
        <w:t>单位： 元</w:t>
      </w:r>
    </w:p>
    <w:p>
      <w:pPr>
        <w:spacing w:after="0" w:line="240" w:lineRule="auto"/>
        <w:jc w:val="left"/>
        <w:sectPr>
          <w:type w:val="continuous"/>
          <w:pgSz w:w="11910" w:h="16840"/>
          <w:pgMar w:top="1060" w:bottom="700" w:left="980" w:right="0"/>
          <w:cols w:num="2" w:equalWidth="0">
            <w:col w:w="3524" w:space="5305"/>
            <w:col w:w="2101"/>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21,970,706.32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银行承兑汇票保证金、履约保证金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66,154,505.27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2,539,530.00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90,664,741.59</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4、外币货币性项目" w:id="354"/>
      <w:bookmarkEnd w:id="354"/>
      <w:r>
        <w:rPr>
          <w:b w:val="0"/>
          <w:bCs w:val="0"/>
        </w:rPr>
      </w:r>
      <w:r>
        <w:rPr>
          <w:rFonts w:ascii="Times New Roman" w:hAnsi="Times New Roman" w:cs="Times New Roman" w:eastAsia="Times New Roman" w:hint="default"/>
        </w:rPr>
        <w:t>64</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55"/>
      <w:bookmarkEnd w:id="355"/>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9,710,517.72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66,645,225.18</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1,165,090.02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1,020,851.88</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312.17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2,449.69</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37.91</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388.03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4.8250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1,872.24</w:t>
            </w:r>
          </w:p>
        </w:tc>
      </w:tr>
      <w:tr>
        <w:trPr>
          <w:trHeight w:val="402" w:hRule="exact"/>
        </w:trPr>
        <w:tc>
          <w:tcPr>
            <w:tcW w:w="2484"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9" w:space="0" w:color="D9D9D9"/>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108,650,469.00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95,199,540.94</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w:t>
            </w:r>
          </w:p>
        </w:tc>
        <w:tc>
          <w:tcPr>
            <w:tcW w:w="2305"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5,491,337.22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4,811,509.67</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05"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29,556,037.87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25,897,000.38</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w:t>
            </w:r>
          </w:p>
        </w:tc>
        <w:tc>
          <w:tcPr>
            <w:tcW w:w="2305"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73,373,791.81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64,290,116.38</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305"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86,320,242.18</w:t>
            </w:r>
          </w:p>
        </w:tc>
      </w:tr>
      <w:tr>
        <w:trPr>
          <w:trHeight w:val="402" w:hRule="exact"/>
        </w:trPr>
        <w:tc>
          <w:tcPr>
            <w:tcW w:w="2484"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05" w:type="dxa"/>
            <w:tcBorders>
              <w:top w:val="single" w:sz="4" w:space="0" w:color="000000"/>
              <w:left w:val="single" w:sz="9" w:space="0" w:color="D9D9D9"/>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700" w:left="980" w:right="0"/>
        </w:sectPr>
      </w:pPr>
    </w:p>
    <w:p>
      <w:pPr>
        <w:spacing w:line="240" w:lineRule="auto" w:before="10"/>
        <w:rPr>
          <w:rFonts w:ascii="宋体" w:hAnsi="宋体" w:cs="宋体" w:eastAsia="宋体" w:hint="default"/>
          <w:sz w:val="20"/>
          <w:szCs w:val="20"/>
        </w:rPr>
      </w:pPr>
    </w:p>
    <w:p>
      <w:pPr>
        <w:pStyle w:val="Heading3"/>
        <w:spacing w:line="259" w:lineRule="auto" w:before="35"/>
        <w:ind w:right="0"/>
        <w:jc w:val="left"/>
        <w:rPr>
          <w:b w:val="0"/>
          <w:bCs w:val="0"/>
        </w:rPr>
      </w:pPr>
      <w:bookmarkStart w:name="（2）境外经营实体说明，包括对于重要的境外经营实体，应披露其境外主要经营地、记账" w:id="356"/>
      <w:bookmarkEnd w:id="356"/>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65、套期" w:id="357"/>
      <w:bookmarkEnd w:id="357"/>
      <w:r>
        <w:rPr>
          <w:b w:val="0"/>
          <w:bCs w:val="0"/>
        </w:rPr>
      </w:r>
      <w:r>
        <w:rPr>
          <w:rFonts w:ascii="Times New Roman" w:hAnsi="Times New Roman" w:cs="Times New Roman" w:eastAsia="Times New Roman" w:hint="default"/>
        </w:rPr>
        <w:t>65</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6、政府补助" w:id="358"/>
      <w:bookmarkEnd w:id="358"/>
      <w:r>
        <w:rPr>
          <w:b w:val="0"/>
          <w:bCs w:val="0"/>
        </w:rPr>
      </w:r>
      <w:r>
        <w:rPr>
          <w:rFonts w:ascii="Times New Roman" w:hAnsi="Times New Roman" w:cs="Times New Roman" w:eastAsia="Times New Roman" w:hint="default"/>
        </w:rPr>
        <w:t>66</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政府补助基本情况" w:id="359"/>
      <w:bookmarkEnd w:id="359"/>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4,312,776.77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4,312,776.77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11,111,859.28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11,111,859.28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政府补助退回情况" w:id="360"/>
      <w:bookmarkEnd w:id="360"/>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八、合并范围的变更" w:id="361"/>
      <w:bookmarkEnd w:id="361"/>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其他原因的合并范围变动" w:id="362"/>
      <w:bookmarkEnd w:id="362"/>
      <w:r>
        <w:rPr>
          <w:b w:val="0"/>
          <w:bCs w:val="0"/>
        </w:rPr>
      </w:r>
      <w:r>
        <w:rPr>
          <w:rFonts w:ascii="Times New Roman" w:hAnsi="Times New Roman" w:cs="Times New Roman" w:eastAsia="Times New Roman" w:hint="default"/>
        </w:rPr>
        <w:t>1</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pStyle w:val="BodyText"/>
        <w:spacing w:line="300" w:lineRule="auto" w:before="116"/>
        <w:ind w:right="0"/>
        <w:jc w:val="left"/>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17</w:t>
      </w:r>
      <w:r>
        <w:rPr>
          <w:spacing w:val="-1"/>
        </w:rPr>
        <w:t>日，公司第六届董事会第二十四次（临时）会议审议通过，公司拟在雄安新区投资</w:t>
      </w:r>
      <w:r>
        <w:rPr>
          <w:rFonts w:ascii="Times New Roman" w:hAnsi="Times New Roman" w:cs="Times New Roman" w:eastAsia="Times New Roman" w:hint="default"/>
          <w:spacing w:val="-1"/>
        </w:rPr>
        <w:t>5,000</w:t>
      </w:r>
      <w:r>
        <w:rPr>
          <w:spacing w:val="-1"/>
        </w:rPr>
        <w:t>万元人民币设立全资子</w:t>
      </w:r>
      <w:r>
        <w:rPr>
          <w:spacing w:val="-71"/>
        </w:rPr>
        <w:t> </w:t>
      </w:r>
      <w:r>
        <w:rPr/>
        <w:t>公司雄安久其。该新公司已于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日办理完成工商设立登记手续。</w:t>
      </w:r>
    </w:p>
    <w:p>
      <w:pPr>
        <w:spacing w:line="240" w:lineRule="auto" w:before="11"/>
        <w:rPr>
          <w:rFonts w:ascii="宋体" w:hAnsi="宋体" w:cs="宋体" w:eastAsia="宋体" w:hint="default"/>
          <w:sz w:val="24"/>
          <w:szCs w:val="24"/>
        </w:rPr>
      </w:pPr>
    </w:p>
    <w:p>
      <w:pPr>
        <w:pStyle w:val="BodyText"/>
        <w:spacing w:line="300" w:lineRule="auto"/>
        <w:ind w:right="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23</w:t>
      </w:r>
      <w:r>
        <w:rPr>
          <w:spacing w:val="-2"/>
        </w:rPr>
        <w:t>日，公司第六届董事会第三十一次会议决议通过，公司拟对控股子公司北京久其龙信数据科技有限公司进行清</w:t>
      </w:r>
      <w:r>
        <w:rPr>
          <w:spacing w:val="-56"/>
        </w:rPr>
        <w:t> </w:t>
      </w:r>
      <w:r>
        <w:rPr>
          <w:spacing w:val="-56"/>
        </w:rPr>
      </w:r>
      <w:r>
        <w:rPr/>
        <w:t>算注销。该公司已于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日完成工商注销手续。</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九、在其他主体中的权益" w:id="363"/>
      <w:bookmarkEnd w:id="363"/>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子公司中的权益" w:id="364"/>
      <w:bookmarkEnd w:id="364"/>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企业集团的构成" w:id="365"/>
      <w:bookmarkEnd w:id="365"/>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4021"/>
        <w:gridCol w:w="1234"/>
        <w:gridCol w:w="1000"/>
        <w:gridCol w:w="1001"/>
        <w:gridCol w:w="902"/>
        <w:gridCol w:w="538"/>
        <w:gridCol w:w="1000"/>
      </w:tblGrid>
      <w:tr>
        <w:trPr>
          <w:trHeight w:val="402" w:hRule="exact"/>
        </w:trPr>
        <w:tc>
          <w:tcPr>
            <w:tcW w:w="40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4021" w:type="dxa"/>
            <w:vMerge/>
            <w:tcBorders>
              <w:left w:val="single" w:sz="4" w:space="0" w:color="000000"/>
              <w:bottom w:val="single" w:sz="4" w:space="0" w:color="000000"/>
              <w:right w:val="single" w:sz="4" w:space="0" w:color="000000"/>
            </w:tcBorders>
            <w:shd w:val="clear" w:color="auto" w:fill="D2D2D2"/>
          </w:tcPr>
          <w:p>
            <w:pPr/>
          </w:p>
        </w:tc>
        <w:tc>
          <w:tcPr>
            <w:tcW w:w="1234" w:type="dxa"/>
            <w:vMerge/>
            <w:tcBorders>
              <w:left w:val="single" w:sz="4" w:space="0" w:color="000000"/>
              <w:bottom w:val="single" w:sz="4" w:space="0" w:color="000000"/>
              <w:right w:val="single" w:sz="4" w:space="0" w:color="000000"/>
            </w:tcBorders>
            <w:shd w:val="clear" w:color="auto" w:fill="D2D2D2"/>
          </w:tcPr>
          <w:p>
            <w:pPr/>
          </w:p>
        </w:tc>
        <w:tc>
          <w:tcPr>
            <w:tcW w:w="1000"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6"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00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西安久其软件有限公司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5" w:right="0"/>
              <w:jc w:val="left"/>
              <w:rPr>
                <w:rFonts w:ascii="Times New Roman" w:hAnsi="Times New Roman" w:cs="Times New Roman" w:eastAsia="Times New Roman" w:hint="default"/>
                <w:sz w:val="18"/>
                <w:szCs w:val="18"/>
              </w:rPr>
            </w:pPr>
            <w:r>
              <w:rPr>
                <w:rFonts w:ascii="Times New Roman"/>
                <w:sz w:val="18"/>
              </w:rPr>
              <w:t>100.00%</w:t>
            </w:r>
          </w:p>
        </w:tc>
        <w:tc>
          <w:tcPr>
            <w:tcW w:w="538"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21" w:type="dxa"/>
        <w:tblLayout w:type="fixed"/>
        <w:tblCellMar>
          <w:top w:w="0" w:type="dxa"/>
          <w:left w:w="0" w:type="dxa"/>
          <w:bottom w:w="0" w:type="dxa"/>
          <w:right w:w="0" w:type="dxa"/>
        </w:tblCellMar>
        <w:tblLook w:val="01E0"/>
      </w:tblPr>
      <w:tblGrid>
        <w:gridCol w:w="4021"/>
        <w:gridCol w:w="1234"/>
        <w:gridCol w:w="1000"/>
        <w:gridCol w:w="1001"/>
        <w:gridCol w:w="902"/>
        <w:gridCol w:w="538"/>
        <w:gridCol w:w="1000"/>
      </w:tblGrid>
      <w:tr>
        <w:trPr>
          <w:trHeight w:val="402" w:hRule="exact"/>
        </w:trPr>
        <w:tc>
          <w:tcPr>
            <w:tcW w:w="40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4021" w:type="dxa"/>
            <w:vMerge/>
            <w:tcBorders>
              <w:left w:val="single" w:sz="4" w:space="0" w:color="000000"/>
              <w:bottom w:val="single" w:sz="4" w:space="0" w:color="000000"/>
              <w:right w:val="single" w:sz="4" w:space="0" w:color="000000"/>
            </w:tcBorders>
            <w:shd w:val="clear" w:color="auto" w:fill="D2D2D2"/>
          </w:tcPr>
          <w:p>
            <w:pPr/>
          </w:p>
        </w:tc>
        <w:tc>
          <w:tcPr>
            <w:tcW w:w="1234" w:type="dxa"/>
            <w:vMerge/>
            <w:tcBorders>
              <w:left w:val="single" w:sz="4" w:space="0" w:color="000000"/>
              <w:bottom w:val="single" w:sz="4" w:space="0" w:color="000000"/>
              <w:right w:val="single" w:sz="4" w:space="0" w:color="000000"/>
            </w:tcBorders>
            <w:shd w:val="clear" w:color="auto" w:fill="D2D2D2"/>
          </w:tcPr>
          <w:p>
            <w:pPr/>
          </w:p>
        </w:tc>
        <w:tc>
          <w:tcPr>
            <w:tcW w:w="1000"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6"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00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上海久其软件有限公司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538"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成都久其软件有限公司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538"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广东久其软件有限公司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66.70%</w:t>
            </w:r>
          </w:p>
        </w:tc>
        <w:tc>
          <w:tcPr>
            <w:tcW w:w="538"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北京久其政务软件股份有限公司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99.50%</w:t>
            </w:r>
          </w:p>
        </w:tc>
        <w:tc>
          <w:tcPr>
            <w:tcW w:w="538"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新疆久其科技有限公司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538"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重庆久其软件有限公司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538"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海南久其云计算科技有限公司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澄迈</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澄迈</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538"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北京久其智通数据科技有限公司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w:t>
            </w:r>
          </w:p>
        </w:tc>
        <w:tc>
          <w:tcPr>
            <w:tcW w:w="538"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北京亿起联科技有限公司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538"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并购</w:t>
            </w:r>
          </w:p>
        </w:tc>
      </w:tr>
      <w:tr>
        <w:trPr>
          <w:trHeight w:val="402"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北京久其互联网金融信息服务有限公司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c>
          <w:tcPr>
            <w:tcW w:w="538"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北京华夏电通科技有限公司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538"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并购</w:t>
            </w:r>
          </w:p>
        </w:tc>
      </w:tr>
      <w:tr>
        <w:trPr>
          <w:trHeight w:val="402"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北京蜂语网络科技有限公司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w:t>
            </w:r>
          </w:p>
        </w:tc>
        <w:tc>
          <w:tcPr>
            <w:tcW w:w="538"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北京中民颐养科技服务有限公司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w:t>
            </w:r>
          </w:p>
        </w:tc>
        <w:tc>
          <w:tcPr>
            <w:tcW w:w="538"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深圳市久金保商业保理有限公司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538"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北京瑞意恒动科技有限公司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538"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并购</w:t>
            </w:r>
          </w:p>
        </w:tc>
      </w:tr>
      <w:tr>
        <w:trPr>
          <w:trHeight w:val="402"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海南久其互联网产业研究院有限公司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538"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上海移通网络有限公司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538"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并购</w:t>
            </w:r>
          </w:p>
        </w:tc>
      </w:tr>
      <w:tr>
        <w:trPr>
          <w:trHeight w:val="402"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北京久其金建科技有限公司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w:t>
            </w:r>
          </w:p>
        </w:tc>
        <w:tc>
          <w:tcPr>
            <w:tcW w:w="538"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久其数字传播有限公司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538"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雄安久其数字科技有限公司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雄安</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雄安</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538"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357" w:lineRule="auto" w:before="51"/>
        <w:ind w:right="6972"/>
        <w:jc w:val="left"/>
      </w:pPr>
      <w:r>
        <w:rPr/>
        <w:t>在子公司的持股比例不同于表决权比例的说明： 无</w:t>
      </w:r>
    </w:p>
    <w:p>
      <w:pPr>
        <w:spacing w:line="240" w:lineRule="auto" w:before="0"/>
        <w:rPr>
          <w:rFonts w:ascii="宋体" w:hAnsi="宋体" w:cs="宋体" w:eastAsia="宋体" w:hint="default"/>
          <w:sz w:val="18"/>
          <w:szCs w:val="18"/>
        </w:rPr>
      </w:pPr>
    </w:p>
    <w:p>
      <w:pPr>
        <w:pStyle w:val="BodyText"/>
        <w:spacing w:line="357" w:lineRule="auto" w:before="146"/>
        <w:ind w:right="2832"/>
        <w:jc w:val="left"/>
      </w:pPr>
      <w:r>
        <w:rPr/>
        <w:t>持有半数或以下表决权但仍控制被投资单位、以及持有半数以上表决权但不控制被投资单位的依据： 无</w:t>
      </w:r>
    </w:p>
    <w:p>
      <w:pPr>
        <w:spacing w:line="240" w:lineRule="auto" w:before="0"/>
        <w:rPr>
          <w:rFonts w:ascii="宋体" w:hAnsi="宋体" w:cs="宋体" w:eastAsia="宋体" w:hint="default"/>
          <w:sz w:val="18"/>
          <w:szCs w:val="18"/>
        </w:rPr>
      </w:pPr>
    </w:p>
    <w:p>
      <w:pPr>
        <w:pStyle w:val="BodyText"/>
        <w:spacing w:line="357" w:lineRule="auto" w:before="146"/>
        <w:ind w:right="6432"/>
        <w:jc w:val="left"/>
      </w:pPr>
      <w:r>
        <w:rPr/>
        <w:t>对于纳入合并范围的重要的结构化主体，控制的依据： 无</w:t>
      </w:r>
    </w:p>
    <w:p>
      <w:pPr>
        <w:spacing w:line="240" w:lineRule="auto" w:before="0"/>
        <w:rPr>
          <w:rFonts w:ascii="宋体" w:hAnsi="宋体" w:cs="宋体" w:eastAsia="宋体" w:hint="default"/>
          <w:sz w:val="18"/>
          <w:szCs w:val="18"/>
        </w:rPr>
      </w:pPr>
    </w:p>
    <w:p>
      <w:pPr>
        <w:pStyle w:val="BodyText"/>
        <w:spacing w:line="357" w:lineRule="auto" w:before="146"/>
        <w:ind w:right="7692"/>
        <w:jc w:val="left"/>
      </w:pPr>
      <w:r>
        <w:rPr/>
        <w:t>确定公司是代理人还是委托人的依据： 无</w:t>
      </w:r>
    </w:p>
    <w:p>
      <w:pPr>
        <w:spacing w:after="0" w:line="357" w:lineRule="auto"/>
        <w:jc w:val="left"/>
        <w:sectPr>
          <w:pgSz w:w="11910" w:h="16840"/>
          <w:pgMar w:header="877" w:footer="979" w:top="1100" w:bottom="1160" w:left="980" w:right="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0"/>
        <w:jc w:val="left"/>
        <w:rPr>
          <w:b w:val="0"/>
          <w:bCs w:val="0"/>
        </w:rPr>
      </w:pPr>
      <w:bookmarkStart w:name="（2）重要的非全资子公司" w:id="366"/>
      <w:bookmarkEnd w:id="366"/>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36"/>
        <w:jc w:val="right"/>
      </w:pPr>
      <w:r>
        <w:rPr/>
        <w:t>单位： 元</w:t>
      </w:r>
    </w:p>
    <w:p>
      <w:pPr>
        <w:spacing w:line="240" w:lineRule="auto" w:before="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4740"/>
        <w:gridCol w:w="1858"/>
        <w:gridCol w:w="2476"/>
        <w:gridCol w:w="2600"/>
        <w:gridCol w:w="2340"/>
      </w:tblGrid>
      <w:tr>
        <w:trPr>
          <w:trHeight w:val="764" w:hRule="exact"/>
        </w:trPr>
        <w:tc>
          <w:tcPr>
            <w:tcW w:w="4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本期归属于少数股东的损益</w:t>
            </w:r>
          </w:p>
        </w:tc>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35"/>
              <w:jc w:val="right"/>
              <w:rPr>
                <w:rFonts w:ascii="宋体" w:hAnsi="宋体" w:cs="宋体" w:eastAsia="宋体" w:hint="default"/>
                <w:sz w:val="18"/>
                <w:szCs w:val="18"/>
              </w:rPr>
            </w:pPr>
            <w:r>
              <w:rPr>
                <w:rFonts w:ascii="宋体" w:hAnsi="宋体" w:cs="宋体" w:eastAsia="宋体" w:hint="default"/>
                <w:sz w:val="18"/>
                <w:szCs w:val="18"/>
              </w:rPr>
              <w:t>本期向少数股东宣告分派的股利</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4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广东久其软件有限公司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33.30%</w:t>
            </w:r>
          </w:p>
        </w:tc>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200,210.81</w:t>
            </w:r>
          </w:p>
        </w:tc>
        <w:tc>
          <w:tcPr>
            <w:tcW w:w="260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3,052,465.23</w:t>
            </w:r>
          </w:p>
        </w:tc>
      </w:tr>
      <w:tr>
        <w:trPr>
          <w:trHeight w:val="402" w:hRule="exact"/>
        </w:trPr>
        <w:tc>
          <w:tcPr>
            <w:tcW w:w="4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北京久其政务软件股份有限公司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14,983.49</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165,000.00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1,738,015.39</w:t>
            </w:r>
          </w:p>
        </w:tc>
      </w:tr>
      <w:tr>
        <w:trPr>
          <w:trHeight w:val="402" w:hRule="exact"/>
        </w:trPr>
        <w:tc>
          <w:tcPr>
            <w:tcW w:w="4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北京久其智通数据科技有限公司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49.00%</w:t>
            </w:r>
          </w:p>
        </w:tc>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-1,616,664.35</w:t>
            </w:r>
          </w:p>
        </w:tc>
        <w:tc>
          <w:tcPr>
            <w:tcW w:w="260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-379,452.55</w:t>
            </w:r>
            <w:r>
              <w:rPr>
                <w:rFonts w:ascii="Times New Roman"/>
                <w:sz w:val="18"/>
              </w:rPr>
            </w:r>
          </w:p>
        </w:tc>
      </w:tr>
      <w:tr>
        <w:trPr>
          <w:trHeight w:val="402" w:hRule="exact"/>
        </w:trPr>
        <w:tc>
          <w:tcPr>
            <w:tcW w:w="4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北京久其互联网金融信息服务有限公司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-27,182.63</w:t>
            </w:r>
            <w:r>
              <w:rPr>
                <w:rFonts w:ascii="Times New Roman"/>
                <w:sz w:val="18"/>
              </w:rPr>
            </w:r>
          </w:p>
        </w:tc>
        <w:tc>
          <w:tcPr>
            <w:tcW w:w="260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1,441,864.19</w:t>
            </w:r>
          </w:p>
        </w:tc>
      </w:tr>
      <w:tr>
        <w:trPr>
          <w:trHeight w:val="402" w:hRule="exact"/>
        </w:trPr>
        <w:tc>
          <w:tcPr>
            <w:tcW w:w="4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北京蜂语网络科技有限公司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49.00%</w:t>
            </w:r>
          </w:p>
        </w:tc>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-579,027.60</w:t>
            </w:r>
            <w:r>
              <w:rPr>
                <w:rFonts w:ascii="Times New Roman"/>
                <w:sz w:val="18"/>
              </w:rPr>
            </w:r>
          </w:p>
        </w:tc>
        <w:tc>
          <w:tcPr>
            <w:tcW w:w="260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2,063,728.30</w:t>
            </w:r>
          </w:p>
        </w:tc>
      </w:tr>
      <w:tr>
        <w:trPr>
          <w:trHeight w:val="402" w:hRule="exact"/>
        </w:trPr>
        <w:tc>
          <w:tcPr>
            <w:tcW w:w="4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北京中民颐养科技服务有限公司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49.00%</w:t>
            </w:r>
          </w:p>
        </w:tc>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98,587.75</w:t>
            </w:r>
          </w:p>
        </w:tc>
        <w:tc>
          <w:tcPr>
            <w:tcW w:w="260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2,062,219.05</w:t>
            </w:r>
          </w:p>
        </w:tc>
      </w:tr>
      <w:tr>
        <w:trPr>
          <w:trHeight w:val="402" w:hRule="exact"/>
        </w:trPr>
        <w:tc>
          <w:tcPr>
            <w:tcW w:w="4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北京久其金建科技有限公司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49.00%</w:t>
            </w:r>
          </w:p>
        </w:tc>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5,730,675.00</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21,000,646.21</w:t>
            </w:r>
          </w:p>
        </w:tc>
      </w:tr>
    </w:tbl>
    <w:p>
      <w:pPr>
        <w:spacing w:line="240" w:lineRule="auto" w:before="2"/>
        <w:rPr>
          <w:rFonts w:ascii="宋体" w:hAnsi="宋体" w:cs="宋体" w:eastAsia="宋体" w:hint="default"/>
          <w:sz w:val="19"/>
          <w:szCs w:val="19"/>
        </w:rPr>
      </w:pPr>
    </w:p>
    <w:p>
      <w:pPr>
        <w:pStyle w:val="Heading3"/>
        <w:spacing w:line="240" w:lineRule="auto" w:before="35"/>
        <w:ind w:left="140" w:right="0"/>
        <w:jc w:val="left"/>
        <w:rPr>
          <w:b w:val="0"/>
          <w:bCs w:val="0"/>
        </w:rPr>
      </w:pPr>
      <w:bookmarkStart w:name="（3）重要非全资子公司的主要财务信息" w:id="367"/>
      <w:bookmarkEnd w:id="367"/>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36"/>
        <w:jc w:val="right"/>
      </w:pPr>
      <w:r>
        <w:rPr/>
        <w:t>单位： 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481"/>
        <w:gridCol w:w="1188"/>
        <w:gridCol w:w="1188"/>
        <w:gridCol w:w="1188"/>
        <w:gridCol w:w="1099"/>
        <w:gridCol w:w="548"/>
        <w:gridCol w:w="1100"/>
        <w:gridCol w:w="1188"/>
        <w:gridCol w:w="1099"/>
        <w:gridCol w:w="1188"/>
        <w:gridCol w:w="1099"/>
        <w:gridCol w:w="549"/>
        <w:gridCol w:w="1099"/>
      </w:tblGrid>
      <w:tr>
        <w:trPr>
          <w:trHeight w:val="402" w:hRule="exact"/>
        </w:trPr>
        <w:tc>
          <w:tcPr>
            <w:tcW w:w="14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31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22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6" w:hRule="exact"/>
        </w:trPr>
        <w:tc>
          <w:tcPr>
            <w:tcW w:w="1481" w:type="dxa"/>
            <w:vMerge/>
            <w:tcBorders>
              <w:left w:val="single" w:sz="4" w:space="0" w:color="000000"/>
              <w:bottom w:val="single" w:sz="4" w:space="0" w:color="000000"/>
              <w:right w:val="single" w:sz="4" w:space="0" w:color="000000"/>
            </w:tcBorders>
            <w:shd w:val="clear" w:color="auto" w:fill="D2D2D2"/>
          </w:tcPr>
          <w:p>
            <w:pP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8" w:right="89"/>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8"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8" w:right="88"/>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1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4"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71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6"/>
              <w:jc w:val="left"/>
              <w:rPr>
                <w:rFonts w:ascii="宋体" w:hAnsi="宋体" w:cs="宋体" w:eastAsia="宋体" w:hint="default"/>
                <w:sz w:val="18"/>
                <w:szCs w:val="18"/>
              </w:rPr>
            </w:pPr>
            <w:r>
              <w:rPr>
                <w:rFonts w:ascii="宋体" w:hAnsi="宋体" w:cs="宋体" w:eastAsia="宋体" w:hint="default"/>
                <w:sz w:val="18"/>
                <w:szCs w:val="18"/>
              </w:rPr>
              <w:t>广东久其软件有 限公司</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9,844,856.79</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241,540.97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10,086,397.76</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919,835.51</w:t>
            </w:r>
          </w:p>
        </w:tc>
        <w:tc>
          <w:tcPr>
            <w:tcW w:w="548"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919,835.51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9,820,256.80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108,820.04</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9,929,076.84</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1,363,748.26</w:t>
            </w:r>
          </w:p>
        </w:tc>
        <w:tc>
          <w:tcPr>
            <w:tcW w:w="54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1,363,748.26</w:t>
            </w:r>
          </w:p>
        </w:tc>
      </w:tr>
      <w:tr>
        <w:trPr>
          <w:trHeight w:val="71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6"/>
              <w:jc w:val="left"/>
              <w:rPr>
                <w:rFonts w:ascii="宋体" w:hAnsi="宋体" w:cs="宋体" w:eastAsia="宋体" w:hint="default"/>
                <w:sz w:val="18"/>
                <w:szCs w:val="18"/>
              </w:rPr>
            </w:pPr>
            <w:r>
              <w:rPr>
                <w:rFonts w:ascii="宋体" w:hAnsi="宋体" w:cs="宋体" w:eastAsia="宋体" w:hint="default"/>
                <w:sz w:val="18"/>
                <w:szCs w:val="18"/>
              </w:rPr>
              <w:t>北京久其政务软 件股份有限公司</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260,532,862.54</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101,075,821.33</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361,608,683.87</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14,005,606.43</w:t>
            </w:r>
          </w:p>
        </w:tc>
        <w:tc>
          <w:tcPr>
            <w:tcW w:w="548"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14,005,606.43</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320,182,575.69</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70,066,819.17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390,249,394.86</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12,643,015.01</w:t>
            </w:r>
          </w:p>
        </w:tc>
        <w:tc>
          <w:tcPr>
            <w:tcW w:w="54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12,643,015.01</w:t>
            </w:r>
          </w:p>
        </w:tc>
      </w:tr>
      <w:tr>
        <w:trPr>
          <w:trHeight w:val="71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6"/>
              <w:jc w:val="left"/>
              <w:rPr>
                <w:rFonts w:ascii="宋体" w:hAnsi="宋体" w:cs="宋体" w:eastAsia="宋体" w:hint="default"/>
                <w:sz w:val="18"/>
                <w:szCs w:val="18"/>
              </w:rPr>
            </w:pPr>
            <w:r>
              <w:rPr>
                <w:rFonts w:ascii="宋体" w:hAnsi="宋体" w:cs="宋体" w:eastAsia="宋体" w:hint="default"/>
                <w:sz w:val="18"/>
                <w:szCs w:val="18"/>
              </w:rPr>
              <w:t>北京久其智通数 据科技有限公司</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2,758,268.09</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2,893,686.13</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5,651,954.22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6,426,347.17</w:t>
            </w:r>
          </w:p>
        </w:tc>
        <w:tc>
          <w:tcPr>
            <w:tcW w:w="548"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6,426,347.17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2,739,220.09</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3,444,565.50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6,183,785.59</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3,658,863.55</w:t>
            </w:r>
          </w:p>
        </w:tc>
        <w:tc>
          <w:tcPr>
            <w:tcW w:w="54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3,658,863.55</w:t>
            </w:r>
          </w:p>
        </w:tc>
      </w:tr>
    </w:tbl>
    <w:p>
      <w:pPr>
        <w:spacing w:after="0" w:line="240" w:lineRule="auto"/>
        <w:jc w:val="right"/>
        <w:rPr>
          <w:rFonts w:ascii="Times New Roman" w:hAnsi="Times New Roman" w:cs="Times New Roman" w:eastAsia="Times New Roman" w:hint="default"/>
          <w:sz w:val="18"/>
          <w:szCs w:val="18"/>
        </w:rPr>
        <w:sectPr>
          <w:headerReference w:type="default" r:id="rId32"/>
          <w:footerReference w:type="default" r:id="rId33"/>
          <w:pgSz w:w="16840" w:h="11910" w:orient="landscape"/>
          <w:pgMar w:header="867" w:footer="979" w:top="1060" w:bottom="1160" w:left="1300" w:right="1300"/>
          <w:pgNumType w:start="174"/>
        </w:sectPr>
      </w:pP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481"/>
        <w:gridCol w:w="1188"/>
        <w:gridCol w:w="1188"/>
        <w:gridCol w:w="1188"/>
        <w:gridCol w:w="1099"/>
        <w:gridCol w:w="548"/>
        <w:gridCol w:w="1100"/>
        <w:gridCol w:w="1188"/>
        <w:gridCol w:w="1099"/>
        <w:gridCol w:w="1188"/>
        <w:gridCol w:w="1099"/>
        <w:gridCol w:w="549"/>
        <w:gridCol w:w="1099"/>
      </w:tblGrid>
      <w:tr>
        <w:trPr>
          <w:trHeight w:val="416" w:hRule="exact"/>
        </w:trPr>
        <w:tc>
          <w:tcPr>
            <w:tcW w:w="1481" w:type="dxa"/>
            <w:vMerge w:val="restart"/>
            <w:tcBorders>
              <w:top w:val="single" w:sz="15"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311" w:type="dxa"/>
            <w:gridSpan w:val="6"/>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222" w:type="dxa"/>
            <w:gridSpan w:val="6"/>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6" w:hRule="exact"/>
        </w:trPr>
        <w:tc>
          <w:tcPr>
            <w:tcW w:w="1481" w:type="dxa"/>
            <w:vMerge/>
            <w:tcBorders>
              <w:left w:val="single" w:sz="4" w:space="0" w:color="000000"/>
              <w:bottom w:val="single" w:sz="4" w:space="0" w:color="000000"/>
              <w:right w:val="single" w:sz="4" w:space="0" w:color="000000"/>
            </w:tcBorders>
            <w:shd w:val="clear" w:color="auto" w:fill="D2D2D2"/>
          </w:tcPr>
          <w:p>
            <w:pP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8" w:right="89"/>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8"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8" w:right="88"/>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1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4"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1026"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6"/>
              <w:jc w:val="both"/>
              <w:rPr>
                <w:rFonts w:ascii="宋体" w:hAnsi="宋体" w:cs="宋体" w:eastAsia="宋体" w:hint="default"/>
                <w:sz w:val="18"/>
                <w:szCs w:val="18"/>
              </w:rPr>
            </w:pPr>
            <w:r>
              <w:rPr>
                <w:rFonts w:ascii="宋体" w:hAnsi="宋体" w:cs="宋体" w:eastAsia="宋体" w:hint="default"/>
                <w:sz w:val="18"/>
                <w:szCs w:val="18"/>
              </w:rPr>
              <w:t>北京久其互联网 金融信息服务有 限公司</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13,809,124.64</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553,394.00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14,362,518.64</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9,556,304.67</w:t>
            </w:r>
          </w:p>
        </w:tc>
        <w:tc>
          <w:tcPr>
            <w:tcW w:w="548"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9,556,304.67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7,477,818.03</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714,883.40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8,192,701.43</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3,295,878.71</w:t>
            </w:r>
          </w:p>
        </w:tc>
        <w:tc>
          <w:tcPr>
            <w:tcW w:w="54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3,295,878.71</w:t>
            </w:r>
          </w:p>
        </w:tc>
      </w:tr>
      <w:tr>
        <w:trPr>
          <w:trHeight w:val="71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6"/>
              <w:jc w:val="left"/>
              <w:rPr>
                <w:rFonts w:ascii="宋体" w:hAnsi="宋体" w:cs="宋体" w:eastAsia="宋体" w:hint="default"/>
                <w:sz w:val="18"/>
                <w:szCs w:val="18"/>
              </w:rPr>
            </w:pPr>
            <w:r>
              <w:rPr>
                <w:rFonts w:ascii="宋体" w:hAnsi="宋体" w:cs="宋体" w:eastAsia="宋体" w:hint="default"/>
                <w:sz w:val="18"/>
                <w:szCs w:val="18"/>
              </w:rPr>
              <w:t>北京蜂语网络科 技有限公司</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5,103,058.06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391,768.51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5,494,826.57</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3,033,736.42</w:t>
            </w:r>
          </w:p>
        </w:tc>
        <w:tc>
          <w:tcPr>
            <w:tcW w:w="548"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3,033,736.42</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4,226,340.17</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980,800.48</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5,207,140.65</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2,058,920.18</w:t>
            </w:r>
          </w:p>
        </w:tc>
        <w:tc>
          <w:tcPr>
            <w:tcW w:w="54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2,058,920.18</w:t>
            </w:r>
          </w:p>
        </w:tc>
      </w:tr>
      <w:tr>
        <w:trPr>
          <w:trHeight w:val="71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6"/>
              <w:jc w:val="left"/>
              <w:rPr>
                <w:rFonts w:ascii="宋体" w:hAnsi="宋体" w:cs="宋体" w:eastAsia="宋体" w:hint="default"/>
                <w:sz w:val="18"/>
                <w:szCs w:val="18"/>
              </w:rPr>
            </w:pPr>
            <w:r>
              <w:rPr>
                <w:rFonts w:ascii="宋体" w:hAnsi="宋体" w:cs="宋体" w:eastAsia="宋体" w:hint="default"/>
                <w:sz w:val="18"/>
                <w:szCs w:val="18"/>
              </w:rPr>
              <w:t>北京中民颐养科 技服务有限公司</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4,355,491.68</w:t>
            </w: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4,355,491.68</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146,881.38</w:t>
            </w:r>
          </w:p>
        </w:tc>
        <w:tc>
          <w:tcPr>
            <w:tcW w:w="548"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146,881.38</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4,065,125.28</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4,065,125.28</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57,714.47</w:t>
            </w:r>
          </w:p>
        </w:tc>
        <w:tc>
          <w:tcPr>
            <w:tcW w:w="54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57,714.47</w:t>
            </w:r>
          </w:p>
        </w:tc>
      </w:tr>
      <w:tr>
        <w:trPr>
          <w:trHeight w:val="71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6"/>
              <w:jc w:val="left"/>
              <w:rPr>
                <w:rFonts w:ascii="宋体" w:hAnsi="宋体" w:cs="宋体" w:eastAsia="宋体" w:hint="default"/>
                <w:sz w:val="18"/>
                <w:szCs w:val="18"/>
              </w:rPr>
            </w:pPr>
            <w:r>
              <w:rPr>
                <w:rFonts w:ascii="宋体" w:hAnsi="宋体" w:cs="宋体" w:eastAsia="宋体" w:hint="default"/>
                <w:sz w:val="18"/>
                <w:szCs w:val="18"/>
              </w:rPr>
              <w:t>北京久其金建科 技有限公司</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53,222,469.10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280,031.88</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53,502,500.98</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9,376,546.08</w:t>
            </w:r>
          </w:p>
        </w:tc>
        <w:tc>
          <w:tcPr>
            <w:tcW w:w="548"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9,376,546.08</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39,482,315.92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21,634.72</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39,503,950.64</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5,224,065.64</w:t>
            </w:r>
          </w:p>
        </w:tc>
        <w:tc>
          <w:tcPr>
            <w:tcW w:w="54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5,224,065.64</w:t>
            </w:r>
          </w:p>
        </w:tc>
      </w:tr>
    </w:tbl>
    <w:p>
      <w:pPr>
        <w:spacing w:line="240" w:lineRule="auto" w:before="6"/>
        <w:rPr>
          <w:rFonts w:ascii="宋体" w:hAnsi="宋体" w:cs="宋体" w:eastAsia="宋体" w:hint="default"/>
          <w:sz w:val="27"/>
          <w:szCs w:val="27"/>
        </w:rPr>
      </w:pPr>
    </w:p>
    <w:p>
      <w:pPr>
        <w:pStyle w:val="BodyText"/>
        <w:spacing w:line="240" w:lineRule="auto" w:before="44"/>
        <w:ind w:left="0" w:right="136"/>
        <w:jc w:val="right"/>
      </w:pPr>
      <w:r>
        <w:rPr/>
        <w:t>单位： 元</w:t>
      </w:r>
    </w:p>
    <w:p>
      <w:pPr>
        <w:spacing w:line="240" w:lineRule="auto" w:before="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3436"/>
        <w:gridCol w:w="1202"/>
        <w:gridCol w:w="1196"/>
        <w:gridCol w:w="1253"/>
        <w:gridCol w:w="1651"/>
        <w:gridCol w:w="1202"/>
        <w:gridCol w:w="1169"/>
        <w:gridCol w:w="1253"/>
        <w:gridCol w:w="1652"/>
      </w:tblGrid>
      <w:tr>
        <w:trPr>
          <w:trHeight w:val="402" w:hRule="exact"/>
        </w:trPr>
        <w:tc>
          <w:tcPr>
            <w:tcW w:w="34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530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52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36" w:type="dxa"/>
            <w:vMerge/>
            <w:tcBorders>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8"/>
              <w:jc w:val="right"/>
              <w:rPr>
                <w:rFonts w:ascii="宋体" w:hAnsi="宋体" w:cs="宋体" w:eastAsia="宋体" w:hint="default"/>
                <w:sz w:val="18"/>
                <w:szCs w:val="18"/>
              </w:rPr>
            </w:pPr>
            <w:r>
              <w:rPr>
                <w:rFonts w:ascii="宋体" w:hAnsi="宋体" w:cs="宋体" w:eastAsia="宋体" w:hint="default"/>
                <w:sz w:val="18"/>
                <w:szCs w:val="18"/>
              </w:rPr>
              <w:t>综合收益总额</w:t>
            </w:r>
          </w:p>
        </w:tc>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9"/>
              <w:jc w:val="right"/>
              <w:rPr>
                <w:rFonts w:ascii="宋体" w:hAnsi="宋体" w:cs="宋体" w:eastAsia="宋体" w:hint="default"/>
                <w:sz w:val="18"/>
                <w:szCs w:val="18"/>
              </w:rPr>
            </w:pPr>
            <w:r>
              <w:rPr>
                <w:rFonts w:ascii="宋体" w:hAnsi="宋体" w:cs="宋体" w:eastAsia="宋体" w:hint="default"/>
                <w:sz w:val="18"/>
                <w:szCs w:val="18"/>
              </w:rPr>
              <w:t>综合收益总额</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0"/>
              <w:jc w:val="righ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402" w:hRule="exact"/>
        </w:trPr>
        <w:tc>
          <w:tcPr>
            <w:tcW w:w="3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广东久其软件有限公司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5,276,101.38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601,233.67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601,233.67</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453,346.80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6,457,419.69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1,190,441.93</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1,190,441.93</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-3,257,623.67</w:t>
            </w:r>
          </w:p>
        </w:tc>
      </w:tr>
      <w:tr>
        <w:trPr>
          <w:trHeight w:val="402" w:hRule="exact"/>
        </w:trPr>
        <w:tc>
          <w:tcPr>
            <w:tcW w:w="3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北京久其政务软件股份有限公司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41,893,980.30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2,996,697.59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2,996,697.59</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-75,763,372.87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43,905,202.69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2,033,934.50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2,033,934.50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9,761,650.55</w:t>
            </w:r>
          </w:p>
        </w:tc>
      </w:tr>
      <w:tr>
        <w:trPr>
          <w:trHeight w:val="402" w:hRule="exact"/>
        </w:trPr>
        <w:tc>
          <w:tcPr>
            <w:tcW w:w="3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北京久其智通数据科技有限公司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367,167.92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-3,299,314.99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-3,299,314.99</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-2,943,587.89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2,099,764.20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-5,810,714.25</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-5,810,714.25</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-4,033,970.73</w:t>
            </w:r>
          </w:p>
        </w:tc>
      </w:tr>
      <w:tr>
        <w:trPr>
          <w:trHeight w:val="402" w:hRule="exact"/>
        </w:trPr>
        <w:tc>
          <w:tcPr>
            <w:tcW w:w="3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北京久其互联网金融信息服务有限公司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5,050,120.36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-90,608.75</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-90,608.75</w:t>
            </w:r>
            <w:r>
              <w:rPr>
                <w:rFonts w:ascii="Times New Roman"/>
                <w:sz w:val="18"/>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5,887,218.51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5,294,489.44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-1,916,545.90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-1,916,545.90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1,697,195.89</w:t>
            </w:r>
          </w:p>
        </w:tc>
      </w:tr>
      <w:tr>
        <w:trPr>
          <w:trHeight w:val="402" w:hRule="exact"/>
        </w:trPr>
        <w:tc>
          <w:tcPr>
            <w:tcW w:w="3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北京蜂语网络科技有限公司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9,288,072.77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-687,130.32</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-687,130.32</w:t>
            </w:r>
            <w:r>
              <w:rPr>
                <w:rFonts w:ascii="Times New Roman"/>
                <w:sz w:val="18"/>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-1,447,859.57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3,407,363.63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-5,319,317.69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-5,319,317.69</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-4,838,202.44</w:t>
            </w:r>
          </w:p>
        </w:tc>
      </w:tr>
      <w:tr>
        <w:trPr>
          <w:trHeight w:val="402" w:hRule="exact"/>
        </w:trPr>
        <w:tc>
          <w:tcPr>
            <w:tcW w:w="3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北京中民颐养科技服务有限公司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1,048,300.97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201,199.49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201,199.49</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170,474.34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503,883.49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7,428.10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7,428.10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65,036.57</w:t>
            </w:r>
          </w:p>
        </w:tc>
      </w:tr>
      <w:tr>
        <w:trPr>
          <w:trHeight w:val="403" w:hRule="exact"/>
        </w:trPr>
        <w:tc>
          <w:tcPr>
            <w:tcW w:w="3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北京久其金建科技有限公司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44,167,664.71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11,846,069.90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11,846,069.90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12,713,343.12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20,036,646.16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4,279,885.00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4,279,885.00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372,147.61</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1300" w:right="1300"/>
        </w:sectPr>
      </w:pPr>
    </w:p>
    <w:p>
      <w:pPr>
        <w:spacing w:line="240" w:lineRule="auto" w:before="10"/>
        <w:rPr>
          <w:rFonts w:ascii="宋体" w:hAnsi="宋体" w:cs="宋体" w:eastAsia="宋体" w:hint="default"/>
          <w:sz w:val="20"/>
          <w:szCs w:val="20"/>
        </w:rPr>
      </w:pPr>
    </w:p>
    <w:p>
      <w:pPr>
        <w:pStyle w:val="Heading3"/>
        <w:spacing w:line="240" w:lineRule="auto" w:before="35"/>
        <w:ind w:right="0"/>
        <w:jc w:val="both"/>
        <w:rPr>
          <w:b w:val="0"/>
          <w:bCs w:val="0"/>
        </w:rPr>
      </w:pPr>
      <w:bookmarkStart w:name="2、在子公司的所有者权益份额发生变化且仍控制子公司的交易" w:id="368"/>
      <w:bookmarkEnd w:id="368"/>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在子公司所有者权益份额发生变化的情况说明" w:id="369"/>
      <w:bookmarkEnd w:id="369"/>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9"/>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6</w:t>
      </w:r>
      <w:r>
        <w:rPr>
          <w:spacing w:val="-1"/>
        </w:rPr>
        <w:t>日，公司第六届董事会第二十一次（临时）会议通过了《关于收购上海移通</w:t>
      </w:r>
      <w:r>
        <w:rPr>
          <w:rFonts w:ascii="Times New Roman" w:hAnsi="Times New Roman" w:cs="Times New Roman" w:eastAsia="Times New Roman" w:hint="default"/>
          <w:spacing w:val="-1"/>
        </w:rPr>
        <w:t>49%</w:t>
      </w:r>
      <w:r>
        <w:rPr>
          <w:spacing w:val="-1"/>
        </w:rPr>
        <w:t>股权暨关联交易的议案》，公司</w:t>
      </w:r>
      <w:r>
        <w:rPr>
          <w:spacing w:val="-86"/>
        </w:rPr>
        <w:t> </w:t>
      </w:r>
      <w:r>
        <w:rPr>
          <w:spacing w:val="-86"/>
        </w:rPr>
      </w:r>
      <w:r>
        <w:rPr/>
        <w:t>与控股股东北京久其科技投资有限公司签署了《股权转让协议》，以自有及自筹资金的方式按照</w:t>
      </w:r>
      <w:r>
        <w:rPr>
          <w:rFonts w:ascii="Times New Roman" w:hAnsi="Times New Roman" w:cs="Times New Roman" w:eastAsia="Times New Roman" w:hint="default"/>
        </w:rPr>
        <w:t>8</w:t>
      </w:r>
      <w:r>
        <w:rPr/>
        <w:t>亿元人民币的对价收购久 其科技持有的上海移通</w:t>
      </w:r>
      <w:r>
        <w:rPr>
          <w:rFonts w:ascii="Times New Roman" w:hAnsi="Times New Roman" w:cs="Times New Roman" w:eastAsia="Times New Roman" w:hint="default"/>
        </w:rPr>
        <w:t>49%</w:t>
      </w:r>
      <w:r>
        <w:rPr/>
        <w:t>股权。本次收购完成后，上海移通成为公司的全资子公司。</w:t>
      </w:r>
    </w:p>
    <w:p>
      <w:pPr>
        <w:spacing w:line="240" w:lineRule="auto" w:before="11"/>
        <w:rPr>
          <w:rFonts w:ascii="宋体" w:hAnsi="宋体" w:cs="宋体" w:eastAsia="宋体" w:hint="default"/>
          <w:sz w:val="24"/>
          <w:szCs w:val="24"/>
        </w:rPr>
      </w:pPr>
    </w:p>
    <w:p>
      <w:pPr>
        <w:pStyle w:val="BodyText"/>
        <w:spacing w:line="300" w:lineRule="auto"/>
        <w:ind w:right="1131"/>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23</w:t>
      </w:r>
      <w:r>
        <w:rPr>
          <w:spacing w:val="-2"/>
        </w:rPr>
        <w:t>日，公司第六届董事会第三十一次会议审议通过《关于转让控股子公司部分股权的议案》，公司将持有的久其</w:t>
      </w:r>
      <w:r>
        <w:rPr>
          <w:spacing w:val="-58"/>
        </w:rPr>
        <w:t> </w:t>
      </w:r>
      <w:r>
        <w:rPr>
          <w:spacing w:val="-58"/>
        </w:rPr>
      </w:r>
      <w:r>
        <w:rPr/>
        <w:t>金建</w:t>
      </w:r>
      <w:r>
        <w:rPr>
          <w:rFonts w:ascii="Times New Roman" w:hAnsi="Times New Roman" w:cs="Times New Roman" w:eastAsia="Times New Roman" w:hint="default"/>
        </w:rPr>
        <w:t>24%</w:t>
      </w:r>
      <w:r>
        <w:rPr/>
        <w:t>的股权（对应出资额为</w:t>
      </w:r>
      <w:r>
        <w:rPr>
          <w:rFonts w:ascii="Times New Roman" w:hAnsi="Times New Roman" w:cs="Times New Roman" w:eastAsia="Times New Roman" w:hint="default"/>
        </w:rPr>
        <w:t>720</w:t>
      </w:r>
      <w:r>
        <w:rPr/>
        <w:t>万元）转让给久其金建的员工持股平台北京华屋伟业科技中心（有限合伙），转让价格 </w:t>
      </w:r>
      <w:r>
        <w:rPr>
          <w:spacing w:val="-2"/>
        </w:rPr>
        <w:t>为人民币</w:t>
      </w:r>
      <w:r>
        <w:rPr>
          <w:rFonts w:ascii="Times New Roman" w:hAnsi="Times New Roman" w:cs="Times New Roman" w:eastAsia="Times New Roman" w:hint="default"/>
          <w:spacing w:val="-2"/>
        </w:rPr>
        <w:t>828</w:t>
      </w:r>
      <w:r>
        <w:rPr>
          <w:spacing w:val="-2"/>
        </w:rPr>
        <w:t>万元，即以截至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30</w:t>
      </w:r>
      <w:r>
        <w:rPr>
          <w:spacing w:val="-2"/>
        </w:rPr>
        <w:t>日久其金建经审计的净资产按比例作价。本次股权转让完成后，久其金建仍为公司</w:t>
      </w:r>
      <w:r>
        <w:rPr>
          <w:spacing w:val="-57"/>
        </w:rPr>
        <w:t> </w:t>
      </w:r>
      <w:r>
        <w:rPr>
          <w:spacing w:val="-57"/>
        </w:rPr>
      </w:r>
      <w:r>
        <w:rPr/>
        <w:t>控股子公司，公司持有其</w:t>
      </w:r>
      <w:r>
        <w:rPr>
          <w:rFonts w:ascii="Times New Roman" w:hAnsi="Times New Roman" w:cs="Times New Roman" w:eastAsia="Times New Roman" w:hint="default"/>
        </w:rPr>
        <w:t>51%</w:t>
      </w:r>
      <w:r>
        <w:rPr/>
        <w:t>股权，中铁建资产管理有限公司持有其</w:t>
      </w:r>
      <w:r>
        <w:rPr>
          <w:rFonts w:ascii="Times New Roman" w:hAnsi="Times New Roman" w:cs="Times New Roman" w:eastAsia="Times New Roman" w:hint="default"/>
        </w:rPr>
        <w:t>25%</w:t>
      </w:r>
      <w:r>
        <w:rPr/>
        <w:t>股权，华屋伟业持有其</w:t>
      </w:r>
      <w:r>
        <w:rPr>
          <w:rFonts w:ascii="Times New Roman" w:hAnsi="Times New Roman" w:cs="Times New Roman" w:eastAsia="Times New Roman" w:hint="default"/>
        </w:rPr>
        <w:t>24%</w:t>
      </w:r>
      <w:r>
        <w:rPr/>
        <w:t>股权。</w:t>
      </w: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bookmarkStart w:name="（2）交易对于少数股东权益及归属于母公司所有者权益的影响" w:id="370"/>
      <w:bookmarkEnd w:id="370"/>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91" w:right="0"/>
              <w:jc w:val="left"/>
              <w:rPr>
                <w:rFonts w:ascii="宋体" w:hAnsi="宋体" w:cs="宋体" w:eastAsia="宋体" w:hint="default"/>
                <w:sz w:val="18"/>
                <w:szCs w:val="18"/>
              </w:rPr>
            </w:pPr>
            <w:r>
              <w:rPr>
                <w:rFonts w:ascii="宋体" w:hAnsi="宋体" w:cs="宋体" w:eastAsia="宋体" w:hint="default"/>
                <w:sz w:val="18"/>
                <w:szCs w:val="18"/>
              </w:rPr>
              <w:t>上海移通网络有限公司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09" w:right="0"/>
              <w:jc w:val="left"/>
              <w:rPr>
                <w:rFonts w:ascii="宋体" w:hAnsi="宋体" w:cs="宋体" w:eastAsia="宋体" w:hint="default"/>
                <w:sz w:val="18"/>
                <w:szCs w:val="18"/>
              </w:rPr>
            </w:pPr>
            <w:r>
              <w:rPr>
                <w:rFonts w:ascii="宋体" w:hAnsi="宋体" w:cs="宋体" w:eastAsia="宋体" w:hint="default"/>
                <w:sz w:val="18"/>
                <w:szCs w:val="18"/>
              </w:rPr>
              <w:t>北京久其金建科技有限公司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8,280,000.00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 司净资产份额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138,535,232.64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7,821,071.65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661,464,767.36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458,928.35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661,464,767.36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458,928.35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在合营安排或联营企业中的权益" w:id="371"/>
      <w:bookmarkEnd w:id="371"/>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372"/>
      <w:bookmarkEnd w:id="372"/>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3850"/>
        <w:gridCol w:w="1141"/>
        <w:gridCol w:w="713"/>
        <w:gridCol w:w="826"/>
        <w:gridCol w:w="616"/>
        <w:gridCol w:w="566"/>
        <w:gridCol w:w="1982"/>
      </w:tblGrid>
      <w:tr>
        <w:trPr>
          <w:trHeight w:val="402" w:hRule="exact"/>
        </w:trPr>
        <w:tc>
          <w:tcPr>
            <w:tcW w:w="3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930"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11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7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1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98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76" w:right="84" w:hanging="90"/>
              <w:jc w:val="left"/>
              <w:rPr>
                <w:rFonts w:ascii="宋体" w:hAnsi="宋体" w:cs="宋体" w:eastAsia="宋体" w:hint="default"/>
                <w:sz w:val="18"/>
                <w:szCs w:val="18"/>
              </w:rPr>
            </w:pPr>
            <w:r>
              <w:rPr>
                <w:rFonts w:ascii="宋体" w:hAnsi="宋体" w:cs="宋体" w:eastAsia="宋体" w:hint="default"/>
                <w:sz w:val="18"/>
                <w:szCs w:val="18"/>
              </w:rPr>
              <w:t>对合营企业或联营企业 投资的会计处理方法</w:t>
            </w:r>
          </w:p>
        </w:tc>
      </w:tr>
      <w:tr>
        <w:trPr>
          <w:trHeight w:val="402" w:hRule="exact"/>
        </w:trPr>
        <w:tc>
          <w:tcPr>
            <w:tcW w:w="3850" w:type="dxa"/>
            <w:vMerge/>
            <w:tcBorders>
              <w:left w:val="single" w:sz="4" w:space="0" w:color="000000"/>
              <w:bottom w:val="single" w:sz="4" w:space="0" w:color="000000"/>
              <w:right w:val="single" w:sz="4" w:space="0" w:color="000000"/>
            </w:tcBorders>
            <w:shd w:val="clear" w:color="auto" w:fill="D2D2D2"/>
          </w:tcPr>
          <w:p>
            <w:pPr/>
          </w:p>
        </w:tc>
        <w:tc>
          <w:tcPr>
            <w:tcW w:w="1141" w:type="dxa"/>
            <w:vMerge/>
            <w:tcBorders>
              <w:left w:val="single" w:sz="4" w:space="0" w:color="000000"/>
              <w:bottom w:val="single" w:sz="4" w:space="0" w:color="000000"/>
              <w:right w:val="single" w:sz="4" w:space="0" w:color="000000"/>
            </w:tcBorders>
            <w:shd w:val="clear" w:color="auto" w:fill="D2D2D2"/>
          </w:tcPr>
          <w:p>
            <w:pPr/>
          </w:p>
        </w:tc>
        <w:tc>
          <w:tcPr>
            <w:tcW w:w="713" w:type="dxa"/>
            <w:vMerge/>
            <w:tcBorders>
              <w:left w:val="single" w:sz="4" w:space="0" w:color="000000"/>
              <w:bottom w:val="single" w:sz="4" w:space="0" w:color="000000"/>
              <w:right w:val="single" w:sz="4" w:space="0" w:color="000000"/>
            </w:tcBorders>
            <w:shd w:val="clear" w:color="auto" w:fill="D2D2D2"/>
          </w:tcPr>
          <w:p>
            <w:pPr/>
          </w:p>
        </w:tc>
        <w:tc>
          <w:tcPr>
            <w:tcW w:w="826" w:type="dxa"/>
            <w:vMerge/>
            <w:tcBorders>
              <w:left w:val="single" w:sz="4" w:space="0" w:color="000000"/>
              <w:bottom w:val="single" w:sz="4" w:space="0" w:color="000000"/>
              <w:right w:val="single" w:sz="4" w:space="0" w:color="000000"/>
            </w:tcBorders>
            <w:shd w:val="clear" w:color="auto" w:fill="D2D2D2"/>
          </w:tcPr>
          <w:p>
            <w:pP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98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同望科技股份有限公司</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19.99%</w:t>
            </w:r>
          </w:p>
        </w:tc>
        <w:tc>
          <w:tcPr>
            <w:tcW w:w="566"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深圳前海数聚成长投资中心（有限合伙）</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50.00%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357" w:lineRule="auto" w:before="51"/>
        <w:ind w:right="5892"/>
        <w:jc w:val="left"/>
      </w:pPr>
      <w:r>
        <w:rPr/>
        <w:t>在合营企业或联营企业的持股比例不同于表决权比例的说明： 无</w:t>
      </w:r>
    </w:p>
    <w:p>
      <w:pPr>
        <w:pStyle w:val="BodyText"/>
        <w:spacing w:line="338" w:lineRule="auto" w:before="29"/>
        <w:ind w:right="3344"/>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 </w:t>
      </w:r>
      <w:r>
        <w:rPr>
          <w:rFonts w:ascii="Times New Roman" w:hAnsi="Times New Roman" w:cs="Times New Roman" w:eastAsia="Times New Roman" w:hint="default"/>
        </w:rPr>
        <w:t>1</w:t>
      </w:r>
      <w:r>
        <w:rPr/>
        <w:t>、公司向同望科技股份有限公司委派董事一名，参与同望科技重大事项的决策。</w:t>
      </w:r>
    </w:p>
    <w:p>
      <w:pPr>
        <w:pStyle w:val="BodyText"/>
        <w:spacing w:line="230" w:lineRule="exact"/>
        <w:ind w:right="0"/>
        <w:jc w:val="left"/>
      </w:pPr>
      <w:r>
        <w:rPr>
          <w:rFonts w:ascii="Times New Roman" w:hAnsi="Times New Roman" w:cs="Times New Roman" w:eastAsia="Times New Roman" w:hint="default"/>
        </w:rPr>
        <w:t>2</w:t>
      </w:r>
      <w:r>
        <w:rPr/>
        <w:t>、公司为深圳前海数据成本投资中心（有限合伙）的有限合伙人，不影响有限合伙企业的重大决策。</w:t>
      </w:r>
    </w:p>
    <w:p>
      <w:pPr>
        <w:spacing w:line="240" w:lineRule="auto" w:before="12"/>
        <w:rPr>
          <w:rFonts w:ascii="宋体" w:hAnsi="宋体" w:cs="宋体" w:eastAsia="宋体" w:hint="default"/>
          <w:sz w:val="25"/>
          <w:szCs w:val="25"/>
        </w:rPr>
      </w:pPr>
    </w:p>
    <w:p>
      <w:pPr>
        <w:pStyle w:val="Heading3"/>
        <w:spacing w:line="240" w:lineRule="auto"/>
        <w:ind w:right="0"/>
        <w:jc w:val="left"/>
        <w:rPr>
          <w:b w:val="0"/>
          <w:bCs w:val="0"/>
        </w:rPr>
      </w:pPr>
      <w:bookmarkStart w:name="（2）重要合营企业的主要财务信息" w:id="373"/>
      <w:bookmarkEnd w:id="373"/>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headerReference w:type="default" r:id="rId34"/>
          <w:footerReference w:type="default" r:id="rId35"/>
          <w:pgSz w:w="11910" w:h="16840"/>
          <w:pgMar w:header="877" w:footer="979" w:top="1100" w:bottom="1160" w:left="980" w:right="0"/>
          <w:pgNumType w:start="176"/>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3）重要联营企业的主要财务信息" w:id="374"/>
      <w:bookmarkEnd w:id="374"/>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691" w:right="0"/>
              <w:jc w:val="left"/>
              <w:rPr>
                <w:rFonts w:ascii="宋体" w:hAnsi="宋体" w:cs="宋体" w:eastAsia="宋体" w:hint="default"/>
                <w:sz w:val="18"/>
                <w:szCs w:val="18"/>
              </w:rPr>
            </w:pPr>
            <w:r>
              <w:rPr>
                <w:rFonts w:ascii="宋体" w:hAnsi="宋体" w:cs="宋体" w:eastAsia="宋体" w:hint="default"/>
                <w:sz w:val="18"/>
                <w:szCs w:val="18"/>
              </w:rPr>
              <w:t>同望科技股份有限公司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同望科技股份有限公司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74,922,942.96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78,540,731.43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92,808,858.01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92,682,264.84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167,731,800.97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171,222,996.27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24,252,900.59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24,543,430.81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331,034.49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2,105,083.65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24,583,935.08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26,648,514.46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292,028.72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243,447.32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142,855,837.17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144,331,034.49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28,556,881.85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28,851,773.79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59,520,061.07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59,800,172.08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95,480,833.43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101,618,669.30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5,378,184.08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17,767,081.69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5,378,184.08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17,767,081.69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1,350,090.00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1,125,000.00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不重要的合营企业和联营企业的汇总财务信息" w:id="375"/>
      <w:bookmarkEnd w:id="375"/>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5305"/>
        <w:gridCol w:w="2201"/>
        <w:gridCol w:w="2189"/>
      </w:tblGrid>
      <w:tr>
        <w:trPr>
          <w:trHeight w:val="402" w:hRule="exact"/>
        </w:trPr>
        <w:tc>
          <w:tcPr>
            <w:tcW w:w="53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2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5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联营企业：深圳前海数聚成长投资中心（有限合伙）</w:t>
            </w:r>
          </w:p>
        </w:tc>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2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70,366,440.86</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73,857,875.54</w:t>
            </w:r>
          </w:p>
        </w:tc>
      </w:tr>
      <w:tr>
        <w:trPr>
          <w:trHeight w:val="402" w:hRule="exact"/>
        </w:trPr>
        <w:tc>
          <w:tcPr>
            <w:tcW w:w="5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2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193,257.87</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2,301,136.12</w:t>
            </w:r>
          </w:p>
        </w:tc>
      </w:tr>
      <w:tr>
        <w:trPr>
          <w:trHeight w:val="402" w:hRule="exact"/>
        </w:trPr>
        <w:tc>
          <w:tcPr>
            <w:tcW w:w="5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2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193,257.87</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2,301,136.12</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与金融工具相关的风险" w:id="376"/>
      <w:bookmarkEnd w:id="376"/>
      <w:r>
        <w:rPr>
          <w:b w:val="0"/>
          <w:bCs w:val="0"/>
        </w:rPr>
      </w:r>
      <w:r>
        <w:rPr/>
        <w:t>十、与金融工具相关的风险</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jc w:val="left"/>
      </w:pPr>
      <w:r>
        <w:rPr>
          <w:spacing w:val="-2"/>
        </w:rPr>
        <w:t>本公司在经营过程中面临各种金融风险：信用风险、市场风险和流动性风险。公司董事会全面负责风险管理目标和政策的确</w:t>
      </w:r>
      <w:r>
        <w:rPr>
          <w:spacing w:val="-66"/>
        </w:rPr>
        <w:t> </w:t>
      </w:r>
      <w:r>
        <w:rPr>
          <w:spacing w:val="-66"/>
        </w:rPr>
      </w:r>
      <w:r>
        <w:rPr>
          <w:spacing w:val="-2"/>
        </w:rPr>
        <w:t>定，并对风险管理目标和政策承担最终责任，但是董事会已授权本公司风险管理部门设计和实施能确保风险管理目标和政策</w:t>
      </w:r>
      <w:r>
        <w:rPr>
          <w:spacing w:val="-64"/>
        </w:rPr>
        <w:t> </w:t>
      </w:r>
      <w:r>
        <w:rPr>
          <w:spacing w:val="-64"/>
        </w:rPr>
      </w:r>
      <w:r>
        <w:rPr>
          <w:spacing w:val="-2"/>
        </w:rPr>
        <w:t>得以有效执行的程序。董事会通过风险管理部门主管递交的月度报告来审查已执行程序的有效性以及风险管理目标和政策的</w:t>
      </w:r>
      <w:r>
        <w:rPr>
          <w:spacing w:val="-64"/>
        </w:rPr>
        <w:t> </w:t>
      </w:r>
      <w:r>
        <w:rPr>
          <w:spacing w:val="-64"/>
        </w:rPr>
      </w:r>
      <w:r>
        <w:rPr/>
        <w:t>合理性。本公司的内部审计师也会审计风险管理的政策和程序，并且将有关发现汇报给审计委员会。 本公司风险管理的总体目标是在不过度影响公司竞争力和应变力的情况下，制定尽可能降低风险的风险管理政策。</w:t>
      </w:r>
    </w:p>
    <w:p>
      <w:pPr>
        <w:spacing w:after="0" w:line="319"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4" w:lineRule="auto" w:before="44"/>
        <w:ind w:left="158" w:right="0" w:hanging="5"/>
        <w:jc w:val="left"/>
      </w:pPr>
      <w:r>
        <w:rPr>
          <w:rFonts w:ascii="宋体" w:hAnsi="宋体" w:cs="宋体" w:eastAsia="宋体" w:hint="default"/>
          <w:b/>
          <w:bCs/>
        </w:rPr>
        <w:t>（一）信用风险</w:t>
      </w:r>
      <w:r>
        <w:rPr>
          <w:rFonts w:ascii="宋体" w:hAnsi="宋体" w:cs="宋体" w:eastAsia="宋体" w:hint="default"/>
          <w:b/>
          <w:bCs/>
          <w:w w:val="99"/>
        </w:rPr>
        <w:t> </w:t>
      </w:r>
      <w:r>
        <w:rPr>
          <w:spacing w:val="-2"/>
        </w:rPr>
        <w:t>信用风险是指金融工具的一方不履行义务，造成另一方发生财务损失的风险。本公司主要面临赊销导致的客户信用风险。在</w:t>
      </w:r>
      <w:r>
        <w:rPr>
          <w:spacing w:val="-74"/>
        </w:rPr>
        <w:t> </w:t>
      </w:r>
      <w:r>
        <w:rPr>
          <w:spacing w:val="-74"/>
        </w:rPr>
      </w:r>
      <w:r>
        <w:rPr>
          <w:spacing w:val="-2"/>
        </w:rPr>
        <w:t>签订新合同之前，本公司会对新客户的信用风险进行评估，包括外部信用评级和在某些情况下的银行资信证明（当此信息可</w:t>
      </w:r>
      <w:r>
        <w:rPr>
          <w:spacing w:val="-74"/>
        </w:rPr>
        <w:t> </w:t>
      </w:r>
      <w:r>
        <w:rPr>
          <w:spacing w:val="-74"/>
        </w:rPr>
      </w:r>
      <w:r>
        <w:rPr/>
        <w:t>获取时）。公司对每一客户均设置了赊销限额，该限额为无需获得额外批准的最大额度。 </w:t>
      </w:r>
      <w:r>
        <w:rPr>
          <w:spacing w:val="-2"/>
        </w:rPr>
        <w:t>公司通过对已有客户信用评级的季度监控以及应收账款账龄分析的月度审核来确保公司的整体信用风险在可控的范围内。在</w:t>
      </w:r>
      <w:r>
        <w:rPr>
          <w:spacing w:val="-74"/>
        </w:rPr>
        <w:t> </w:t>
      </w:r>
      <w:r>
        <w:rPr>
          <w:spacing w:val="-74"/>
        </w:rPr>
      </w:r>
      <w:r>
        <w:rPr>
          <w:spacing w:val="-2"/>
        </w:rPr>
        <w:t>监控客户的信用风险时，按照客户的信用特征对其分组。被评为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级别的客户会放在受限制客户名单里，并且只有在</w:t>
      </w:r>
      <w:r>
        <w:rPr>
          <w:spacing w:val="-54"/>
        </w:rPr>
        <w:t> </w:t>
      </w:r>
      <w:r>
        <w:rPr>
          <w:spacing w:val="-54"/>
        </w:rPr>
      </w:r>
      <w:r>
        <w:rPr/>
        <w:t>额外批准的前提下，公司才可在未来期间内对其赊销，否则必须要求其提前支付相应款项。</w:t>
      </w:r>
    </w:p>
    <w:p>
      <w:pPr>
        <w:spacing w:line="240" w:lineRule="auto" w:before="6"/>
        <w:rPr>
          <w:rFonts w:ascii="宋体" w:hAnsi="宋体" w:cs="宋体" w:eastAsia="宋体" w:hint="default"/>
          <w:sz w:val="25"/>
          <w:szCs w:val="25"/>
        </w:rPr>
      </w:pPr>
    </w:p>
    <w:p>
      <w:pPr>
        <w:pStyle w:val="BodyText"/>
        <w:spacing w:line="316" w:lineRule="auto"/>
        <w:ind w:left="267" w:right="1118" w:hanging="114"/>
        <w:jc w:val="left"/>
      </w:pPr>
      <w:r>
        <w:rPr>
          <w:rFonts w:ascii="宋体" w:hAnsi="宋体" w:cs="宋体" w:eastAsia="宋体" w:hint="default"/>
          <w:b/>
          <w:bCs/>
        </w:rPr>
        <w:t>（二）市场风险</w:t>
      </w:r>
      <w:r>
        <w:rPr>
          <w:rFonts w:ascii="宋体" w:hAnsi="宋体" w:cs="宋体" w:eastAsia="宋体" w:hint="default"/>
          <w:b/>
          <w:bCs/>
          <w:w w:val="99"/>
        </w:rPr>
        <w:t> </w:t>
      </w:r>
      <w:r>
        <w:rPr>
          <w:spacing w:val="-1"/>
        </w:rPr>
        <w:t>金融工具的市场风险，是指金融工具的公允价值或未来现金流量因市场价格变动而发生波动的风险，包括汇率风险、利率</w:t>
      </w:r>
      <w:r>
        <w:rPr/>
        <w:t> 风险和其他价格风险。</w:t>
      </w:r>
    </w:p>
    <w:p>
      <w:pPr>
        <w:pStyle w:val="BodyText"/>
        <w:spacing w:line="304" w:lineRule="auto" w:before="19"/>
        <w:ind w:left="267" w:right="1118"/>
        <w:jc w:val="left"/>
      </w:pPr>
      <w:r>
        <w:rPr/>
        <w:t>（</w:t>
      </w:r>
      <w:r>
        <w:rPr>
          <w:rFonts w:ascii="Times New Roman" w:hAnsi="Times New Roman" w:cs="Times New Roman" w:eastAsia="Times New Roman" w:hint="default"/>
        </w:rPr>
        <w:t>1</w:t>
      </w:r>
      <w:r>
        <w:rPr/>
        <w:t>）利率风险 </w:t>
      </w:r>
      <w:r>
        <w:rPr>
          <w:spacing w:val="-1"/>
        </w:rPr>
        <w:t>利率风险，是指金融工具的公允价值或未来现金流量因市场利率变动而发生波动的风险。本公司面临的利率风险主要来源</w:t>
      </w:r>
      <w:r>
        <w:rPr>
          <w:spacing w:val="-55"/>
        </w:rPr>
        <w:t> </w:t>
      </w:r>
      <w:r>
        <w:rPr>
          <w:spacing w:val="-55"/>
        </w:rPr>
      </w:r>
      <w:r>
        <w:rPr>
          <w:spacing w:val="-1"/>
        </w:rPr>
        <w:t>于银行短期借款以及应付债券。截至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日止，本公司以同期同档次国家基准利率或上浮一定百分比的利率计息</w:t>
      </w:r>
      <w:r>
        <w:rPr>
          <w:spacing w:val="-51"/>
        </w:rPr>
        <w:t> </w:t>
      </w:r>
      <w:r>
        <w:rPr>
          <w:spacing w:val="-51"/>
        </w:rPr>
      </w:r>
      <w:r>
        <w:rPr/>
        <w:t>的银行借款人民币</w:t>
      </w:r>
      <w:r>
        <w:rPr>
          <w:rFonts w:ascii="Times New Roman" w:hAnsi="Times New Roman" w:cs="Times New Roman" w:eastAsia="Times New Roman" w:hint="default"/>
        </w:rPr>
        <w:t>134,820,300.00</w:t>
      </w:r>
      <w:r>
        <w:rPr/>
        <w:t>元，应付债券人民币</w:t>
      </w:r>
      <w:r>
        <w:rPr>
          <w:rFonts w:ascii="Times New Roman" w:hAnsi="Times New Roman" w:cs="Times New Roman" w:eastAsia="Times New Roman" w:hint="default"/>
        </w:rPr>
        <w:t>659,725,709.42</w:t>
      </w:r>
      <w:r>
        <w:rPr/>
        <w:t>元。在其他变量保持不变的假设下，利率发生合理、 可能的</w:t>
      </w:r>
      <w:r>
        <w:rPr>
          <w:rFonts w:ascii="Times New Roman" w:hAnsi="Times New Roman" w:cs="Times New Roman" w:eastAsia="Times New Roman" w:hint="default"/>
        </w:rPr>
        <w:t>100</w:t>
      </w:r>
      <w:r>
        <w:rPr/>
        <w:t>个基点的变动时，将不会对本公司的利润总额和股东权益产生重大的影响。</w:t>
      </w:r>
    </w:p>
    <w:p>
      <w:pPr>
        <w:pStyle w:val="BodyText"/>
        <w:spacing w:line="314" w:lineRule="auto" w:before="9"/>
        <w:ind w:left="267" w:right="1118"/>
        <w:jc w:val="left"/>
      </w:pPr>
      <w:r>
        <w:rPr/>
        <w:t>（</w:t>
      </w:r>
      <w:r>
        <w:rPr>
          <w:rFonts w:ascii="Times New Roman" w:hAnsi="Times New Roman" w:cs="Times New Roman" w:eastAsia="Times New Roman" w:hint="default"/>
        </w:rPr>
        <w:t>2</w:t>
      </w:r>
      <w:r>
        <w:rPr/>
        <w:t>）汇率风险 </w:t>
      </w:r>
      <w:r>
        <w:rPr>
          <w:spacing w:val="-1"/>
        </w:rPr>
        <w:t>汇率风险，是指金融工具的公允价值或未来现金流量因外汇汇率变动而发生波动的风险。本公司尽可能将外币收入与外币</w:t>
      </w:r>
      <w:r>
        <w:rPr>
          <w:spacing w:val="-55"/>
        </w:rPr>
        <w:t> </w:t>
      </w:r>
      <w:r>
        <w:rPr>
          <w:spacing w:val="-55"/>
        </w:rPr>
      </w:r>
      <w:r>
        <w:rPr>
          <w:spacing w:val="-1"/>
        </w:rPr>
        <w:t>支出相匹配以降低汇率风险。此外，公司还可能签署远期外汇合约或货币互换合约以达到规避汇率风险的目的。于本期及</w:t>
      </w:r>
      <w:r>
        <w:rPr>
          <w:spacing w:val="-54"/>
        </w:rPr>
        <w:t> </w:t>
      </w:r>
      <w:r>
        <w:rPr>
          <w:spacing w:val="-54"/>
        </w:rPr>
      </w:r>
      <w:r>
        <w:rPr/>
        <w:t>上期，本公司未签署任何远期外汇合约或货币互换合约。 </w:t>
      </w:r>
      <w:r>
        <w:rPr>
          <w:spacing w:val="-1"/>
        </w:rPr>
        <w:t>本公司面临的汇率风险主要来源于以美元、欧元、港币计价的金融资产和金融负债，外币金融资产和外币金融负债折算成</w:t>
      </w:r>
      <w:r>
        <w:rPr>
          <w:spacing w:val="-54"/>
        </w:rPr>
        <w:t> </w:t>
      </w:r>
      <w:r>
        <w:rPr>
          <w:spacing w:val="-54"/>
        </w:rPr>
      </w:r>
      <w:r>
        <w:rPr/>
        <w:t>人民币的金额列示如下：</w:t>
      </w:r>
    </w:p>
    <w:tbl>
      <w:tblPr>
        <w:tblW w:w="0" w:type="auto"/>
        <w:jc w:val="left"/>
        <w:tblInd w:w="139" w:type="dxa"/>
        <w:tblLayout w:type="fixed"/>
        <w:tblCellMar>
          <w:top w:w="0" w:type="dxa"/>
          <w:left w:w="0" w:type="dxa"/>
          <w:bottom w:w="0" w:type="dxa"/>
          <w:right w:w="0" w:type="dxa"/>
        </w:tblCellMar>
        <w:tblLook w:val="01E0"/>
      </w:tblPr>
      <w:tblGrid>
        <w:gridCol w:w="550"/>
        <w:gridCol w:w="1055"/>
        <w:gridCol w:w="1055"/>
        <w:gridCol w:w="1146"/>
        <w:gridCol w:w="425"/>
        <w:gridCol w:w="649"/>
        <w:gridCol w:w="1146"/>
        <w:gridCol w:w="288"/>
        <w:gridCol w:w="1055"/>
        <w:gridCol w:w="1145"/>
        <w:gridCol w:w="1145"/>
      </w:tblGrid>
      <w:tr>
        <w:trPr>
          <w:trHeight w:val="342" w:hRule="exact"/>
        </w:trPr>
        <w:tc>
          <w:tcPr>
            <w:tcW w:w="55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5476" w:type="dxa"/>
            <w:gridSpan w:val="6"/>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33"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654" w:hRule="exact"/>
        </w:trPr>
        <w:tc>
          <w:tcPr>
            <w:tcW w:w="550" w:type="dxa"/>
            <w:vMerge/>
            <w:tcBorders>
              <w:left w:val="single" w:sz="4" w:space="0" w:color="000000"/>
              <w:bottom w:val="single" w:sz="4" w:space="0" w:color="000000"/>
              <w:right w:val="single" w:sz="4" w:space="0" w:color="000000"/>
            </w:tcBorders>
            <w:shd w:val="clear" w:color="auto" w:fill="D9D9D9"/>
          </w:tcPr>
          <w:p>
            <w:pPr/>
          </w:p>
        </w:tc>
        <w:tc>
          <w:tcPr>
            <w:tcW w:w="10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美元</w:t>
            </w:r>
          </w:p>
        </w:tc>
        <w:tc>
          <w:tcPr>
            <w:tcW w:w="10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1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4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英镑</w:t>
            </w:r>
          </w:p>
        </w:tc>
        <w:tc>
          <w:tcPr>
            <w:tcW w:w="6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澳元</w:t>
            </w:r>
          </w:p>
        </w:tc>
        <w:tc>
          <w:tcPr>
            <w:tcW w:w="11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21"/>
              <w:ind w:left="48" w:right="48"/>
              <w:jc w:val="left"/>
              <w:rPr>
                <w:rFonts w:ascii="宋体" w:hAnsi="宋体" w:cs="宋体" w:eastAsia="宋体" w:hint="default"/>
                <w:sz w:val="18"/>
                <w:szCs w:val="18"/>
              </w:rPr>
            </w:pPr>
            <w:r>
              <w:rPr>
                <w:rFonts w:ascii="宋体" w:hAnsi="宋体" w:cs="宋体" w:eastAsia="宋体" w:hint="default"/>
                <w:sz w:val="18"/>
                <w:szCs w:val="18"/>
              </w:rPr>
              <w:t>美 元</w:t>
            </w:r>
          </w:p>
        </w:tc>
        <w:tc>
          <w:tcPr>
            <w:tcW w:w="10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欧元</w:t>
            </w:r>
          </w:p>
        </w:tc>
        <w:tc>
          <w:tcPr>
            <w:tcW w:w="11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11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654" w:hRule="exact"/>
        </w:trPr>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73"/>
              <w:jc w:val="left"/>
              <w:rPr>
                <w:rFonts w:ascii="宋体" w:hAnsi="宋体" w:cs="宋体" w:eastAsia="宋体" w:hint="default"/>
                <w:sz w:val="18"/>
                <w:szCs w:val="18"/>
              </w:rPr>
            </w:pPr>
            <w:r>
              <w:rPr>
                <w:rFonts w:ascii="宋体" w:hAnsi="宋体" w:cs="宋体" w:eastAsia="宋体" w:hint="default"/>
                <w:sz w:val="18"/>
                <w:szCs w:val="18"/>
              </w:rPr>
              <w:t>货币 资金</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66,645,225.18</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2,449.69</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1,020,851.88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37.91</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1,872.24</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67,670,436.90</w:t>
            </w:r>
          </w:p>
        </w:tc>
        <w:tc>
          <w:tcPr>
            <w:tcW w:w="288"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19,368,955.50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19,368,955.50</w:t>
            </w:r>
          </w:p>
        </w:tc>
      </w:tr>
      <w:tr>
        <w:trPr>
          <w:trHeight w:val="654" w:hRule="exact"/>
        </w:trPr>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73"/>
              <w:jc w:val="left"/>
              <w:rPr>
                <w:rFonts w:ascii="宋体" w:hAnsi="宋体" w:cs="宋体" w:eastAsia="宋体" w:hint="default"/>
                <w:sz w:val="18"/>
                <w:szCs w:val="18"/>
              </w:rPr>
            </w:pPr>
            <w:r>
              <w:rPr>
                <w:rFonts w:ascii="宋体" w:hAnsi="宋体" w:cs="宋体" w:eastAsia="宋体" w:hint="default"/>
                <w:sz w:val="18"/>
                <w:szCs w:val="18"/>
              </w:rPr>
              <w:t>应收 账款</w:t>
            </w:r>
          </w:p>
        </w:tc>
        <w:tc>
          <w:tcPr>
            <w:tcW w:w="1055"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95,199,540.94</w:t>
            </w:r>
          </w:p>
        </w:tc>
        <w:tc>
          <w:tcPr>
            <w:tcW w:w="425"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95,199,540.94</w:t>
            </w:r>
          </w:p>
        </w:tc>
        <w:tc>
          <w:tcPr>
            <w:tcW w:w="288"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140,865,934.47</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140,865,934.47</w:t>
            </w:r>
          </w:p>
        </w:tc>
      </w:tr>
      <w:tr>
        <w:trPr>
          <w:trHeight w:val="966" w:hRule="exact"/>
        </w:trPr>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73"/>
              <w:jc w:val="both"/>
              <w:rPr>
                <w:rFonts w:ascii="宋体" w:hAnsi="宋体" w:cs="宋体" w:eastAsia="宋体" w:hint="default"/>
                <w:sz w:val="18"/>
                <w:szCs w:val="18"/>
              </w:rPr>
            </w:pPr>
            <w:r>
              <w:rPr>
                <w:rFonts w:ascii="宋体" w:hAnsi="宋体" w:cs="宋体" w:eastAsia="宋体" w:hint="default"/>
                <w:sz w:val="18"/>
                <w:szCs w:val="18"/>
              </w:rPr>
              <w:t>其他 应收 款</w:t>
            </w:r>
          </w:p>
        </w:tc>
        <w:tc>
          <w:tcPr>
            <w:tcW w:w="1055"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2"/>
              <w:jc w:val="right"/>
              <w:rPr>
                <w:rFonts w:ascii="Times New Roman" w:hAnsi="Times New Roman" w:cs="Times New Roman" w:eastAsia="Times New Roman" w:hint="default"/>
                <w:sz w:val="18"/>
                <w:szCs w:val="18"/>
              </w:rPr>
            </w:pPr>
            <w:r>
              <w:rPr>
                <w:rFonts w:ascii="Times New Roman"/>
                <w:spacing w:val="-1"/>
                <w:sz w:val="18"/>
              </w:rPr>
              <w:t>4,811,509.67</w:t>
            </w:r>
          </w:p>
        </w:tc>
        <w:tc>
          <w:tcPr>
            <w:tcW w:w="425"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2"/>
              <w:jc w:val="right"/>
              <w:rPr>
                <w:rFonts w:ascii="Times New Roman" w:hAnsi="Times New Roman" w:cs="Times New Roman" w:eastAsia="Times New Roman" w:hint="default"/>
                <w:sz w:val="18"/>
                <w:szCs w:val="18"/>
              </w:rPr>
            </w:pPr>
            <w:r>
              <w:rPr>
                <w:rFonts w:ascii="Times New Roman"/>
                <w:spacing w:val="-1"/>
                <w:sz w:val="18"/>
              </w:rPr>
              <w:t>4,811,509.67</w:t>
            </w:r>
          </w:p>
        </w:tc>
        <w:tc>
          <w:tcPr>
            <w:tcW w:w="288"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2"/>
              <w:jc w:val="right"/>
              <w:rPr>
                <w:rFonts w:ascii="Times New Roman" w:hAnsi="Times New Roman" w:cs="Times New Roman" w:eastAsia="Times New Roman" w:hint="default"/>
                <w:sz w:val="18"/>
                <w:szCs w:val="18"/>
              </w:rPr>
            </w:pPr>
            <w:r>
              <w:rPr>
                <w:rFonts w:ascii="Times New Roman"/>
                <w:spacing w:val="-1"/>
                <w:sz w:val="18"/>
              </w:rPr>
              <w:t>1,104,284.92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2"/>
              <w:jc w:val="right"/>
              <w:rPr>
                <w:rFonts w:ascii="Times New Roman" w:hAnsi="Times New Roman" w:cs="Times New Roman" w:eastAsia="Times New Roman" w:hint="default"/>
                <w:sz w:val="18"/>
                <w:szCs w:val="18"/>
              </w:rPr>
            </w:pPr>
            <w:r>
              <w:rPr>
                <w:rFonts w:ascii="Times New Roman"/>
                <w:spacing w:val="-1"/>
                <w:sz w:val="18"/>
              </w:rPr>
              <w:t>1,104,284.92</w:t>
            </w:r>
          </w:p>
        </w:tc>
      </w:tr>
      <w:tr>
        <w:trPr>
          <w:trHeight w:val="342" w:hRule="exact"/>
        </w:trPr>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66,645,225.18</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2,449.69</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101,031,902.49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37.91</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1,872.24</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167,681,487.51</w:t>
            </w:r>
          </w:p>
        </w:tc>
        <w:tc>
          <w:tcPr>
            <w:tcW w:w="288"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161,339,174.89</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161,339,174.89</w:t>
            </w:r>
          </w:p>
        </w:tc>
      </w:tr>
      <w:tr>
        <w:trPr>
          <w:trHeight w:val="654" w:hRule="exact"/>
        </w:trPr>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73"/>
              <w:jc w:val="left"/>
              <w:rPr>
                <w:rFonts w:ascii="宋体" w:hAnsi="宋体" w:cs="宋体" w:eastAsia="宋体" w:hint="default"/>
                <w:sz w:val="18"/>
                <w:szCs w:val="18"/>
              </w:rPr>
            </w:pPr>
            <w:r>
              <w:rPr>
                <w:rFonts w:ascii="宋体" w:hAnsi="宋体" w:cs="宋体" w:eastAsia="宋体" w:hint="default"/>
                <w:sz w:val="18"/>
                <w:szCs w:val="18"/>
              </w:rPr>
              <w:t>短期 借款</w:t>
            </w:r>
          </w:p>
        </w:tc>
        <w:tc>
          <w:tcPr>
            <w:tcW w:w="1055"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86,320,242.18</w:t>
            </w:r>
          </w:p>
        </w:tc>
        <w:tc>
          <w:tcPr>
            <w:tcW w:w="114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86,320,242.18</w:t>
            </w:r>
          </w:p>
        </w:tc>
        <w:tc>
          <w:tcPr>
            <w:tcW w:w="288"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85,825,300.00</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85,825,300.00</w:t>
            </w:r>
          </w:p>
        </w:tc>
      </w:tr>
      <w:tr>
        <w:trPr>
          <w:trHeight w:val="654" w:hRule="exact"/>
        </w:trPr>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73"/>
              <w:jc w:val="left"/>
              <w:rPr>
                <w:rFonts w:ascii="宋体" w:hAnsi="宋体" w:cs="宋体" w:eastAsia="宋体" w:hint="default"/>
                <w:sz w:val="18"/>
                <w:szCs w:val="18"/>
              </w:rPr>
            </w:pPr>
            <w:r>
              <w:rPr>
                <w:rFonts w:ascii="宋体" w:hAnsi="宋体" w:cs="宋体" w:eastAsia="宋体" w:hint="default"/>
                <w:sz w:val="18"/>
                <w:szCs w:val="18"/>
              </w:rPr>
              <w:t>应付 账款</w:t>
            </w:r>
          </w:p>
        </w:tc>
        <w:tc>
          <w:tcPr>
            <w:tcW w:w="1055"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25,897,000.38</w:t>
            </w:r>
          </w:p>
        </w:tc>
        <w:tc>
          <w:tcPr>
            <w:tcW w:w="425"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25,897,000.38</w:t>
            </w:r>
          </w:p>
        </w:tc>
        <w:tc>
          <w:tcPr>
            <w:tcW w:w="288"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102,358,989.39</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102,358,989.39</w:t>
            </w:r>
          </w:p>
        </w:tc>
      </w:tr>
      <w:tr>
        <w:trPr>
          <w:trHeight w:val="966" w:hRule="exact"/>
        </w:trPr>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4" w:right="173"/>
              <w:jc w:val="both"/>
              <w:rPr>
                <w:rFonts w:ascii="宋体" w:hAnsi="宋体" w:cs="宋体" w:eastAsia="宋体" w:hint="default"/>
                <w:sz w:val="18"/>
                <w:szCs w:val="18"/>
              </w:rPr>
            </w:pPr>
            <w:r>
              <w:rPr>
                <w:rFonts w:ascii="宋体" w:hAnsi="宋体" w:cs="宋体" w:eastAsia="宋体" w:hint="default"/>
                <w:sz w:val="18"/>
                <w:szCs w:val="18"/>
              </w:rPr>
              <w:t>其他 应付 款</w:t>
            </w:r>
          </w:p>
        </w:tc>
        <w:tc>
          <w:tcPr>
            <w:tcW w:w="1055"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2"/>
              <w:jc w:val="right"/>
              <w:rPr>
                <w:rFonts w:ascii="Times New Roman" w:hAnsi="Times New Roman" w:cs="Times New Roman" w:eastAsia="Times New Roman" w:hint="default"/>
                <w:sz w:val="18"/>
                <w:szCs w:val="18"/>
              </w:rPr>
            </w:pPr>
            <w:r>
              <w:rPr>
                <w:rFonts w:ascii="Times New Roman"/>
                <w:spacing w:val="-1"/>
                <w:sz w:val="18"/>
              </w:rPr>
              <w:t>64,290,116.38</w:t>
            </w:r>
          </w:p>
        </w:tc>
        <w:tc>
          <w:tcPr>
            <w:tcW w:w="425"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2"/>
              <w:jc w:val="right"/>
              <w:rPr>
                <w:rFonts w:ascii="Times New Roman" w:hAnsi="Times New Roman" w:cs="Times New Roman" w:eastAsia="Times New Roman" w:hint="default"/>
                <w:sz w:val="18"/>
                <w:szCs w:val="18"/>
              </w:rPr>
            </w:pPr>
            <w:r>
              <w:rPr>
                <w:rFonts w:ascii="Times New Roman"/>
                <w:spacing w:val="-1"/>
                <w:sz w:val="18"/>
              </w:rPr>
              <w:t>64,290,116.38</w:t>
            </w:r>
          </w:p>
        </w:tc>
        <w:tc>
          <w:tcPr>
            <w:tcW w:w="288"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2"/>
              <w:jc w:val="right"/>
              <w:rPr>
                <w:rFonts w:ascii="Times New Roman" w:hAnsi="Times New Roman" w:cs="Times New Roman" w:eastAsia="Times New Roman" w:hint="default"/>
                <w:sz w:val="18"/>
                <w:szCs w:val="18"/>
              </w:rPr>
            </w:pPr>
            <w:r>
              <w:rPr>
                <w:rFonts w:ascii="Times New Roman"/>
                <w:spacing w:val="-1"/>
                <w:sz w:val="18"/>
              </w:rPr>
              <w:t>18,633,915.01</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2"/>
              <w:jc w:val="right"/>
              <w:rPr>
                <w:rFonts w:ascii="Times New Roman" w:hAnsi="Times New Roman" w:cs="Times New Roman" w:eastAsia="Times New Roman" w:hint="default"/>
                <w:sz w:val="18"/>
                <w:szCs w:val="18"/>
              </w:rPr>
            </w:pPr>
            <w:r>
              <w:rPr>
                <w:rFonts w:ascii="Times New Roman"/>
                <w:spacing w:val="-1"/>
                <w:sz w:val="18"/>
              </w:rPr>
              <w:t>18,633,915.01</w:t>
            </w:r>
          </w:p>
        </w:tc>
      </w:tr>
      <w:tr>
        <w:trPr>
          <w:trHeight w:val="342" w:hRule="exact"/>
        </w:trPr>
        <w:tc>
          <w:tcPr>
            <w:tcW w:w="5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55"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0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86,320,242.18</w:t>
            </w:r>
          </w:p>
        </w:tc>
        <w:tc>
          <w:tcPr>
            <w:tcW w:w="11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90,187,116.76</w:t>
            </w:r>
          </w:p>
        </w:tc>
        <w:tc>
          <w:tcPr>
            <w:tcW w:w="425"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649"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1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176,507,358.94</w:t>
            </w:r>
          </w:p>
        </w:tc>
        <w:tc>
          <w:tcPr>
            <w:tcW w:w="288"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0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85,825,300.00</w:t>
            </w:r>
          </w:p>
        </w:tc>
        <w:tc>
          <w:tcPr>
            <w:tcW w:w="11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120,992,904.40</w:t>
            </w:r>
          </w:p>
        </w:tc>
        <w:tc>
          <w:tcPr>
            <w:tcW w:w="11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206,818,204.40</w:t>
            </w:r>
          </w:p>
        </w:tc>
      </w:tr>
    </w:tbl>
    <w:p>
      <w:pPr>
        <w:pStyle w:val="BodyText"/>
        <w:spacing w:line="240" w:lineRule="auto" w:before="20"/>
        <w:ind w:left="267" w:right="0"/>
        <w:jc w:val="left"/>
      </w:pP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日，在所有其他变量保持不变的情况下，如果人民币对美元升值或贬值</w:t>
      </w:r>
      <w:r>
        <w:rPr>
          <w:rFonts w:ascii="Times New Roman" w:hAnsi="Times New Roman" w:cs="Times New Roman" w:eastAsia="Times New Roman" w:hint="default"/>
        </w:rPr>
        <w:t>1%</w:t>
      </w:r>
      <w:r>
        <w:rPr/>
        <w:t>，则公司将增加或减少净利润</w:t>
      </w:r>
    </w:p>
    <w:p>
      <w:pPr>
        <w:pStyle w:val="BodyText"/>
        <w:spacing w:line="240" w:lineRule="auto" w:before="63"/>
        <w:ind w:left="267" w:right="0"/>
        <w:jc w:val="left"/>
        <w:rPr>
          <w:rFonts w:ascii="Times New Roman" w:hAnsi="Times New Roman" w:cs="Times New Roman" w:eastAsia="Times New Roman" w:hint="default"/>
        </w:rPr>
      </w:pPr>
      <w:r>
        <w:rPr>
          <w:rFonts w:ascii="Times New Roman" w:hAnsi="Times New Roman" w:cs="Times New Roman" w:eastAsia="Times New Roman" w:hint="default"/>
          <w:spacing w:val="-3"/>
        </w:rPr>
        <w:t>666,452.25</w:t>
      </w:r>
      <w:r>
        <w:rPr>
          <w:spacing w:val="-3"/>
        </w:rPr>
        <w:t>元（</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w:t>
      </w:r>
      <w:r>
        <w:rPr>
          <w:rFonts w:ascii="Times New Roman" w:hAnsi="Times New Roman" w:cs="Times New Roman" w:eastAsia="Times New Roman" w:hint="default"/>
          <w:spacing w:val="-3"/>
        </w:rPr>
        <w:t>0</w:t>
      </w:r>
      <w:r>
        <w:rPr>
          <w:spacing w:val="-3"/>
        </w:rPr>
        <w:t>元）。如果人民币对欧元升值或贬值</w:t>
      </w:r>
      <w:r>
        <w:rPr>
          <w:rFonts w:ascii="Times New Roman" w:hAnsi="Times New Roman" w:cs="Times New Roman" w:eastAsia="Times New Roman" w:hint="default"/>
          <w:spacing w:val="-3"/>
        </w:rPr>
        <w:t>1%</w:t>
      </w:r>
      <w:r>
        <w:rPr>
          <w:spacing w:val="-3"/>
        </w:rPr>
        <w:t>，则公司将增加或减少净利润</w:t>
      </w:r>
      <w:r>
        <w:rPr>
          <w:rFonts w:ascii="Times New Roman" w:hAnsi="Times New Roman" w:cs="Times New Roman" w:eastAsia="Times New Roman" w:hint="default"/>
          <w:spacing w:val="-3"/>
        </w:rPr>
        <w:t>863,177.92</w:t>
      </w:r>
      <w:r>
        <w:rPr>
          <w:spacing w:val="-3"/>
        </w:rPr>
        <w:t>元（</w:t>
      </w:r>
      <w:r>
        <w:rPr>
          <w:rFonts w:ascii="Times New Roman" w:hAnsi="Times New Roman" w:cs="Times New Roman" w:eastAsia="Times New Roman" w:hint="default"/>
          <w:spacing w:val="-3"/>
        </w:rPr>
        <w:t>2017</w:t>
      </w:r>
    </w:p>
    <w:p>
      <w:pPr>
        <w:spacing w:after="0" w:line="240" w:lineRule="auto"/>
        <w:jc w:val="left"/>
        <w:rPr>
          <w:rFonts w:ascii="Times New Roman" w:hAnsi="Times New Roman" w:cs="Times New Roman" w:eastAsia="Times New Roman" w:hint="default"/>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4"/>
          <w:szCs w:val="24"/>
        </w:rPr>
      </w:pPr>
    </w:p>
    <w:p>
      <w:pPr>
        <w:pStyle w:val="BodyText"/>
        <w:spacing w:line="300" w:lineRule="auto" w:before="44"/>
        <w:ind w:left="267" w:right="0"/>
        <w:jc w:val="left"/>
      </w:pP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854,766.00</w:t>
      </w:r>
      <w:r>
        <w:rPr>
          <w:spacing w:val="-2"/>
        </w:rPr>
        <w:t>元）。如果人民币对港币升值或贬值</w:t>
      </w:r>
      <w:r>
        <w:rPr>
          <w:rFonts w:ascii="Times New Roman" w:hAnsi="Times New Roman" w:cs="Times New Roman" w:eastAsia="Times New Roman" w:hint="default"/>
          <w:spacing w:val="-2"/>
        </w:rPr>
        <w:t>1%</w:t>
      </w:r>
      <w:r>
        <w:rPr>
          <w:spacing w:val="-2"/>
        </w:rPr>
        <w:t>，则公司将增加或减少净利润</w:t>
      </w:r>
      <w:r>
        <w:rPr>
          <w:rFonts w:ascii="Times New Roman" w:hAnsi="Times New Roman" w:cs="Times New Roman" w:eastAsia="Times New Roman" w:hint="default"/>
          <w:spacing w:val="-2"/>
        </w:rPr>
        <w:t>108,447.86</w:t>
      </w:r>
      <w:r>
        <w:rPr>
          <w:spacing w:val="-2"/>
        </w:rPr>
        <w:t>元（</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rFonts w:ascii="Times New Roman" w:hAnsi="Times New Roman" w:cs="Times New Roman" w:eastAsia="Times New Roman" w:hint="default"/>
          <w:spacing w:val="16"/>
        </w:rPr>
        <w:t> </w:t>
      </w:r>
      <w:r>
        <w:rPr>
          <w:spacing w:val="-1"/>
        </w:rPr>
        <w:t>日：</w:t>
      </w:r>
      <w:r>
        <w:rPr>
          <w:rFonts w:ascii="Times New Roman" w:hAnsi="Times New Roman" w:cs="Times New Roman" w:eastAsia="Times New Roman" w:hint="default"/>
          <w:spacing w:val="-1"/>
        </w:rPr>
        <w:t>337,254.48</w:t>
      </w:r>
      <w:r>
        <w:rPr>
          <w:spacing w:val="-1"/>
        </w:rPr>
        <w:t>元）。如果人民币对英镑升值或贬值</w:t>
      </w:r>
      <w:r>
        <w:rPr>
          <w:rFonts w:ascii="Times New Roman" w:hAnsi="Times New Roman" w:cs="Times New Roman" w:eastAsia="Times New Roman" w:hint="default"/>
          <w:spacing w:val="-1"/>
        </w:rPr>
        <w:t>1%</w:t>
      </w:r>
      <w:r>
        <w:rPr>
          <w:spacing w:val="-1"/>
        </w:rPr>
        <w:t>，则公司将增加或减少净利润</w:t>
      </w:r>
      <w:r>
        <w:rPr>
          <w:rFonts w:ascii="Times New Roman" w:hAnsi="Times New Roman" w:cs="Times New Roman" w:eastAsia="Times New Roman" w:hint="default"/>
          <w:spacing w:val="-1"/>
        </w:rPr>
        <w:t>0.38</w:t>
      </w:r>
      <w:r>
        <w:rPr>
          <w:spacing w:val="-1"/>
        </w:rPr>
        <w:t>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rFonts w:ascii="Times New Roman" w:hAnsi="Times New Roman" w:cs="Times New Roman" w:eastAsia="Times New Roman" w:hint="default"/>
          <w:spacing w:val="-1"/>
        </w:rPr>
        <w:t>0</w:t>
      </w:r>
      <w:r>
        <w:rPr>
          <w:spacing w:val="-1"/>
        </w:rPr>
        <w:t>元）。如</w:t>
      </w:r>
      <w:r>
        <w:rPr>
          <w:spacing w:val="-58"/>
        </w:rPr>
        <w:t> </w:t>
      </w:r>
      <w:r>
        <w:rPr>
          <w:spacing w:val="-58"/>
        </w:rPr>
      </w:r>
      <w:r>
        <w:rPr/>
        <w:t>果人民币对澳元升值或贬值</w:t>
      </w:r>
      <w:r>
        <w:rPr>
          <w:rFonts w:ascii="Times New Roman" w:hAnsi="Times New Roman" w:cs="Times New Roman" w:eastAsia="Times New Roman" w:hint="default"/>
        </w:rPr>
        <w:t>1%</w:t>
      </w:r>
      <w:r>
        <w:rPr/>
        <w:t>，则公司将增加或减少净利润</w:t>
      </w:r>
      <w:r>
        <w:rPr>
          <w:rFonts w:ascii="Times New Roman" w:hAnsi="Times New Roman" w:cs="Times New Roman" w:eastAsia="Times New Roman" w:hint="default"/>
        </w:rPr>
        <w:t>18.72</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0</w:t>
      </w:r>
      <w:r>
        <w:rPr/>
        <w:t>元）。管理层认为</w:t>
      </w:r>
      <w:r>
        <w:rPr>
          <w:rFonts w:ascii="Times New Roman" w:hAnsi="Times New Roman" w:cs="Times New Roman" w:eastAsia="Times New Roman" w:hint="default"/>
        </w:rPr>
        <w:t>1%</w:t>
      </w:r>
      <w:r>
        <w:rPr/>
        <w:t>合理反映 了下一年度人民币对美元可能发生变动的合理范围。</w:t>
      </w:r>
    </w:p>
    <w:p>
      <w:pPr>
        <w:pStyle w:val="BodyText"/>
        <w:spacing w:line="300" w:lineRule="auto" w:before="32"/>
        <w:ind w:left="267" w:right="9223" w:hanging="114"/>
        <w:jc w:val="left"/>
      </w:pPr>
      <w:r>
        <w:rPr/>
        <w:t>（</w:t>
      </w:r>
      <w:r>
        <w:rPr>
          <w:rFonts w:ascii="Times New Roman" w:hAnsi="Times New Roman" w:cs="Times New Roman" w:eastAsia="Times New Roman" w:hint="default"/>
        </w:rPr>
        <w:t>3</w:t>
      </w:r>
      <w:r>
        <w:rPr/>
        <w:t>）其他价格风险 无。</w:t>
      </w:r>
    </w:p>
    <w:p>
      <w:pPr>
        <w:spacing w:line="240" w:lineRule="auto" w:before="3"/>
        <w:rPr>
          <w:rFonts w:ascii="宋体" w:hAnsi="宋体" w:cs="宋体" w:eastAsia="宋体" w:hint="default"/>
          <w:sz w:val="26"/>
          <w:szCs w:val="26"/>
        </w:rPr>
      </w:pPr>
    </w:p>
    <w:p>
      <w:pPr>
        <w:pStyle w:val="BodyText"/>
        <w:spacing w:line="316" w:lineRule="auto"/>
        <w:ind w:left="267" w:right="0" w:hanging="114"/>
        <w:jc w:val="left"/>
      </w:pPr>
      <w:r>
        <w:rPr>
          <w:rFonts w:ascii="宋体" w:hAnsi="宋体" w:cs="宋体" w:eastAsia="宋体" w:hint="default"/>
          <w:b/>
          <w:bCs/>
        </w:rPr>
        <w:t>（三）流动性风险</w:t>
      </w:r>
      <w:r>
        <w:rPr>
          <w:rFonts w:ascii="宋体" w:hAnsi="宋体" w:cs="宋体" w:eastAsia="宋体" w:hint="default"/>
          <w:b/>
          <w:bCs/>
          <w:w w:val="99"/>
        </w:rPr>
        <w:t> </w:t>
      </w:r>
      <w:r>
        <w:rPr>
          <w:spacing w:val="-1"/>
        </w:rPr>
        <w:t>流动性风险，是指企业在履行以交付现金或其他金融资产的方式结算的义务时发生资金短缺的风险。本公司的政策是确保</w:t>
      </w:r>
      <w:r>
        <w:rPr/>
        <w:t> </w:t>
      </w:r>
      <w:r>
        <w:rPr>
          <w:spacing w:val="-1"/>
        </w:rPr>
        <w:t>拥有充足的现金以偿还到期债务。流动性风险由本公司的财务部门集中控制。财务部门通过监控现金余额、可随时变现的</w:t>
      </w:r>
      <w:r>
        <w:rPr/>
        <w:t> 有价证券以及对未来</w:t>
      </w:r>
      <w:r>
        <w:rPr>
          <w:rFonts w:ascii="Times New Roman" w:hAnsi="Times New Roman" w:cs="Times New Roman" w:eastAsia="Times New Roman" w:hint="default"/>
        </w:rPr>
        <w:t>12</w:t>
      </w:r>
      <w:r>
        <w:rPr/>
        <w:t>个月现金流量的滚动预测，确保公司在所有合理预测的情况下拥有充足的资金偿还债务。</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一、公允价值的披露" w:id="377"/>
      <w:bookmarkEnd w:id="377"/>
      <w:r>
        <w:rPr>
          <w:b w:val="0"/>
          <w:bCs w:val="0"/>
        </w:rPr>
      </w:r>
      <w:r>
        <w:rPr/>
        <w:t>十一、公允价值的披露</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2472"/>
        <w:jc w:val="left"/>
      </w:pPr>
      <w:r>
        <w:rPr/>
        <w:t>公允价值计量所使用的输入值划分为三个层次： 第一层次输入值是在计量日能够取得的相同资产或负债在活跃市场上未经调整的报价。 第二层次输入值是除第一层次输入值外相关资产或负债直接或间接可观察的输入值。 第三层次输入值是相关资产或负债的不可观察输入值。 公允价值计量结果所属的层次，由对公允价值计量整体而言具有重要意义的输入值所属的最低层次决定。</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十二、关联方及关联交易" w:id="378"/>
      <w:bookmarkEnd w:id="378"/>
      <w:r>
        <w:rPr>
          <w:b w:val="0"/>
          <w:bCs w:val="0"/>
        </w:rPr>
      </w:r>
      <w:r>
        <w:rPr/>
        <w:t>十二、关联方及关联交易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企业的母公司情况" w:id="379"/>
      <w:bookmarkEnd w:id="379"/>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北京久其科技投资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33"/>
              <w:jc w:val="right"/>
              <w:rPr>
                <w:rFonts w:ascii="宋体" w:hAnsi="宋体" w:cs="宋体" w:eastAsia="宋体" w:hint="default"/>
                <w:sz w:val="18"/>
                <w:szCs w:val="18"/>
              </w:rPr>
            </w:pP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23.13%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23.13%</w:t>
            </w:r>
          </w:p>
        </w:tc>
      </w:tr>
    </w:tbl>
    <w:p>
      <w:pPr>
        <w:pStyle w:val="BodyText"/>
        <w:spacing w:line="240" w:lineRule="auto" w:before="51"/>
        <w:ind w:right="0"/>
        <w:jc w:val="left"/>
      </w:pPr>
      <w:r>
        <w:rPr/>
        <w:t>本企业的母公司情况的说明</w:t>
      </w:r>
    </w:p>
    <w:p>
      <w:pPr>
        <w:spacing w:line="240" w:lineRule="auto" w:before="0"/>
        <w:rPr>
          <w:rFonts w:ascii="宋体" w:hAnsi="宋体" w:cs="宋体" w:eastAsia="宋体" w:hint="default"/>
          <w:sz w:val="8"/>
          <w:szCs w:val="8"/>
        </w:rPr>
      </w:pPr>
    </w:p>
    <w:tbl>
      <w:tblPr>
        <w:tblW w:w="0" w:type="auto"/>
        <w:jc w:val="left"/>
        <w:tblInd w:w="139" w:type="dxa"/>
        <w:tblLayout w:type="fixed"/>
        <w:tblCellMar>
          <w:top w:w="0" w:type="dxa"/>
          <w:left w:w="0" w:type="dxa"/>
          <w:bottom w:w="0" w:type="dxa"/>
          <w:right w:w="0" w:type="dxa"/>
        </w:tblCellMar>
        <w:tblLook w:val="01E0"/>
      </w:tblPr>
      <w:tblGrid>
        <w:gridCol w:w="1162"/>
        <w:gridCol w:w="860"/>
        <w:gridCol w:w="601"/>
        <w:gridCol w:w="667"/>
        <w:gridCol w:w="797"/>
        <w:gridCol w:w="710"/>
        <w:gridCol w:w="1003"/>
        <w:gridCol w:w="1003"/>
        <w:gridCol w:w="840"/>
        <w:gridCol w:w="838"/>
        <w:gridCol w:w="1176"/>
      </w:tblGrid>
      <w:tr>
        <w:trPr>
          <w:trHeight w:val="1046" w:hRule="exact"/>
        </w:trPr>
        <w:tc>
          <w:tcPr>
            <w:tcW w:w="11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26"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8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5"/>
                <w:szCs w:val="15"/>
              </w:rPr>
            </w:pPr>
          </w:p>
          <w:p>
            <w:pPr>
              <w:pStyle w:val="TableParagraph"/>
              <w:spacing w:line="360" w:lineRule="auto"/>
              <w:ind w:left="244" w:right="245"/>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6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5"/>
                <w:szCs w:val="15"/>
              </w:rPr>
            </w:pPr>
          </w:p>
          <w:p>
            <w:pPr>
              <w:pStyle w:val="TableParagraph"/>
              <w:spacing w:line="360" w:lineRule="auto"/>
              <w:ind w:left="115" w:right="114"/>
              <w:jc w:val="left"/>
              <w:rPr>
                <w:rFonts w:ascii="宋体" w:hAnsi="宋体" w:cs="宋体" w:eastAsia="宋体" w:hint="default"/>
                <w:sz w:val="18"/>
                <w:szCs w:val="18"/>
              </w:rPr>
            </w:pPr>
            <w:r>
              <w:rPr>
                <w:rFonts w:ascii="宋体" w:hAnsi="宋体" w:cs="宋体" w:eastAsia="宋体" w:hint="default"/>
                <w:sz w:val="18"/>
                <w:szCs w:val="18"/>
              </w:rPr>
              <w:t>企业 类型</w:t>
            </w:r>
          </w:p>
        </w:tc>
        <w:tc>
          <w:tcPr>
            <w:tcW w:w="6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7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5"/>
                <w:szCs w:val="15"/>
              </w:rPr>
            </w:pPr>
          </w:p>
          <w:p>
            <w:pPr>
              <w:pStyle w:val="TableParagraph"/>
              <w:spacing w:line="360" w:lineRule="auto"/>
              <w:ind w:left="123" w:right="123" w:firstLine="90"/>
              <w:jc w:val="left"/>
              <w:rPr>
                <w:rFonts w:ascii="宋体" w:hAnsi="宋体" w:cs="宋体" w:eastAsia="宋体" w:hint="default"/>
                <w:sz w:val="18"/>
                <w:szCs w:val="18"/>
              </w:rPr>
            </w:pPr>
            <w:r>
              <w:rPr>
                <w:rFonts w:ascii="宋体" w:hAnsi="宋体" w:cs="宋体" w:eastAsia="宋体" w:hint="default"/>
                <w:sz w:val="18"/>
                <w:szCs w:val="18"/>
              </w:rPr>
              <w:t>法定 代表人</w:t>
            </w:r>
          </w:p>
        </w:tc>
        <w:tc>
          <w:tcPr>
            <w:tcW w:w="7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5"/>
                <w:szCs w:val="15"/>
              </w:rPr>
            </w:pPr>
          </w:p>
          <w:p>
            <w:pPr>
              <w:pStyle w:val="TableParagraph"/>
              <w:spacing w:line="360" w:lineRule="auto"/>
              <w:ind w:left="170" w:right="168"/>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10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6"/>
                <w:szCs w:val="16"/>
              </w:rPr>
            </w:pPr>
          </w:p>
          <w:p>
            <w:pPr>
              <w:pStyle w:val="TableParagraph"/>
              <w:spacing w:line="300" w:lineRule="auto"/>
              <w:ind w:left="375" w:right="17"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注册资本</w:t>
            </w:r>
            <w:r>
              <w:rPr>
                <w:rFonts w:ascii="Times New Roman" w:hAnsi="Times New Roman" w:cs="Times New Roman" w:eastAsia="Times New Roman" w:hint="default"/>
                <w:sz w:val="18"/>
                <w:szCs w:val="18"/>
              </w:rPr>
              <w:t>(</w:t>
            </w:r>
            <w:r>
              <w:rPr>
                <w:rFonts w:ascii="宋体" w:hAnsi="宋体" w:cs="宋体" w:eastAsia="宋体" w:hint="default"/>
                <w:sz w:val="18"/>
                <w:szCs w:val="18"/>
              </w:rPr>
              <w:t>万 元</w:t>
            </w:r>
            <w:r>
              <w:rPr>
                <w:rFonts w:ascii="Times New Roman" w:hAnsi="Times New Roman" w:cs="Times New Roman" w:eastAsia="Times New Roman" w:hint="default"/>
                <w:sz w:val="18"/>
                <w:szCs w:val="18"/>
              </w:rPr>
              <w:t>)</w:t>
            </w:r>
          </w:p>
        </w:tc>
        <w:tc>
          <w:tcPr>
            <w:tcW w:w="10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61"/>
              <w:ind w:left="45" w:right="47"/>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母公司对本 公司的持股 比例</w:t>
            </w:r>
            <w:r>
              <w:rPr>
                <w:rFonts w:ascii="Times New Roman" w:hAnsi="Times New Roman" w:cs="Times New Roman" w:eastAsia="Times New Roman" w:hint="default"/>
                <w:sz w:val="18"/>
                <w:szCs w:val="18"/>
              </w:rPr>
              <w:t>(%)</w:t>
            </w:r>
          </w:p>
        </w:tc>
        <w:tc>
          <w:tcPr>
            <w:tcW w:w="8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61"/>
              <w:ind w:left="54" w:right="54"/>
              <w:jc w:val="both"/>
              <w:rPr>
                <w:rFonts w:ascii="Times New Roman" w:hAnsi="Times New Roman" w:cs="Times New Roman" w:eastAsia="Times New Roman" w:hint="default"/>
                <w:sz w:val="18"/>
                <w:szCs w:val="18"/>
              </w:rPr>
            </w:pPr>
            <w:r>
              <w:rPr>
                <w:rFonts w:ascii="宋体" w:hAnsi="宋体" w:cs="宋体" w:eastAsia="宋体" w:hint="default"/>
                <w:sz w:val="18"/>
                <w:szCs w:val="18"/>
              </w:rPr>
              <w:t>对本公司 的表决权 比例</w:t>
            </w:r>
            <w:r>
              <w:rPr>
                <w:rFonts w:ascii="Times New Roman" w:hAnsi="Times New Roman" w:cs="Times New Roman" w:eastAsia="Times New Roman" w:hint="default"/>
                <w:sz w:val="18"/>
                <w:szCs w:val="18"/>
              </w:rPr>
              <w:t>(%)</w:t>
            </w:r>
          </w:p>
        </w:tc>
        <w:tc>
          <w:tcPr>
            <w:tcW w:w="8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53" w:right="53"/>
              <w:jc w:val="left"/>
              <w:rPr>
                <w:rFonts w:ascii="宋体" w:hAnsi="宋体" w:cs="宋体" w:eastAsia="宋体" w:hint="default"/>
                <w:sz w:val="18"/>
                <w:szCs w:val="18"/>
              </w:rPr>
            </w:pPr>
            <w:r>
              <w:rPr>
                <w:rFonts w:ascii="宋体" w:hAnsi="宋体" w:cs="宋体" w:eastAsia="宋体" w:hint="default"/>
                <w:sz w:val="18"/>
                <w:szCs w:val="18"/>
              </w:rPr>
              <w:t>本公司最 终控制方</w:t>
            </w:r>
          </w:p>
        </w:tc>
        <w:tc>
          <w:tcPr>
            <w:tcW w:w="1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402" w:right="42" w:hanging="360"/>
              <w:jc w:val="left"/>
              <w:rPr>
                <w:rFonts w:ascii="宋体" w:hAnsi="宋体" w:cs="宋体" w:eastAsia="宋体" w:hint="default"/>
                <w:sz w:val="18"/>
                <w:szCs w:val="18"/>
              </w:rPr>
            </w:pPr>
            <w:r>
              <w:rPr>
                <w:rFonts w:ascii="宋体" w:hAnsi="宋体" w:cs="宋体" w:eastAsia="宋体" w:hint="default"/>
                <w:sz w:val="18"/>
                <w:szCs w:val="18"/>
              </w:rPr>
              <w:t>统一社会信用 代码</w:t>
            </w:r>
          </w:p>
        </w:tc>
      </w:tr>
      <w:tr>
        <w:trPr>
          <w:trHeight w:val="654"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65"/>
              <w:jc w:val="left"/>
              <w:rPr>
                <w:rFonts w:ascii="宋体" w:hAnsi="宋体" w:cs="宋体" w:eastAsia="宋体" w:hint="default"/>
                <w:sz w:val="18"/>
                <w:szCs w:val="18"/>
              </w:rPr>
            </w:pPr>
            <w:r>
              <w:rPr>
                <w:rFonts w:ascii="宋体" w:hAnsi="宋体" w:cs="宋体" w:eastAsia="宋体" w:hint="default"/>
                <w:sz w:val="18"/>
                <w:szCs w:val="18"/>
              </w:rPr>
              <w:t>北京久其科技 投资有限公司</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54"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5" w:right="24"/>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董泰湘</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10,000.00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23.13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23.13</w:t>
            </w:r>
          </w:p>
        </w:tc>
        <w:tc>
          <w:tcPr>
            <w:tcW w:w="83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911101086336</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1327XD</w:t>
            </w:r>
          </w:p>
        </w:tc>
      </w:tr>
      <w:tr>
        <w:trPr>
          <w:trHeight w:val="654"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董泰湘</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154" w:right="155" w:firstLine="90"/>
              <w:jc w:val="left"/>
              <w:rPr>
                <w:rFonts w:ascii="宋体" w:hAnsi="宋体" w:cs="宋体" w:eastAsia="宋体" w:hint="default"/>
                <w:sz w:val="18"/>
                <w:szCs w:val="18"/>
              </w:rPr>
            </w:pPr>
            <w:r>
              <w:rPr>
                <w:rFonts w:ascii="宋体" w:hAnsi="宋体" w:cs="宋体" w:eastAsia="宋体" w:hint="default"/>
                <w:sz w:val="18"/>
                <w:szCs w:val="18"/>
              </w:rPr>
              <w:t>实际 控制人</w:t>
            </w:r>
          </w:p>
        </w:tc>
        <w:tc>
          <w:tcPr>
            <w:tcW w:w="60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15.13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15.13</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154" w:right="155" w:firstLine="90"/>
              <w:jc w:val="left"/>
              <w:rPr>
                <w:rFonts w:ascii="宋体" w:hAnsi="宋体" w:cs="宋体" w:eastAsia="宋体" w:hint="default"/>
                <w:sz w:val="18"/>
                <w:szCs w:val="18"/>
              </w:rPr>
            </w:pPr>
            <w:r>
              <w:rPr>
                <w:rFonts w:ascii="宋体" w:hAnsi="宋体" w:cs="宋体" w:eastAsia="宋体" w:hint="default"/>
                <w:sz w:val="18"/>
                <w:szCs w:val="18"/>
              </w:rPr>
              <w:t>实际 控制人</w:t>
            </w:r>
          </w:p>
        </w:tc>
        <w:tc>
          <w:tcPr>
            <w:tcW w:w="60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11.00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11.00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7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本企业最终控制方是董泰湘、赵福君。</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本企业的子公司情况" w:id="380"/>
      <w:bookmarkEnd w:id="380"/>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本企业子公司的情况详见本节 </w:t>
      </w:r>
      <w:r>
        <w:rPr>
          <w:rFonts w:ascii="Times New Roman" w:hAnsi="Times New Roman" w:cs="Times New Roman" w:eastAsia="Times New Roman" w:hint="default"/>
          <w:spacing w:val="-1"/>
          <w:w w:val="100"/>
        </w:rPr>
        <w:t>“</w:t>
      </w:r>
      <w:r>
        <w:rPr/>
        <w:t>九、在</w:t>
      </w:r>
      <w:r>
        <w:rPr>
          <w:spacing w:val="1"/>
        </w:rPr>
        <w:t>其</w:t>
      </w:r>
      <w:r>
        <w:rPr/>
        <w:t>他主体中的权益</w:t>
      </w:r>
      <w:r>
        <w:rPr>
          <w:rFonts w:ascii="Times New Roman" w:hAnsi="Times New Roman" w:cs="Times New Roman" w:eastAsia="Times New Roman" w:hint="default"/>
          <w:w w:val="100"/>
        </w:rPr>
        <w:t>”</w:t>
      </w:r>
      <w:r>
        <w:rPr>
          <w:spacing w:val="-90"/>
        </w:rPr>
        <w:t>。。</w:t>
      </w:r>
      <w:r>
        <w:rPr/>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spacing w:line="547" w:lineRule="auto" w:before="35"/>
        <w:ind w:left="154" w:right="3592" w:firstLine="0"/>
        <w:jc w:val="left"/>
        <w:rPr>
          <w:rFonts w:ascii="宋体" w:hAnsi="宋体" w:cs="宋体" w:eastAsia="宋体" w:hint="default"/>
          <w:sz w:val="21"/>
          <w:szCs w:val="21"/>
        </w:rPr>
      </w:pPr>
      <w:bookmarkStart w:name="3、本企业合营和联营企业情况" w:id="381"/>
      <w:bookmarkEnd w:id="38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b/>
          <w:bCs/>
          <w:w w:val="99"/>
          <w:sz w:val="21"/>
          <w:szCs w:val="21"/>
        </w:rPr>
        <w:t> </w:t>
      </w:r>
      <w:r>
        <w:rPr>
          <w:rFonts w:ascii="宋体" w:hAnsi="宋体" w:cs="宋体" w:eastAsia="宋体" w:hint="default"/>
          <w:spacing w:val="-6"/>
          <w:w w:val="100"/>
          <w:sz w:val="18"/>
          <w:szCs w:val="18"/>
        </w:rPr>
        <w:t>本企业重要的合营或联营企业详见本节</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九、在其他主体中的权益</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w:t>
      </w:r>
      <w:bookmarkStart w:name="4、其他关联方情况" w:id="382"/>
      <w:bookmarkEnd w:id="382"/>
      <w:r>
        <w:rPr>
          <w:rFonts w:ascii="宋体" w:hAnsi="宋体" w:cs="宋体" w:eastAsia="宋体" w:hint="default"/>
          <w:spacing w:val="-6"/>
          <w:w w:val="100"/>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0"/>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北京久其移动商务科技有限公司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同受母公司控制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中交信通网络科技有限公司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母公司的参股企业</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5、关联交易情况" w:id="383"/>
      <w:bookmarkEnd w:id="383"/>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384"/>
      <w:bookmarkEnd w:id="384"/>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北京久其移动商务 科技有限公司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0" w:right="0"/>
              <w:jc w:val="left"/>
              <w:rPr>
                <w:rFonts w:ascii="Times New Roman" w:hAnsi="Times New Roman" w:cs="Times New Roman" w:eastAsia="Times New Roman" w:hint="default"/>
                <w:sz w:val="18"/>
                <w:szCs w:val="18"/>
              </w:rPr>
            </w:pPr>
            <w:r>
              <w:rPr>
                <w:rFonts w:ascii="Times New Roman"/>
                <w:sz w:val="18"/>
              </w:rPr>
              <w:t>379,773.10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63" w:right="0"/>
              <w:jc w:val="left"/>
              <w:rPr>
                <w:rFonts w:ascii="Times New Roman" w:hAnsi="Times New Roman" w:cs="Times New Roman" w:eastAsia="Times New Roman" w:hint="default"/>
                <w:sz w:val="18"/>
                <w:szCs w:val="18"/>
              </w:rPr>
            </w:pPr>
            <w:r>
              <w:rPr>
                <w:rFonts w:ascii="Times New Roman"/>
                <w:sz w:val="18"/>
              </w:rPr>
              <w:t>700,000.00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63" w:right="0"/>
              <w:jc w:val="left"/>
              <w:rPr>
                <w:rFonts w:ascii="Times New Roman" w:hAnsi="Times New Roman" w:cs="Times New Roman" w:eastAsia="Times New Roman" w:hint="default"/>
                <w:sz w:val="18"/>
                <w:szCs w:val="18"/>
              </w:rPr>
            </w:pPr>
            <w:r>
              <w:rPr>
                <w:rFonts w:ascii="Times New Roman"/>
                <w:sz w:val="18"/>
              </w:rPr>
              <w:t>374,682.80</w:t>
            </w:r>
          </w:p>
        </w:tc>
      </w:tr>
    </w:tbl>
    <w:p>
      <w:pPr>
        <w:pStyle w:val="BodyText"/>
        <w:spacing w:line="240" w:lineRule="auto" w:before="51"/>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北京久其移动商务科技有限公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4,528.30</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中交信通网络科技有限公司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1,032,628.51</w:t>
            </w:r>
          </w:p>
        </w:tc>
        <w:tc>
          <w:tcPr>
            <w:tcW w:w="26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关联租赁情况" w:id="385"/>
      <w:bookmarkEnd w:id="385"/>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本公司作为出租方：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中交信通网络科技有限公司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6" w:right="0"/>
              <w:jc w:val="left"/>
              <w:rPr>
                <w:rFonts w:ascii="Times New Roman" w:hAnsi="Times New Roman" w:cs="Times New Roman" w:eastAsia="Times New Roman" w:hint="default"/>
                <w:sz w:val="18"/>
                <w:szCs w:val="18"/>
              </w:rPr>
            </w:pPr>
            <w:r>
              <w:rPr>
                <w:rFonts w:ascii="Times New Roman"/>
                <w:sz w:val="18"/>
              </w:rPr>
              <w:t>2,597,607.60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5" w:right="0"/>
              <w:jc w:val="left"/>
              <w:rPr>
                <w:rFonts w:ascii="Times New Roman" w:hAnsi="Times New Roman" w:cs="Times New Roman" w:eastAsia="Times New Roman" w:hint="default"/>
                <w:sz w:val="18"/>
                <w:szCs w:val="18"/>
              </w:rPr>
            </w:pPr>
            <w:r>
              <w:rPr>
                <w:rFonts w:ascii="Times New Roman"/>
                <w:sz w:val="18"/>
              </w:rPr>
              <w:t>2,597,608.56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关联担保情况" w:id="386"/>
      <w:bookmarkEnd w:id="386"/>
      <w:r>
        <w:rPr>
          <w:b w:val="0"/>
          <w:bCs w:val="0"/>
        </w:rPr>
      </w:r>
      <w:r>
        <w:rPr/>
        <w:t>（</w:t>
      </w:r>
      <w:r>
        <w:rPr>
          <w:rFonts w:ascii="Times New Roman" w:hAnsi="Times New Roman" w:cs="Times New Roman" w:eastAsia="Times New Roman" w:hint="default"/>
        </w:rPr>
        <w:t>3</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本公司作为担保方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深圳市久金保商业保理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7" w:right="0"/>
              <w:jc w:val="left"/>
              <w:rPr>
                <w:rFonts w:ascii="Times New Roman" w:hAnsi="Times New Roman" w:cs="Times New Roman" w:eastAsia="Times New Roman" w:hint="default"/>
                <w:sz w:val="18"/>
                <w:szCs w:val="18"/>
              </w:rPr>
            </w:pPr>
            <w:r>
              <w:rPr>
                <w:rFonts w:ascii="Times New Roman"/>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深圳市久金保商业保理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7" w:right="0"/>
              <w:jc w:val="left"/>
              <w:rPr>
                <w:rFonts w:ascii="Times New Roman" w:hAnsi="Times New Roman" w:cs="Times New Roman" w:eastAsia="Times New Roman" w:hint="default"/>
                <w:sz w:val="18"/>
                <w:szCs w:val="18"/>
              </w:rPr>
            </w:pPr>
            <w:r>
              <w:rPr>
                <w:rFonts w:ascii="Times New Roman"/>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关键管理人员报酬" w:id="387"/>
      <w:bookmarkEnd w:id="387"/>
      <w:r>
        <w:rPr>
          <w:b w:val="0"/>
          <w:bCs w:val="0"/>
        </w:rPr>
      </w:r>
      <w:r>
        <w:rPr/>
        <w:t>（</w:t>
      </w:r>
      <w:r>
        <w:rPr>
          <w:rFonts w:ascii="Times New Roman" w:hAnsi="Times New Roman" w:cs="Times New Roman" w:eastAsia="Times New Roman" w:hint="default"/>
        </w:rPr>
        <w:t>4</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8,091,438.51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6,631,695.34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其他关联交易" w:id="388"/>
      <w:bookmarkEnd w:id="388"/>
      <w:r>
        <w:rPr>
          <w:b w:val="0"/>
          <w:bCs w:val="0"/>
        </w:rPr>
      </w:r>
      <w:r>
        <w:rPr/>
        <w:t>（</w:t>
      </w:r>
      <w:r>
        <w:rPr>
          <w:rFonts w:ascii="Times New Roman" w:hAnsi="Times New Roman" w:cs="Times New Roman" w:eastAsia="Times New Roman" w:hint="default"/>
        </w:rPr>
        <w:t>5</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6</w:t>
      </w:r>
      <w:r>
        <w:rPr/>
        <w:t>日，公司第六届董事会第二十一次（临时）会议通过了《关于收购上海移通</w:t>
      </w:r>
      <w:r>
        <w:rPr>
          <w:rFonts w:ascii="Times New Roman" w:hAnsi="Times New Roman" w:cs="Times New Roman" w:eastAsia="Times New Roman" w:hint="default"/>
        </w:rPr>
        <w:t>49%</w:t>
      </w:r>
      <w:r>
        <w:rPr/>
        <w:t>股权暨关联交易的议案》， </w:t>
      </w:r>
      <w:r>
        <w:rPr>
          <w:spacing w:val="-2"/>
        </w:rPr>
        <w:t>公司与控股股东北京久其科技投资有限公司签署了《股权转让协议》，以自有及自筹资金的方式按照</w:t>
      </w:r>
      <w:r>
        <w:rPr>
          <w:rFonts w:ascii="Times New Roman" w:hAnsi="Times New Roman" w:cs="Times New Roman" w:eastAsia="Times New Roman" w:hint="default"/>
          <w:spacing w:val="-2"/>
        </w:rPr>
        <w:t>80,000.00</w:t>
      </w:r>
      <w:r>
        <w:rPr>
          <w:spacing w:val="-2"/>
        </w:rPr>
        <w:t>万元人民币的</w:t>
      </w:r>
      <w:r>
        <w:rPr>
          <w:spacing w:val="-57"/>
        </w:rPr>
        <w:t> </w:t>
      </w:r>
      <w:r>
        <w:rPr>
          <w:spacing w:val="-57"/>
        </w:rPr>
      </w:r>
      <w:r>
        <w:rPr/>
        <w:t>对价收购北京久其科技投资有限公司持有的上海移通</w:t>
      </w:r>
      <w:r>
        <w:rPr>
          <w:rFonts w:ascii="Times New Roman" w:hAnsi="Times New Roman" w:cs="Times New Roman" w:eastAsia="Times New Roman" w:hint="default"/>
        </w:rPr>
        <w:t>49%</w:t>
      </w:r>
      <w:r>
        <w:rPr/>
        <w:t>股权。 </w:t>
      </w:r>
      <w:r>
        <w:rPr>
          <w:rFonts w:ascii="Times New Roman" w:hAnsi="Times New Roman" w:cs="Times New Roman" w:eastAsia="Times New Roman" w:hint="default"/>
          <w:spacing w:val="-5"/>
        </w:rPr>
        <w:t>2</w:t>
      </w:r>
      <w:r>
        <w:rPr>
          <w:spacing w:val="-5"/>
        </w:rPr>
        <w:t>、</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6</w:t>
      </w:r>
      <w:r>
        <w:rPr>
          <w:spacing w:val="-5"/>
        </w:rPr>
        <w:t>月，根据</w:t>
      </w:r>
      <w:r>
        <w:rPr>
          <w:rFonts w:ascii="Times New Roman" w:hAnsi="Times New Roman" w:cs="Times New Roman" w:eastAsia="Times New Roman" w:hint="default"/>
          <w:spacing w:val="-5"/>
        </w:rPr>
        <w:t>2017</w:t>
      </w:r>
      <w:r>
        <w:rPr>
          <w:spacing w:val="-5"/>
        </w:rPr>
        <w:t>年度股东大会决议通过的《关于定向回购王新、李勇</w:t>
      </w:r>
      <w:r>
        <w:rPr>
          <w:rFonts w:ascii="Times New Roman" w:hAnsi="Times New Roman" w:cs="Times New Roman" w:eastAsia="Times New Roman" w:hint="default"/>
          <w:spacing w:val="-5"/>
        </w:rPr>
        <w:t>2017</w:t>
      </w:r>
      <w:r>
        <w:rPr>
          <w:spacing w:val="-5"/>
        </w:rPr>
        <w:t>年度应补偿股份暨关联交易的议案》及《关</w:t>
      </w:r>
      <w:r>
        <w:rPr>
          <w:spacing w:val="-45"/>
        </w:rPr>
        <w:t> </w:t>
      </w:r>
      <w:r>
        <w:rPr>
          <w:spacing w:val="-45"/>
        </w:rPr>
      </w:r>
      <w:r>
        <w:rPr/>
        <w:t>于回购注销部分激励对象已获授但尚未解锁的限制性股票的议案》，公司以</w:t>
      </w:r>
      <w:r>
        <w:rPr>
          <w:rFonts w:ascii="Times New Roman" w:hAnsi="Times New Roman" w:cs="Times New Roman" w:eastAsia="Times New Roman" w:hint="default"/>
        </w:rPr>
        <w:t>1</w:t>
      </w:r>
      <w:r>
        <w:rPr/>
        <w:t>元总价回购股东王新</w:t>
      </w:r>
      <w:r>
        <w:rPr>
          <w:rFonts w:ascii="Times New Roman" w:hAnsi="Times New Roman" w:cs="Times New Roman" w:eastAsia="Times New Roman" w:hint="default"/>
        </w:rPr>
        <w:t>104,124.00</w:t>
      </w:r>
      <w:r>
        <w:rPr/>
        <w:t>股及股东李勇 </w:t>
      </w:r>
      <w:r>
        <w:rPr>
          <w:rFonts w:ascii="Times New Roman" w:hAnsi="Times New Roman" w:cs="Times New Roman" w:eastAsia="Times New Roman" w:hint="default"/>
        </w:rPr>
        <w:t>78,549.00</w:t>
      </w:r>
      <w:r>
        <w:rPr/>
        <w:t>股并予以注销，本次回购注销股份小计</w:t>
      </w:r>
      <w:r>
        <w:rPr>
          <w:rFonts w:ascii="Times New Roman" w:hAnsi="Times New Roman" w:cs="Times New Roman" w:eastAsia="Times New Roman" w:hint="default"/>
        </w:rPr>
        <w:t>182,673.00</w:t>
      </w:r>
      <w:r>
        <w:rPr/>
        <w:t>股。</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6、关联方应收应付款项" w:id="389"/>
      <w:bookmarkEnd w:id="389"/>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应付项目" w:id="390"/>
      <w:bookmarkEnd w:id="390"/>
      <w:r>
        <w:rPr>
          <w:b w:val="0"/>
          <w:bCs w:val="0"/>
        </w:rPr>
      </w:r>
      <w:r>
        <w:rPr/>
        <w:t>（</w:t>
      </w:r>
      <w:r>
        <w:rPr>
          <w:rFonts w:ascii="Times New Roman" w:hAnsi="Times New Roman" w:cs="Times New Roman" w:eastAsia="Times New Roman" w:hint="default"/>
        </w:rPr>
        <w:t>1</w:t>
      </w:r>
      <w:r>
        <w:rPr/>
        <w:t>）应付项目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584"/>
        <w:gridCol w:w="4269"/>
        <w:gridCol w:w="1959"/>
        <w:gridCol w:w="1883"/>
      </w:tblGrid>
      <w:tr>
        <w:trPr>
          <w:trHeight w:val="402"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4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9695"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r>
      <w:tr>
        <w:trPr>
          <w:trHeight w:val="402" w:hRule="exact"/>
        </w:trPr>
        <w:tc>
          <w:tcPr>
            <w:tcW w:w="1584" w:type="dxa"/>
            <w:tcBorders>
              <w:top w:val="single" w:sz="4" w:space="0" w:color="000000"/>
              <w:left w:val="single" w:sz="4" w:space="0" w:color="000000"/>
              <w:bottom w:val="single" w:sz="4" w:space="0" w:color="000000"/>
              <w:right w:val="single" w:sz="4" w:space="0" w:color="000000"/>
            </w:tcBorders>
          </w:tcPr>
          <w:p>
            <w:pPr/>
          </w:p>
        </w:tc>
        <w:tc>
          <w:tcPr>
            <w:tcW w:w="4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北京久其移动商务科技有限公司</w:t>
            </w:r>
          </w:p>
        </w:tc>
        <w:tc>
          <w:tcPr>
            <w:tcW w:w="1959" w:type="dxa"/>
            <w:tcBorders>
              <w:top w:val="single" w:sz="4" w:space="0" w:color="000000"/>
              <w:left w:val="single" w:sz="4" w:space="0" w:color="000000"/>
              <w:bottom w:val="single" w:sz="4" w:space="0" w:color="000000"/>
              <w:right w:val="single" w:sz="4" w:space="0" w:color="000000"/>
            </w:tcBorders>
          </w:tcPr>
          <w:p>
            <w:pP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0" w:right="0"/>
              <w:jc w:val="left"/>
              <w:rPr>
                <w:rFonts w:ascii="Times New Roman" w:hAnsi="Times New Roman" w:cs="Times New Roman" w:eastAsia="Times New Roman" w:hint="default"/>
                <w:sz w:val="18"/>
                <w:szCs w:val="18"/>
              </w:rPr>
            </w:pPr>
            <w:r>
              <w:rPr>
                <w:rFonts w:ascii="Times New Roman"/>
                <w:sz w:val="18"/>
              </w:rPr>
              <w:t>153,022.50</w:t>
            </w:r>
          </w:p>
        </w:tc>
      </w:tr>
      <w:tr>
        <w:trPr>
          <w:trHeight w:val="402" w:hRule="exact"/>
        </w:trPr>
        <w:tc>
          <w:tcPr>
            <w:tcW w:w="9695"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r>
      <w:tr>
        <w:trPr>
          <w:trHeight w:val="402" w:hRule="exact"/>
        </w:trPr>
        <w:tc>
          <w:tcPr>
            <w:tcW w:w="1584" w:type="dxa"/>
            <w:tcBorders>
              <w:top w:val="single" w:sz="4" w:space="0" w:color="000000"/>
              <w:left w:val="single" w:sz="4" w:space="0" w:color="000000"/>
              <w:bottom w:val="single" w:sz="4" w:space="0" w:color="000000"/>
              <w:right w:val="single" w:sz="4" w:space="0" w:color="000000"/>
            </w:tcBorders>
          </w:tcPr>
          <w:p>
            <w:pPr/>
          </w:p>
        </w:tc>
        <w:tc>
          <w:tcPr>
            <w:tcW w:w="4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北京久其科技投资有限公司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232,000,000.00</w:t>
            </w:r>
          </w:p>
        </w:tc>
        <w:tc>
          <w:tcPr>
            <w:tcW w:w="18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4" w:type="dxa"/>
            <w:tcBorders>
              <w:top w:val="single" w:sz="4" w:space="0" w:color="000000"/>
              <w:left w:val="single" w:sz="4" w:space="0" w:color="000000"/>
              <w:bottom w:val="single" w:sz="4" w:space="0" w:color="000000"/>
              <w:right w:val="single" w:sz="4" w:space="0" w:color="000000"/>
            </w:tcBorders>
          </w:tcPr>
          <w:p>
            <w:pPr/>
          </w:p>
        </w:tc>
        <w:tc>
          <w:tcPr>
            <w:tcW w:w="4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北京久其移动商务科技有限公司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c>
          <w:tcPr>
            <w:tcW w:w="18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95"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r>
      <w:tr>
        <w:trPr>
          <w:trHeight w:val="402" w:hRule="exact"/>
        </w:trPr>
        <w:tc>
          <w:tcPr>
            <w:tcW w:w="1584" w:type="dxa"/>
            <w:tcBorders>
              <w:top w:val="single" w:sz="4" w:space="0" w:color="000000"/>
              <w:left w:val="single" w:sz="4" w:space="0" w:color="000000"/>
              <w:bottom w:val="single" w:sz="4" w:space="0" w:color="000000"/>
              <w:right w:val="single" w:sz="4" w:space="0" w:color="000000"/>
            </w:tcBorders>
          </w:tcPr>
          <w:p>
            <w:pPr/>
          </w:p>
        </w:tc>
        <w:tc>
          <w:tcPr>
            <w:tcW w:w="4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北京久其移动商务科技有限公司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w:t>
            </w:r>
          </w:p>
        </w:tc>
        <w:tc>
          <w:tcPr>
            <w:tcW w:w="188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关联方承诺" w:id="391"/>
      <w:bookmarkEnd w:id="391"/>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0"/>
        <w:jc w:val="left"/>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6</w:t>
      </w:r>
      <w:r>
        <w:rPr>
          <w:spacing w:val="-2"/>
        </w:rPr>
        <w:t>日，经公司</w:t>
      </w:r>
      <w:r>
        <w:rPr>
          <w:rFonts w:ascii="Times New Roman" w:hAnsi="Times New Roman" w:cs="Times New Roman" w:eastAsia="Times New Roman" w:hint="default"/>
          <w:spacing w:val="-2"/>
        </w:rPr>
        <w:t>2017</w:t>
      </w:r>
      <w:r>
        <w:rPr>
          <w:spacing w:val="-2"/>
        </w:rPr>
        <w:t>年第四次临时股东大会审议通过了《关于公司符合配股发行条件的议案》、《关于公司配</w:t>
      </w:r>
      <w:r>
        <w:rPr>
          <w:spacing w:val="-56"/>
        </w:rPr>
        <w:t> </w:t>
      </w:r>
      <w:r>
        <w:rPr>
          <w:spacing w:val="-56"/>
        </w:rPr>
      </w:r>
      <w:r>
        <w:rPr>
          <w:spacing w:val="-8"/>
        </w:rPr>
        <w:t>股发行方案的议案》、《关于公司配股公开发行证券预案的议案》、《关于公司配股募集资金使用的可行性分析报告的议案》、</w:t>
      </w:r>
    </w:p>
    <w:p>
      <w:pPr>
        <w:pStyle w:val="BodyText"/>
        <w:spacing w:line="307" w:lineRule="auto" w:before="32"/>
        <w:ind w:right="1117"/>
        <w:jc w:val="left"/>
      </w:pPr>
      <w:r>
        <w:rPr>
          <w:spacing w:val="-1"/>
        </w:rPr>
        <w:t>《关于收购上海移通</w:t>
      </w:r>
      <w:r>
        <w:rPr>
          <w:rFonts w:ascii="Times New Roman" w:hAnsi="Times New Roman" w:cs="Times New Roman" w:eastAsia="Times New Roman" w:hint="default"/>
          <w:spacing w:val="-1"/>
        </w:rPr>
        <w:t>49%</w:t>
      </w:r>
      <w:r>
        <w:rPr>
          <w:spacing w:val="-1"/>
        </w:rPr>
        <w:t>股权暨关联交易并与久其科技签署附生效条件的股权转让协议的议案》、《关于提请股东大会授权</w:t>
      </w:r>
      <w:r>
        <w:rPr>
          <w:spacing w:val="-87"/>
        </w:rPr>
        <w:t> </w:t>
      </w:r>
      <w:r>
        <w:rPr>
          <w:spacing w:val="-87"/>
        </w:rPr>
      </w:r>
      <w:r>
        <w:rPr>
          <w:spacing w:val="-1"/>
        </w:rPr>
        <w:t>董事会全权办理公司配股相关事宜的议案》，公司拟以发行配股募集资金收购久其科技持有的上海移通网络有限公司</w:t>
      </w:r>
      <w:r>
        <w:rPr>
          <w:rFonts w:ascii="Times New Roman" w:hAnsi="Times New Roman" w:cs="Times New Roman" w:eastAsia="Times New Roman" w:hint="default"/>
          <w:spacing w:val="-1"/>
        </w:rPr>
        <w:t>49%</w:t>
      </w:r>
      <w:r>
        <w:rPr>
          <w:spacing w:val="-1"/>
        </w:rPr>
        <w:t>股</w:t>
      </w:r>
      <w:r>
        <w:rPr>
          <w:spacing w:val="-87"/>
        </w:rPr>
        <w:t> </w:t>
      </w:r>
      <w:r>
        <w:rPr/>
        <w:t>权。本次交易的价格已经具有证券、期货从业资格的资产评估机构银信资产评估有限公司评估结果为基础确定。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日，公司召开第六届董事会第二十次会议和第六届监事会第十次会议，分别审议通过了《关于终止公司配股方</w:t>
      </w:r>
    </w:p>
    <w:p>
      <w:pPr>
        <w:spacing w:after="0" w:line="307"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1132"/>
        <w:jc w:val="both"/>
      </w:pPr>
      <w:r>
        <w:rPr>
          <w:spacing w:val="-5"/>
        </w:rPr>
        <w:t>案并撤回配股申请文件的议案》，同意公司终止配股方案并向中国证监会申请撤回配股申请文件。目前，公司生产经营正常，</w:t>
      </w:r>
      <w:r>
        <w:rPr>
          <w:spacing w:val="-81"/>
        </w:rPr>
        <w:t> </w:t>
      </w:r>
      <w:r>
        <w:rPr>
          <w:spacing w:val="-81"/>
        </w:rPr>
      </w:r>
      <w:r>
        <w:rPr>
          <w:spacing w:val="-2"/>
        </w:rPr>
        <w:t>终止配股方案事项不会对公司生产经营情况与持续发展造成不利影响，不存在损害公司及公司股东、特别是中小股东利益的</w:t>
      </w:r>
      <w:r>
        <w:rPr>
          <w:spacing w:val="-64"/>
        </w:rPr>
        <w:t> </w:t>
      </w:r>
      <w:r>
        <w:rPr>
          <w:spacing w:val="-64"/>
        </w:rPr>
      </w:r>
      <w:r>
        <w:rPr/>
        <w:t>情形。</w:t>
      </w:r>
    </w:p>
    <w:p>
      <w:pPr>
        <w:pStyle w:val="BodyText"/>
        <w:spacing w:line="300" w:lineRule="auto" w:before="19"/>
        <w:ind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日，经公司</w:t>
      </w:r>
      <w:r>
        <w:rPr>
          <w:rFonts w:ascii="Times New Roman" w:hAnsi="Times New Roman" w:cs="Times New Roman" w:eastAsia="Times New Roman" w:hint="default"/>
        </w:rPr>
        <w:t>2016</w:t>
      </w:r>
      <w:r>
        <w:rPr/>
        <w:t>年第三次临时股东大会审议通过了《关于公司参与认购的大数据产业基金修改</w:t>
      </w:r>
      <w:r>
        <w:rPr>
          <w:rFonts w:ascii="Times New Roman" w:hAnsi="Times New Roman" w:cs="Times New Roman" w:eastAsia="Times New Roman" w:hint="default"/>
        </w:rPr>
        <w:t>&lt;</w:t>
      </w:r>
      <w:r>
        <w:rPr/>
        <w:t>有限合</w:t>
      </w:r>
      <w:r>
        <w:rPr>
          <w:spacing w:val="-13"/>
        </w:rPr>
        <w:t> </w:t>
      </w:r>
      <w:r>
        <w:rPr/>
        <w:t>伙协议</w:t>
      </w:r>
      <w:r>
        <w:rPr>
          <w:rFonts w:ascii="Times New Roman" w:hAnsi="Times New Roman" w:cs="Times New Roman" w:eastAsia="Times New Roman" w:hint="default"/>
        </w:rPr>
        <w:t>&gt;</w:t>
      </w:r>
      <w:r>
        <w:rPr/>
        <w:t>暨关联交易的议案》，公司拟出资人民币</w:t>
      </w:r>
      <w:r>
        <w:rPr>
          <w:rFonts w:ascii="Times New Roman" w:hAnsi="Times New Roman" w:cs="Times New Roman" w:eastAsia="Times New Roman" w:hint="default"/>
        </w:rPr>
        <w:t>1</w:t>
      </w:r>
      <w:r>
        <w:rPr/>
        <w:t>亿元参与认购大数据产业基金份额，即投资深圳前海数聚成长投资中心</w:t>
      </w:r>
    </w:p>
    <w:p>
      <w:pPr>
        <w:pStyle w:val="BodyText"/>
        <w:spacing w:line="300" w:lineRule="auto" w:before="13"/>
        <w:ind w:right="0"/>
        <w:jc w:val="left"/>
      </w:pPr>
      <w:r>
        <w:rPr>
          <w:spacing w:val="-2"/>
        </w:rPr>
        <w:t>（有限合伙），截至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日，公司已缴纳认购款</w:t>
      </w:r>
      <w:r>
        <w:rPr>
          <w:rFonts w:ascii="Times New Roman" w:hAnsi="Times New Roman" w:cs="Times New Roman" w:eastAsia="Times New Roman" w:hint="default"/>
          <w:spacing w:val="-2"/>
        </w:rPr>
        <w:t>7000</w:t>
      </w:r>
      <w:r>
        <w:rPr>
          <w:spacing w:val="-2"/>
        </w:rPr>
        <w:t>万元。深圳前海数聚成长投资中心（有限合伙）执行事务合伙</w:t>
      </w:r>
      <w:r>
        <w:rPr>
          <w:spacing w:val="-56"/>
        </w:rPr>
        <w:t> </w:t>
      </w:r>
      <w:r>
        <w:rPr>
          <w:spacing w:val="-56"/>
        </w:rPr>
      </w:r>
      <w:r>
        <w:rPr/>
        <w:t>人为久其科技。</w:t>
      </w:r>
    </w:p>
    <w:p>
      <w:pPr>
        <w:spacing w:line="240" w:lineRule="auto" w:before="6"/>
        <w:rPr>
          <w:rFonts w:ascii="宋体" w:hAnsi="宋体" w:cs="宋体" w:eastAsia="宋体" w:hint="default"/>
          <w:sz w:val="23"/>
          <w:szCs w:val="23"/>
        </w:rPr>
      </w:pPr>
    </w:p>
    <w:p>
      <w:pPr>
        <w:pStyle w:val="Heading3"/>
        <w:spacing w:line="240" w:lineRule="auto"/>
        <w:ind w:right="0"/>
        <w:jc w:val="both"/>
        <w:rPr>
          <w:b w:val="0"/>
          <w:bCs w:val="0"/>
        </w:rPr>
      </w:pPr>
      <w:bookmarkStart w:name="8、其他" w:id="392"/>
      <w:bookmarkEnd w:id="392"/>
      <w:r>
        <w:rPr>
          <w:b w:val="0"/>
          <w:bCs w:val="0"/>
        </w:rPr>
      </w: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日，本公司无其他需要披露的其他事项。</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bookmarkStart w:name="十三、股份支付" w:id="393"/>
      <w:bookmarkEnd w:id="393"/>
      <w:r>
        <w:rPr>
          <w:b w:val="0"/>
          <w:bCs w:val="0"/>
        </w:rPr>
      </w:r>
      <w:r>
        <w:rPr/>
        <w:t>十三、股份支付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股份支付总体情况" w:id="394"/>
      <w:bookmarkEnd w:id="394"/>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30"/>
        <w:gridCol w:w="4639"/>
      </w:tblGrid>
      <w:tr>
        <w:trPr>
          <w:trHeight w:val="402" w:hRule="exact"/>
        </w:trPr>
        <w:tc>
          <w:tcPr>
            <w:tcW w:w="4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3,950,000.00</w:t>
            </w:r>
          </w:p>
        </w:tc>
      </w:tr>
      <w:tr>
        <w:trPr>
          <w:trHeight w:val="402" w:hRule="exact"/>
        </w:trPr>
        <w:tc>
          <w:tcPr>
            <w:tcW w:w="4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16,500,256.00</w:t>
            </w:r>
          </w:p>
        </w:tc>
      </w:tr>
      <w:tr>
        <w:trPr>
          <w:trHeight w:val="402" w:hRule="exact"/>
        </w:trPr>
        <w:tc>
          <w:tcPr>
            <w:tcW w:w="4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707,600.00</w:t>
            </w:r>
          </w:p>
        </w:tc>
      </w:tr>
      <w:tr>
        <w:trPr>
          <w:trHeight w:val="1026" w:hRule="exact"/>
        </w:trPr>
        <w:tc>
          <w:tcPr>
            <w:tcW w:w="4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35"/>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 期限</w:t>
            </w:r>
          </w:p>
        </w:tc>
        <w:tc>
          <w:tcPr>
            <w:tcW w:w="4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首次授予部分价格</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股，本报告期预留授予部分价格</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股；首次授予部分的合同剩余期限为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1.75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年，本报</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告期预留授予部分的合同剩余期限为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以权益结算的股份支付情况" w:id="395"/>
      <w:bookmarkEnd w:id="395"/>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市价法</w:t>
            </w:r>
          </w:p>
        </w:tc>
      </w:tr>
      <w:tr>
        <w:trPr>
          <w:trHeight w:val="1026"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1"/>
              <w:jc w:val="both"/>
              <w:rPr>
                <w:rFonts w:ascii="宋体" w:hAnsi="宋体" w:cs="宋体" w:eastAsia="宋体" w:hint="default"/>
                <w:sz w:val="18"/>
                <w:szCs w:val="18"/>
              </w:rPr>
            </w:pPr>
            <w:r>
              <w:rPr>
                <w:rFonts w:ascii="宋体" w:hAnsi="宋体" w:cs="宋体" w:eastAsia="宋体" w:hint="default"/>
                <w:sz w:val="18"/>
                <w:szCs w:val="18"/>
              </w:rPr>
              <w:t>公司在等待期内的每个资产负债表日，根据最新取得的可 行权人数变动、业绩指标完成情况等后续信息，修正预计 可行权的限制性股票数量。</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32,429,316.00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25,190,584.50</w:t>
            </w:r>
          </w:p>
        </w:tc>
      </w:tr>
    </w:tbl>
    <w:p>
      <w:pPr>
        <w:pStyle w:val="BodyText"/>
        <w:spacing w:line="240" w:lineRule="auto" w:before="51"/>
        <w:ind w:right="0"/>
        <w:jc w:val="left"/>
      </w:pPr>
      <w:r>
        <w:rPr/>
        <w:t>其他说明</w:t>
      </w:r>
    </w:p>
    <w:p>
      <w:pPr>
        <w:pStyle w:val="BodyText"/>
        <w:spacing w:line="240" w:lineRule="auto" w:before="116"/>
        <w:ind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日，公司召开的第六届董事会第十四次会议审议通过了《关于向公司 </w:t>
      </w:r>
      <w:r>
        <w:rPr>
          <w:rFonts w:ascii="Times New Roman" w:hAnsi="Times New Roman" w:cs="Times New Roman" w:eastAsia="Times New Roman" w:hint="default"/>
        </w:rPr>
        <w:t>2017 </w:t>
      </w:r>
      <w:r>
        <w:rPr>
          <w:rFonts w:ascii="Times New Roman" w:hAnsi="Times New Roman" w:cs="Times New Roman" w:eastAsia="Times New Roman" w:hint="default"/>
          <w:spacing w:val="2"/>
        </w:rPr>
        <w:t> </w:t>
      </w:r>
      <w:r>
        <w:rPr/>
        <w:t>年度限制性股票激励计划激励对象</w:t>
      </w:r>
    </w:p>
    <w:p>
      <w:pPr>
        <w:pStyle w:val="BodyText"/>
        <w:spacing w:line="240" w:lineRule="auto" w:before="63"/>
        <w:ind w:right="0"/>
        <w:jc w:val="left"/>
      </w:pPr>
      <w:r>
        <w:rPr/>
        <w:t>首次授予限制性股票的议案》，授予日为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11 </w:t>
      </w:r>
      <w:r>
        <w:rPr/>
        <w:t>日，授予 </w:t>
      </w:r>
      <w:r>
        <w:rPr>
          <w:rFonts w:ascii="Times New Roman" w:hAnsi="Times New Roman" w:cs="Times New Roman" w:eastAsia="Times New Roman" w:hint="default"/>
        </w:rPr>
        <w:t>347 </w:t>
      </w:r>
      <w:r>
        <w:rPr/>
        <w:t>名激励对象 </w:t>
      </w:r>
      <w:r>
        <w:rPr>
          <w:rFonts w:ascii="Times New Roman" w:hAnsi="Times New Roman" w:cs="Times New Roman" w:eastAsia="Times New Roman" w:hint="default"/>
        </w:rPr>
        <w:t>720 </w:t>
      </w:r>
      <w:r>
        <w:rPr>
          <w:rFonts w:ascii="Times New Roman" w:hAnsi="Times New Roman" w:cs="Times New Roman" w:eastAsia="Times New Roman" w:hint="default"/>
          <w:spacing w:val="6"/>
        </w:rPr>
        <w:t> </w:t>
      </w:r>
      <w:r>
        <w:rPr/>
        <w:t>万股限制性股票，在资金缴纳、</w:t>
      </w:r>
    </w:p>
    <w:p>
      <w:pPr>
        <w:pStyle w:val="BodyText"/>
        <w:spacing w:line="300" w:lineRule="auto" w:before="63"/>
        <w:ind w:right="1118"/>
        <w:jc w:val="left"/>
      </w:pPr>
      <w:r>
        <w:rPr/>
        <w:t>股份登记过程中，有 </w:t>
      </w:r>
      <w:r>
        <w:rPr>
          <w:rFonts w:ascii="Times New Roman" w:hAnsi="Times New Roman" w:cs="Times New Roman" w:eastAsia="Times New Roman" w:hint="default"/>
        </w:rPr>
        <w:t>21 </w:t>
      </w:r>
      <w:r>
        <w:rPr/>
        <w:t>名激励对象因个人原因放弃认购，因此，公司激励计划实际授予 </w:t>
      </w:r>
      <w:r>
        <w:rPr>
          <w:rFonts w:ascii="Times New Roman" w:hAnsi="Times New Roman" w:cs="Times New Roman" w:eastAsia="Times New Roman" w:hint="default"/>
        </w:rPr>
        <w:t>326 </w:t>
      </w:r>
      <w:r>
        <w:rPr/>
        <w:t>名激励对象共计 </w:t>
      </w:r>
      <w:r>
        <w:rPr>
          <w:rFonts w:ascii="Times New Roman" w:hAnsi="Times New Roman" w:cs="Times New Roman" w:eastAsia="Times New Roman" w:hint="default"/>
        </w:rPr>
        <w:t>707.08</w:t>
      </w:r>
      <w:r>
        <w:rPr>
          <w:rFonts w:ascii="Times New Roman" w:hAnsi="Times New Roman" w:cs="Times New Roman" w:eastAsia="Times New Roman" w:hint="default"/>
          <w:spacing w:val="4"/>
        </w:rPr>
        <w:t> </w:t>
      </w:r>
      <w:r>
        <w:rPr/>
        <w:t>万股 限制性股票。</w:t>
      </w:r>
    </w:p>
    <w:p>
      <w:pPr>
        <w:spacing w:after="0" w:line="30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BodyText"/>
        <w:spacing w:line="307" w:lineRule="auto" w:before="44"/>
        <w:ind w:right="1132"/>
        <w:jc w:val="both"/>
      </w:pPr>
      <w:r>
        <w:rPr>
          <w:spacing w:val="-2"/>
        </w:rPr>
        <w:t>根据相关规定，本股权激励计划有效期为自限制性股票授予之日起至激励对象获授的限制性股票全部解除限售或回购注销之</w:t>
      </w:r>
      <w:r>
        <w:rPr>
          <w:spacing w:val="-64"/>
        </w:rPr>
        <w:t> </w:t>
      </w:r>
      <w:r>
        <w:rPr>
          <w:spacing w:val="-64"/>
        </w:rPr>
      </w:r>
      <w:r>
        <w:rPr>
          <w:spacing w:val="-2"/>
        </w:rPr>
        <w:t>日止，最长不超过</w:t>
      </w:r>
      <w:r>
        <w:rPr>
          <w:rFonts w:ascii="Times New Roman" w:hAnsi="Times New Roman" w:cs="Times New Roman" w:eastAsia="Times New Roman" w:hint="default"/>
          <w:spacing w:val="-2"/>
        </w:rPr>
        <w:t>48</w:t>
      </w:r>
      <w:r>
        <w:rPr>
          <w:spacing w:val="-2"/>
        </w:rPr>
        <w:t>个月。本激励计划的等待期为自激励对象获授限制性股票完成登记之日起</w:t>
      </w:r>
      <w:r>
        <w:rPr>
          <w:rFonts w:ascii="Times New Roman" w:hAnsi="Times New Roman" w:cs="Times New Roman" w:eastAsia="Times New Roman" w:hint="default"/>
          <w:spacing w:val="-2"/>
        </w:rPr>
        <w:t>12</w:t>
      </w:r>
      <w:r>
        <w:rPr>
          <w:spacing w:val="-2"/>
        </w:rPr>
        <w:t>个月，</w:t>
      </w:r>
      <w:r>
        <w:rPr>
          <w:rFonts w:ascii="Times New Roman" w:hAnsi="Times New Roman" w:cs="Times New Roman" w:eastAsia="Times New Roman" w:hint="default"/>
          <w:spacing w:val="-2"/>
        </w:rPr>
        <w:t>12</w:t>
      </w:r>
      <w:r>
        <w:rPr>
          <w:spacing w:val="-2"/>
        </w:rPr>
        <w:t>个月后将根据业绩</w:t>
      </w:r>
      <w:r>
        <w:rPr>
          <w:spacing w:val="-60"/>
        </w:rPr>
        <w:t> </w:t>
      </w:r>
      <w:r>
        <w:rPr/>
        <w:t>考核情况（包括公司业绩及个人绩效考核结果）解除限售，其中首次授予将分三期按照</w:t>
      </w:r>
      <w:r>
        <w:rPr>
          <w:rFonts w:ascii="Times New Roman" w:hAnsi="Times New Roman" w:cs="Times New Roman" w:eastAsia="Times New Roman" w:hint="default"/>
        </w:rPr>
        <w:t>40%</w:t>
      </w:r>
      <w:r>
        <w:rPr/>
        <w:t>、</w:t>
      </w:r>
      <w:r>
        <w:rPr>
          <w:rFonts w:ascii="Times New Roman" w:hAnsi="Times New Roman" w:cs="Times New Roman" w:eastAsia="Times New Roman" w:hint="default"/>
        </w:rPr>
        <w:t>30%</w:t>
      </w:r>
      <w:r>
        <w:rPr/>
        <w:t>、</w:t>
      </w:r>
      <w:r>
        <w:rPr>
          <w:rFonts w:ascii="Times New Roman" w:hAnsi="Times New Roman" w:cs="Times New Roman" w:eastAsia="Times New Roman" w:hint="default"/>
        </w:rPr>
        <w:t>30%</w:t>
      </w:r>
      <w:r>
        <w:rPr/>
        <w:t>比例解除限售，因</w:t>
      </w:r>
      <w:r>
        <w:rPr>
          <w:spacing w:val="-84"/>
        </w:rPr>
        <w:t> </w:t>
      </w:r>
      <w:r>
        <w:rPr>
          <w:spacing w:val="-84"/>
        </w:rPr>
      </w:r>
      <w:r>
        <w:rPr/>
        <w:t>预留部分未在</w:t>
      </w:r>
      <w:r>
        <w:rPr>
          <w:rFonts w:ascii="Times New Roman" w:hAnsi="Times New Roman" w:cs="Times New Roman" w:eastAsia="Times New Roman" w:hint="default"/>
        </w:rPr>
        <w:t>2017</w:t>
      </w:r>
      <w:r>
        <w:rPr/>
        <w:t>年度授出，如在</w:t>
      </w:r>
      <w:r>
        <w:rPr>
          <w:rFonts w:ascii="Times New Roman" w:hAnsi="Times New Roman" w:cs="Times New Roman" w:eastAsia="Times New Roman" w:hint="default"/>
        </w:rPr>
        <w:t>2018</w:t>
      </w:r>
      <w:r>
        <w:rPr/>
        <w:t>年授出，该部分限制性股票将按照</w:t>
      </w:r>
      <w:r>
        <w:rPr>
          <w:rFonts w:ascii="Times New Roman" w:hAnsi="Times New Roman" w:cs="Times New Roman" w:eastAsia="Times New Roman" w:hint="default"/>
        </w:rPr>
        <w:t>50%</w:t>
      </w:r>
      <w:r>
        <w:rPr/>
        <w:t>、</w:t>
      </w:r>
      <w:r>
        <w:rPr>
          <w:rFonts w:ascii="Times New Roman" w:hAnsi="Times New Roman" w:cs="Times New Roman" w:eastAsia="Times New Roman" w:hint="default"/>
        </w:rPr>
        <w:t>50%</w:t>
      </w:r>
      <w:r>
        <w:rPr/>
        <w:t>的比例解除限售。</w:t>
      </w:r>
    </w:p>
    <w:p>
      <w:pPr>
        <w:spacing w:line="240" w:lineRule="auto" w:before="5"/>
        <w:rPr>
          <w:rFonts w:ascii="宋体" w:hAnsi="宋体" w:cs="宋体" w:eastAsia="宋体" w:hint="default"/>
          <w:sz w:val="24"/>
          <w:szCs w:val="24"/>
        </w:rPr>
      </w:pPr>
    </w:p>
    <w:p>
      <w:pPr>
        <w:pStyle w:val="BodyText"/>
        <w:spacing w:line="300" w:lineRule="auto"/>
        <w:ind w:right="113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日，公司召开的</w:t>
      </w:r>
      <w:r>
        <w:rPr>
          <w:rFonts w:ascii="Times New Roman" w:hAnsi="Times New Roman" w:cs="Times New Roman" w:eastAsia="Times New Roman" w:hint="default"/>
        </w:rPr>
        <w:t>2017</w:t>
      </w:r>
      <w:r>
        <w:rPr/>
        <w:t>年度股东大会审议通过了《关于回购注销部分激励对象已获授但尚未解锁的限制性股票的</w:t>
      </w:r>
      <w:r>
        <w:rPr>
          <w:spacing w:val="-83"/>
        </w:rPr>
        <w:t> </w:t>
      </w:r>
      <w:r>
        <w:rPr>
          <w:spacing w:val="-83"/>
        </w:rPr>
      </w:r>
      <w:r>
        <w:rPr/>
        <w:t>议案》，同意对因离职、个人股权激励考核指标未达标的</w:t>
      </w:r>
      <w:r>
        <w:rPr>
          <w:rFonts w:ascii="Times New Roman" w:hAnsi="Times New Roman" w:cs="Times New Roman" w:eastAsia="Times New Roman" w:hint="default"/>
        </w:rPr>
        <w:t>10</w:t>
      </w:r>
      <w:r>
        <w:rPr/>
        <w:t>名激励对象持有的共计</w:t>
      </w:r>
      <w:r>
        <w:rPr>
          <w:rFonts w:ascii="Times New Roman" w:hAnsi="Times New Roman" w:cs="Times New Roman" w:eastAsia="Times New Roman" w:hint="default"/>
        </w:rPr>
        <w:t>116,000</w:t>
      </w:r>
      <w:r>
        <w:rPr/>
        <w:t>股限制性股票进行回购注销，回</w:t>
      </w:r>
      <w:r>
        <w:rPr>
          <w:spacing w:val="-45"/>
        </w:rPr>
        <w:t> </w:t>
      </w:r>
      <w:r>
        <w:rPr>
          <w:spacing w:val="-45"/>
        </w:rPr>
      </w:r>
      <w:r>
        <w:rPr/>
        <w:t>购价格为</w:t>
      </w:r>
      <w:r>
        <w:rPr>
          <w:rFonts w:ascii="Times New Roman" w:hAnsi="Times New Roman" w:cs="Times New Roman" w:eastAsia="Times New Roman" w:hint="default"/>
        </w:rPr>
        <w:t>6.1</w:t>
      </w:r>
      <w:r>
        <w:rPr/>
        <w:t>元</w:t>
      </w:r>
      <w:r>
        <w:rPr>
          <w:rFonts w:ascii="Times New Roman" w:hAnsi="Times New Roman" w:cs="Times New Roman" w:eastAsia="Times New Roman" w:hint="default"/>
        </w:rPr>
        <w:t>/</w:t>
      </w:r>
      <w:r>
        <w:rPr/>
        <w:t>股，相关回购注销手续已于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日在中国证券登记结算有限责任公司深圳分公司办理完成。</w:t>
      </w:r>
    </w:p>
    <w:p>
      <w:pPr>
        <w:spacing w:line="240" w:lineRule="auto" w:before="11"/>
        <w:rPr>
          <w:rFonts w:ascii="宋体" w:hAnsi="宋体" w:cs="宋体" w:eastAsia="宋体" w:hint="default"/>
          <w:sz w:val="24"/>
          <w:szCs w:val="24"/>
        </w:rPr>
      </w:pPr>
    </w:p>
    <w:p>
      <w:pPr>
        <w:pStyle w:val="BodyText"/>
        <w:spacing w:line="300" w:lineRule="auto"/>
        <w:ind w:right="1129"/>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6</w:t>
      </w:r>
      <w:r>
        <w:rPr>
          <w:spacing w:val="-2"/>
        </w:rPr>
        <w:t>日，公司召开的第六届董事会第二十八次（临时）会议审议通过了《关于向公司</w:t>
      </w:r>
      <w:r>
        <w:rPr>
          <w:rFonts w:ascii="Times New Roman" w:hAnsi="Times New Roman" w:cs="Times New Roman" w:eastAsia="Times New Roman" w:hint="default"/>
          <w:spacing w:val="-2"/>
        </w:rPr>
        <w:t>2017</w:t>
      </w:r>
      <w:r>
        <w:rPr>
          <w:spacing w:val="-2"/>
        </w:rPr>
        <w:t>年度限制性股票激励计划激</w:t>
      </w:r>
      <w:r>
        <w:rPr>
          <w:spacing w:val="-56"/>
        </w:rPr>
        <w:t> </w:t>
      </w:r>
      <w:r>
        <w:rPr>
          <w:spacing w:val="-2"/>
        </w:rPr>
        <w:t>励对象授予预留限制性股票的议案》，授予日为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6</w:t>
      </w:r>
      <w:r>
        <w:rPr>
          <w:spacing w:val="-2"/>
        </w:rPr>
        <w:t>日，授予</w:t>
      </w:r>
      <w:r>
        <w:rPr>
          <w:rFonts w:ascii="Times New Roman" w:hAnsi="Times New Roman" w:cs="Times New Roman" w:eastAsia="Times New Roman" w:hint="default"/>
          <w:spacing w:val="-2"/>
        </w:rPr>
        <w:t>41</w:t>
      </w:r>
      <w:r>
        <w:rPr>
          <w:spacing w:val="-2"/>
        </w:rPr>
        <w:t>名激励对象</w:t>
      </w:r>
      <w:r>
        <w:rPr>
          <w:rFonts w:ascii="Times New Roman" w:hAnsi="Times New Roman" w:cs="Times New Roman" w:eastAsia="Times New Roman" w:hint="default"/>
          <w:spacing w:val="-2"/>
        </w:rPr>
        <w:t>80</w:t>
      </w:r>
      <w:r>
        <w:rPr>
          <w:spacing w:val="-2"/>
        </w:rPr>
        <w:t>万股限制性股票，在预留限制性股票授</w:t>
      </w:r>
      <w:r>
        <w:rPr>
          <w:spacing w:val="-57"/>
        </w:rPr>
        <w:t> </w:t>
      </w:r>
      <w:r>
        <w:rPr>
          <w:spacing w:val="-57"/>
        </w:rPr>
      </w:r>
      <w:r>
        <w:rPr>
          <w:spacing w:val="2"/>
        </w:rPr>
        <w:t>予过程中，</w:t>
      </w:r>
      <w:r>
        <w:rPr>
          <w:rFonts w:ascii="Times New Roman" w:hAnsi="Times New Roman" w:cs="Times New Roman" w:eastAsia="Times New Roman" w:hint="default"/>
          <w:spacing w:val="2"/>
        </w:rPr>
        <w:t>3</w:t>
      </w:r>
      <w:r>
        <w:rPr>
          <w:spacing w:val="2"/>
        </w:rPr>
        <w:t>名激励对象由于个人原因自愿放弃认购。因此，公司激励计划实际授予</w:t>
      </w:r>
      <w:r>
        <w:rPr>
          <w:rFonts w:ascii="Times New Roman" w:hAnsi="Times New Roman" w:cs="Times New Roman" w:eastAsia="Times New Roman" w:hint="default"/>
          <w:spacing w:val="2"/>
        </w:rPr>
        <w:t>38</w:t>
      </w:r>
      <w:r>
        <w:rPr>
          <w:spacing w:val="2"/>
        </w:rPr>
        <w:t>名激励对象共计</w:t>
      </w:r>
      <w:r>
        <w:rPr>
          <w:rFonts w:ascii="Times New Roman" w:hAnsi="Times New Roman" w:cs="Times New Roman" w:eastAsia="Times New Roman" w:hint="default"/>
          <w:spacing w:val="2"/>
        </w:rPr>
        <w:t>79</w:t>
      </w:r>
      <w:r>
        <w:rPr>
          <w:spacing w:val="2"/>
        </w:rPr>
        <w:t>万股限制性股票</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30"/>
        </w:rPr>
        <w:t> </w:t>
      </w:r>
      <w:r>
        <w:rPr/>
        <w:t>该部分限制性股票将按照</w:t>
      </w:r>
      <w:r>
        <w:rPr>
          <w:rFonts w:ascii="Times New Roman" w:hAnsi="Times New Roman" w:cs="Times New Roman" w:eastAsia="Times New Roman" w:hint="default"/>
        </w:rPr>
        <w:t>50%</w:t>
      </w:r>
      <w:r>
        <w:rPr/>
        <w:t>、</w:t>
      </w:r>
      <w:r>
        <w:rPr>
          <w:rFonts w:ascii="Times New Roman" w:hAnsi="Times New Roman" w:cs="Times New Roman" w:eastAsia="Times New Roman" w:hint="default"/>
        </w:rPr>
        <w:t>50%</w:t>
      </w:r>
      <w:r>
        <w:rPr/>
        <w:t>的比例解除限售。</w:t>
      </w:r>
    </w:p>
    <w:p>
      <w:pPr>
        <w:spacing w:line="240" w:lineRule="auto" w:before="11"/>
        <w:rPr>
          <w:rFonts w:ascii="宋体" w:hAnsi="宋体" w:cs="宋体" w:eastAsia="宋体" w:hint="default"/>
          <w:sz w:val="24"/>
          <w:szCs w:val="24"/>
        </w:rPr>
      </w:pPr>
    </w:p>
    <w:p>
      <w:pPr>
        <w:pStyle w:val="BodyText"/>
        <w:spacing w:line="300" w:lineRule="auto"/>
        <w:ind w:right="1129"/>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日，公司召开的第六届董事会第二十九次（临时）会议审议通过了《关于</w:t>
      </w:r>
      <w:r>
        <w:rPr>
          <w:rFonts w:ascii="Times New Roman" w:hAnsi="Times New Roman" w:cs="Times New Roman" w:eastAsia="Times New Roman" w:hint="default"/>
        </w:rPr>
        <w:t>2017</w:t>
      </w:r>
      <w:r>
        <w:rPr/>
        <w:t>年度限制性股票激励计划首次授</w:t>
      </w:r>
      <w:r>
        <w:rPr>
          <w:spacing w:val="-82"/>
        </w:rPr>
        <w:t> </w:t>
      </w:r>
      <w:r>
        <w:rPr>
          <w:spacing w:val="-82"/>
        </w:rPr>
      </w:r>
      <w:r>
        <w:rPr/>
        <w:t>予部分第一个解除限售期解除限售条件成就的议案》，确定本次符合解锁条件的激励对象共</w:t>
      </w:r>
      <w:r>
        <w:rPr>
          <w:rFonts w:ascii="Times New Roman" w:hAnsi="Times New Roman" w:cs="Times New Roman" w:eastAsia="Times New Roman" w:hint="default"/>
        </w:rPr>
        <w:t>309</w:t>
      </w:r>
      <w:r>
        <w:rPr/>
        <w:t>人，可解锁的限制性股票数</w:t>
      </w:r>
      <w:r>
        <w:rPr>
          <w:spacing w:val="-82"/>
        </w:rPr>
        <w:t> </w:t>
      </w:r>
      <w:r>
        <w:rPr>
          <w:spacing w:val="-82"/>
        </w:rPr>
      </w:r>
      <w:r>
        <w:rPr/>
        <w:t>量为</w:t>
      </w:r>
      <w:r>
        <w:rPr>
          <w:rFonts w:ascii="Times New Roman" w:hAnsi="Times New Roman" w:cs="Times New Roman" w:eastAsia="Times New Roman" w:hint="default"/>
        </w:rPr>
        <w:t>2,704,960</w:t>
      </w:r>
      <w:r>
        <w:rPr/>
        <w:t>股，该部分解锁的限制性股票已于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日上市流通。</w:t>
      </w: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bookmarkStart w:name="3、以现金结算的股份支付情况" w:id="396"/>
      <w:bookmarkEnd w:id="396"/>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both"/>
        <w:rPr>
          <w:b w:val="0"/>
          <w:bCs w:val="0"/>
        </w:rPr>
      </w:pPr>
      <w:bookmarkStart w:name="十四、承诺及或有事项" w:id="397"/>
      <w:bookmarkEnd w:id="397"/>
      <w:r>
        <w:rPr>
          <w:b w:val="0"/>
          <w:bCs w:val="0"/>
        </w:rPr>
      </w:r>
      <w:r>
        <w:rPr/>
        <w:t>十四、承诺及或有事项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重要承诺事项" w:id="398"/>
      <w:bookmarkEnd w:id="398"/>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6072"/>
        <w:jc w:val="left"/>
      </w:pPr>
      <w:r>
        <w:rPr/>
        <w:t>资产负债表日存在的重要承诺 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日，本公司无其他需要披露的承诺事项。</w:t>
      </w:r>
    </w:p>
    <w:p>
      <w:pPr>
        <w:spacing w:line="240" w:lineRule="auto" w:before="5"/>
        <w:rPr>
          <w:rFonts w:ascii="宋体" w:hAnsi="宋体" w:cs="宋体" w:eastAsia="宋体" w:hint="default"/>
          <w:sz w:val="18"/>
          <w:szCs w:val="18"/>
        </w:rPr>
      </w:pPr>
    </w:p>
    <w:p>
      <w:pPr>
        <w:pStyle w:val="Heading3"/>
        <w:spacing w:line="240" w:lineRule="auto"/>
        <w:ind w:right="0"/>
        <w:jc w:val="both"/>
        <w:rPr>
          <w:b w:val="0"/>
          <w:bCs w:val="0"/>
        </w:rPr>
      </w:pPr>
      <w:bookmarkStart w:name="2、或有事项" w:id="399"/>
      <w:bookmarkEnd w:id="399"/>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资产负债表日存在的重要或有事项" w:id="400"/>
      <w:bookmarkEnd w:id="400"/>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1"/>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w:t>
      </w:r>
      <w:r>
        <w:rPr/>
        <w:t>日，公司与中信银行北京经济技术开发区支行签订了综合授信合同，综合授信额度总金额为</w:t>
      </w:r>
      <w:r>
        <w:rPr>
          <w:rFonts w:ascii="Times New Roman" w:hAnsi="Times New Roman" w:cs="Times New Roman" w:eastAsia="Times New Roman" w:hint="default"/>
        </w:rPr>
        <w:t>40,000,000.00 </w:t>
      </w:r>
      <w:r>
        <w:rPr/>
        <w:t>元，授信期限为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日。</w:t>
      </w:r>
    </w:p>
    <w:p>
      <w:pPr>
        <w:pStyle w:val="BodyText"/>
        <w:spacing w:line="300" w:lineRule="auto" w:before="13"/>
        <w:ind w:right="1132"/>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7</w:t>
      </w:r>
      <w:r>
        <w:rPr/>
        <w:t>日，公司与广发银行北京工体支行签订了授信合同，授信额度为</w:t>
      </w:r>
      <w:r>
        <w:rPr>
          <w:rFonts w:ascii="Times New Roman" w:hAnsi="Times New Roman" w:cs="Times New Roman" w:eastAsia="Times New Roman" w:hint="default"/>
        </w:rPr>
        <w:t>80,000,000.00</w:t>
      </w:r>
      <w:r>
        <w:rPr/>
        <w:t>元，授信期限为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w:t>
      </w:r>
    </w:p>
    <w:p>
      <w:pPr>
        <w:pStyle w:val="BodyText"/>
        <w:spacing w:line="300" w:lineRule="auto" w:before="13"/>
        <w:ind w:right="1129"/>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月，公司与宁波银行北京分行签订了综合授信合同，综合授信额度总金额为</w:t>
      </w:r>
      <w:r>
        <w:rPr>
          <w:rFonts w:ascii="Times New Roman" w:hAnsi="Times New Roman" w:cs="Times New Roman" w:eastAsia="Times New Roman" w:hint="default"/>
        </w:rPr>
        <w:t>200,000,000.00</w:t>
      </w:r>
      <w:r>
        <w:rPr/>
        <w:t>元，有效期至</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w:t>
      </w:r>
      <w:r>
        <w:rPr/>
        <w:t>日。</w:t>
      </w:r>
    </w:p>
    <w:p>
      <w:pPr>
        <w:pStyle w:val="BodyText"/>
        <w:spacing w:line="300" w:lineRule="auto" w:before="13"/>
        <w:ind w:right="1132"/>
        <w:jc w:val="both"/>
      </w:pP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11</w:t>
      </w:r>
      <w:r>
        <w:rPr>
          <w:spacing w:val="2"/>
        </w:rPr>
        <w:t>日，深圳市久金保商业保理有限公司与华夏银行北京方庄支行签署了流动资金借款合同，贷款金额为</w:t>
      </w:r>
      <w:r>
        <w:rPr>
          <w:spacing w:val="-48"/>
        </w:rPr>
        <w:t> </w:t>
      </w:r>
      <w:r>
        <w:rPr>
          <w:spacing w:val="-48"/>
        </w:rPr>
      </w:r>
      <w:r>
        <w:rPr>
          <w:rFonts w:ascii="Times New Roman" w:hAnsi="Times New Roman" w:cs="Times New Roman" w:eastAsia="Times New Roman" w:hint="default"/>
          <w:spacing w:val="-2"/>
        </w:rPr>
        <w:t>100,000,000.00</w:t>
      </w:r>
      <w:r>
        <w:rPr>
          <w:spacing w:val="-2"/>
        </w:rPr>
        <w:t>元，贷款期限为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30</w:t>
      </w:r>
      <w:r>
        <w:rPr>
          <w:spacing w:val="-2"/>
        </w:rPr>
        <w:t>日至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30</w:t>
      </w:r>
      <w:r>
        <w:rPr>
          <w:spacing w:val="-2"/>
        </w:rPr>
        <w:t>日。同日，公司与华夏银行北京方庄支行签订最高额保证合同，</w:t>
      </w:r>
      <w:r>
        <w:rPr>
          <w:spacing w:val="-84"/>
        </w:rPr>
        <w:t> </w:t>
      </w:r>
      <w:r>
        <w:rPr>
          <w:spacing w:val="-84"/>
        </w:rPr>
      </w:r>
      <w:r>
        <w:rPr/>
        <w:t>担保金额为人民币</w:t>
      </w:r>
      <w:r>
        <w:rPr>
          <w:rFonts w:ascii="Times New Roman" w:hAnsi="Times New Roman" w:cs="Times New Roman" w:eastAsia="Times New Roman" w:hint="default"/>
        </w:rPr>
        <w:t>100,000,000.00</w:t>
      </w:r>
      <w:r>
        <w:rPr/>
        <w:t>元，担保期间为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w:t>
      </w:r>
    </w:p>
    <w:p>
      <w:pPr>
        <w:pStyle w:val="BodyText"/>
        <w:spacing w:line="300" w:lineRule="auto" w:before="13"/>
        <w:ind w:right="1130"/>
        <w:jc w:val="both"/>
      </w:pPr>
      <w:r>
        <w:rPr>
          <w:spacing w:val="-2"/>
        </w:rPr>
        <w:t>（</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spacing w:val="-2"/>
        </w:rPr>
        <w:t>日，公司与宁波银行北京分行签订了开立保函协议，宁波银行北京分行为公司开具了额度为</w:t>
      </w:r>
      <w:r>
        <w:rPr>
          <w:rFonts w:ascii="Times New Roman" w:hAnsi="Times New Roman" w:cs="Times New Roman" w:eastAsia="Times New Roman" w:hint="default"/>
          <w:spacing w:val="-2"/>
        </w:rPr>
        <w:t>11,000,000.00</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欧元的融资性保函，有效期截止至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日，公司与宁波银行北京分行签订了开立保函协议补充协</w:t>
      </w:r>
    </w:p>
    <w:p>
      <w:pPr>
        <w:spacing w:after="0" w:line="300" w:lineRule="auto"/>
        <w:jc w:val="both"/>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0" w:lineRule="auto" w:before="44"/>
        <w:ind w:right="1131"/>
        <w:jc w:val="both"/>
      </w:pPr>
      <w:r>
        <w:rPr>
          <w:spacing w:val="-2"/>
        </w:rPr>
        <w:t>议，将该协议延期至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25</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5</w:t>
      </w:r>
      <w:r>
        <w:rPr>
          <w:spacing w:val="-2"/>
        </w:rPr>
        <w:t>日，公司与宁波银行北京分行签订了开立保函协议补充协议，将该协议延</w:t>
      </w:r>
      <w:r>
        <w:rPr>
          <w:spacing w:val="-52"/>
        </w:rPr>
        <w:t> </w:t>
      </w:r>
      <w:r>
        <w:rPr>
          <w:spacing w:val="-52"/>
        </w:rPr>
      </w:r>
      <w:r>
        <w:rPr/>
        <w:t>期至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w:t>
      </w:r>
    </w:p>
    <w:p>
      <w:pPr>
        <w:pStyle w:val="BodyText"/>
        <w:spacing w:line="300" w:lineRule="auto" w:before="13"/>
        <w:ind w:right="1125"/>
        <w:jc w:val="both"/>
      </w:pPr>
      <w:r>
        <w:rPr>
          <w:spacing w:val="6"/>
        </w:rPr>
        <w:t>（</w:t>
      </w:r>
      <w:r>
        <w:rPr>
          <w:rFonts w:ascii="Times New Roman" w:hAnsi="Times New Roman" w:cs="Times New Roman" w:eastAsia="Times New Roman" w:hint="default"/>
          <w:spacing w:val="6"/>
        </w:rPr>
        <w:t>6</w:t>
      </w:r>
      <w:r>
        <w:rPr>
          <w:spacing w:val="6"/>
        </w:rPr>
        <w:t>）</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3</w:t>
      </w:r>
      <w:r>
        <w:rPr>
          <w:spacing w:val="6"/>
        </w:rPr>
        <w:t>月</w:t>
      </w:r>
      <w:r>
        <w:rPr>
          <w:rFonts w:ascii="Times New Roman" w:hAnsi="Times New Roman" w:cs="Times New Roman" w:eastAsia="Times New Roman" w:hint="default"/>
          <w:spacing w:val="6"/>
        </w:rPr>
        <w:t>9</w:t>
      </w:r>
      <w:r>
        <w:rPr>
          <w:spacing w:val="6"/>
        </w:rPr>
        <w:t>日，深圳市久金保商业保理有限公司与华夏银行北京方庄支行签署了流动资金借款合同，贷款金额为</w:t>
      </w:r>
      <w:r>
        <w:rPr>
          <w:spacing w:val="-57"/>
        </w:rPr>
        <w:t> </w:t>
      </w:r>
      <w:r>
        <w:rPr>
          <w:rFonts w:ascii="Times New Roman" w:hAnsi="Times New Roman" w:cs="Times New Roman" w:eastAsia="Times New Roman" w:hint="default"/>
          <w:spacing w:val="-4"/>
        </w:rPr>
        <w:t>100,000,000.00</w:t>
      </w:r>
      <w:r>
        <w:rPr>
          <w:spacing w:val="-4"/>
        </w:rPr>
        <w:t>元，贷款期限为</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12</w:t>
      </w:r>
      <w:r>
        <w:rPr>
          <w:spacing w:val="-4"/>
        </w:rPr>
        <w:t>日至</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日。同日，公司与华夏银行北京方庄支行签订最高额保证合同，</w:t>
      </w:r>
      <w:r>
        <w:rPr>
          <w:spacing w:val="-31"/>
        </w:rPr>
        <w:t> </w:t>
      </w:r>
      <w:r>
        <w:rPr>
          <w:spacing w:val="-31"/>
        </w:rPr>
      </w:r>
      <w:r>
        <w:rPr/>
        <w:t>担保金额为人民币</w:t>
      </w:r>
      <w:r>
        <w:rPr>
          <w:rFonts w:ascii="Times New Roman" w:hAnsi="Times New Roman" w:cs="Times New Roman" w:eastAsia="Times New Roman" w:hint="default"/>
        </w:rPr>
        <w:t>100,000,000.00</w:t>
      </w:r>
      <w:r>
        <w:rPr/>
        <w:t>元，担保期间为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pStyle w:val="BodyText"/>
        <w:spacing w:line="240" w:lineRule="auto" w:before="13"/>
        <w:ind w:right="0"/>
        <w:jc w:val="both"/>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日，公司与北京银行上地分行签订了授信合同，授信额度为</w:t>
      </w:r>
      <w:r>
        <w:rPr>
          <w:rFonts w:ascii="Times New Roman" w:hAnsi="Times New Roman" w:cs="Times New Roman" w:eastAsia="Times New Roman" w:hint="default"/>
        </w:rPr>
        <w:t>80,000,000.00</w:t>
      </w:r>
      <w:r>
        <w:rPr/>
        <w:t>元，授信期限为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日至</w:t>
      </w:r>
    </w:p>
    <w:p>
      <w:pPr>
        <w:pStyle w:val="BodyText"/>
        <w:spacing w:line="240" w:lineRule="auto" w:before="63"/>
        <w:ind w:right="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w:t>
      </w:r>
    </w:p>
    <w:p>
      <w:pPr>
        <w:pStyle w:val="BodyText"/>
        <w:spacing w:line="300" w:lineRule="auto" w:before="63"/>
        <w:ind w:right="1132"/>
        <w:jc w:val="both"/>
      </w:pPr>
      <w:r>
        <w:rPr>
          <w:spacing w:val="-1"/>
        </w:rPr>
        <w:t>（</w:t>
      </w:r>
      <w:r>
        <w:rPr>
          <w:rFonts w:ascii="Times New Roman" w:hAnsi="Times New Roman" w:cs="Times New Roman" w:eastAsia="Times New Roman" w:hint="default"/>
          <w:spacing w:val="-1"/>
        </w:rPr>
        <w:t>8</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26</w:t>
      </w:r>
      <w:r>
        <w:rPr>
          <w:spacing w:val="-1"/>
        </w:rPr>
        <w:t>日，公司与工商银行北京分行签订了授信合同，授信额度为</w:t>
      </w:r>
      <w:r>
        <w:rPr>
          <w:rFonts w:ascii="Times New Roman" w:hAnsi="Times New Roman" w:cs="Times New Roman" w:eastAsia="Times New Roman" w:hint="default"/>
          <w:spacing w:val="-1"/>
        </w:rPr>
        <w:t>480,000,000.00</w:t>
      </w:r>
      <w:r>
        <w:rPr>
          <w:spacing w:val="-1"/>
        </w:rPr>
        <w:t>元，授信期限为</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26</w:t>
      </w:r>
      <w:r>
        <w:rPr>
          <w:spacing w:val="-1"/>
        </w:rPr>
        <w:t>日</w:t>
      </w:r>
      <w:r>
        <w:rPr>
          <w:spacing w:val="-63"/>
        </w:rPr>
        <w:t> </w:t>
      </w:r>
      <w:r>
        <w:rPr/>
        <w:t>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w:t>
      </w:r>
    </w:p>
    <w:p>
      <w:pPr>
        <w:pStyle w:val="BodyText"/>
        <w:spacing w:line="300" w:lineRule="auto" w:before="13"/>
        <w:ind w:right="1130"/>
        <w:jc w:val="both"/>
      </w:pPr>
      <w:r>
        <w:rPr>
          <w:spacing w:val="-1"/>
        </w:rPr>
        <w:t>（</w:t>
      </w:r>
      <w:r>
        <w:rPr>
          <w:rFonts w:ascii="Times New Roman" w:hAnsi="Times New Roman" w:cs="Times New Roman" w:eastAsia="Times New Roman" w:hint="default"/>
          <w:spacing w:val="-1"/>
        </w:rPr>
        <w:t>9</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11</w:t>
      </w:r>
      <w:r>
        <w:rPr>
          <w:spacing w:val="-1"/>
        </w:rPr>
        <w:t>日，公司与宁波银行北京分行签订了授信合同，授信额度为</w:t>
      </w:r>
      <w:r>
        <w:rPr>
          <w:rFonts w:ascii="Times New Roman" w:hAnsi="Times New Roman" w:cs="Times New Roman" w:eastAsia="Times New Roman" w:hint="default"/>
          <w:spacing w:val="-1"/>
        </w:rPr>
        <w:t>200,000,000.00</w:t>
      </w:r>
      <w:r>
        <w:rPr>
          <w:spacing w:val="-1"/>
        </w:rPr>
        <w:t>元，授信期限为</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11</w:t>
      </w:r>
      <w:r>
        <w:rPr>
          <w:rFonts w:ascii="Times New Roman" w:hAnsi="Times New Roman" w:cs="Times New Roman" w:eastAsia="Times New Roman" w:hint="default"/>
          <w:spacing w:val="-16"/>
        </w:rPr>
        <w:t> </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w:t>
      </w:r>
    </w:p>
    <w:p>
      <w:pPr>
        <w:pStyle w:val="BodyText"/>
        <w:spacing w:line="300" w:lineRule="auto" w:before="13"/>
        <w:ind w:right="1129"/>
        <w:jc w:val="both"/>
      </w:pPr>
      <w:r>
        <w:rPr/>
        <w:t>（</w:t>
      </w:r>
      <w:r>
        <w:rPr>
          <w:rFonts w:ascii="Times New Roman" w:hAnsi="Times New Roman" w:cs="Times New Roman" w:eastAsia="Times New Roman" w:hint="default"/>
        </w:rPr>
        <w:t>10</w:t>
      </w: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日，公司与中信银行总行营业部签订的保函协议期末还有</w:t>
      </w:r>
      <w:r>
        <w:rPr>
          <w:rFonts w:ascii="Times New Roman" w:hAnsi="Times New Roman" w:cs="Times New Roman" w:eastAsia="Times New Roman" w:hint="default"/>
        </w:rPr>
        <w:t>6,634,700.00</w:t>
      </w:r>
      <w:r>
        <w:rPr/>
        <w:t>元保函未到期；截止</w:t>
      </w:r>
      <w:r>
        <w:rPr>
          <w:rFonts w:ascii="Times New Roman" w:hAnsi="Times New Roman" w:cs="Times New Roman" w:eastAsia="Times New Roman" w:hint="default"/>
        </w:rPr>
        <w:t>2018</w:t>
      </w:r>
      <w:r>
        <w:rPr/>
        <w:t>年</w:t>
      </w:r>
      <w:r>
        <w:rPr>
          <w:spacing w:val="-46"/>
        </w:rPr>
        <w:t>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日，公司与北京银行中关村分行签订的保函协议期末还有</w:t>
      </w:r>
      <w:r>
        <w:rPr>
          <w:rFonts w:ascii="Times New Roman" w:hAnsi="Times New Roman" w:cs="Times New Roman" w:eastAsia="Times New Roman" w:hint="default"/>
        </w:rPr>
        <w:t>2,066,075.00</w:t>
      </w:r>
      <w:r>
        <w:rPr/>
        <w:t>元保函未到期；截止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日，公司与</w:t>
      </w:r>
      <w:r>
        <w:rPr>
          <w:spacing w:val="-46"/>
        </w:rPr>
        <w:t> </w:t>
      </w:r>
      <w:r>
        <w:rPr>
          <w:spacing w:val="-46"/>
        </w:rPr>
      </w:r>
      <w:r>
        <w:rPr>
          <w:spacing w:val="-1"/>
        </w:rPr>
        <w:t>宁波银行北京分行签订的保函协议期末还有</w:t>
      </w:r>
      <w:r>
        <w:rPr>
          <w:rFonts w:ascii="Times New Roman" w:hAnsi="Times New Roman" w:cs="Times New Roman" w:eastAsia="Times New Roman" w:hint="default"/>
          <w:spacing w:val="-1"/>
        </w:rPr>
        <w:t>27,772,155.00</w:t>
      </w:r>
      <w:r>
        <w:rPr>
          <w:spacing w:val="-1"/>
        </w:rPr>
        <w:t>元保函未到期；截止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日，公司与广发银行北京工体支</w:t>
      </w:r>
      <w:r>
        <w:rPr>
          <w:spacing w:val="-64"/>
        </w:rPr>
        <w:t> </w:t>
      </w:r>
      <w:r>
        <w:rPr>
          <w:spacing w:val="-64"/>
        </w:rPr>
      </w:r>
      <w:r>
        <w:rPr/>
        <w:t>行签订的保函协议期末还有</w:t>
      </w:r>
      <w:r>
        <w:rPr>
          <w:rFonts w:ascii="Times New Roman" w:hAnsi="Times New Roman" w:cs="Times New Roman" w:eastAsia="Times New Roman" w:hint="default"/>
        </w:rPr>
        <w:t>1,008,750.00</w:t>
      </w:r>
      <w:r>
        <w:rPr/>
        <w:t>元保函未到期。</w:t>
      </w: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bookmarkStart w:name="（2）公司没有需要披露的重要或有事项，也应予以说明" w:id="401"/>
      <w:bookmarkEnd w:id="401"/>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公司不存在需要披露的重要或有事项。</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bookmarkStart w:name="十五、资产负债表日后事项" w:id="402"/>
      <w:bookmarkEnd w:id="402"/>
      <w:r>
        <w:rPr>
          <w:b w:val="0"/>
          <w:bCs w:val="0"/>
        </w:rPr>
      </w:r>
      <w:r>
        <w:rPr/>
        <w:t>十五、资产负债表日后事项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bookmarkStart w:name="十六、其他重要事项" w:id="403"/>
      <w:bookmarkEnd w:id="403"/>
      <w:r>
        <w:rPr>
          <w:b w:val="0"/>
          <w:bCs w:val="0"/>
        </w:rPr>
      </w: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前期会计差错更正" w:id="404"/>
      <w:bookmarkEnd w:id="404"/>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072"/>
        <w:jc w:val="left"/>
      </w:pPr>
      <w:r>
        <w:rPr/>
        <w:t>（</w:t>
      </w:r>
      <w:r>
        <w:rPr>
          <w:rFonts w:ascii="Times New Roman" w:hAnsi="Times New Roman" w:cs="Times New Roman" w:eastAsia="Times New Roman" w:hint="default"/>
        </w:rPr>
        <w:t>1</w:t>
      </w:r>
      <w:r>
        <w:rPr/>
        <w:t>）追溯重述法 本报告期未发生采用追溯重述法的前期会计差错更正事项。</w:t>
      </w:r>
    </w:p>
    <w:p>
      <w:pPr>
        <w:pStyle w:val="BodyText"/>
        <w:spacing w:line="338" w:lineRule="auto" w:before="40"/>
        <w:ind w:right="6072"/>
        <w:jc w:val="left"/>
      </w:pPr>
      <w:r>
        <w:rPr/>
        <w:t>（</w:t>
      </w:r>
      <w:r>
        <w:rPr>
          <w:rFonts w:ascii="Times New Roman" w:hAnsi="Times New Roman" w:cs="Times New Roman" w:eastAsia="Times New Roman" w:hint="default"/>
        </w:rPr>
        <w:t>2</w:t>
      </w:r>
      <w:r>
        <w:rPr/>
        <w:t>）未来适用法 本报告期未发生采用未来适用法的前期会计差错更正事项。</w:t>
      </w:r>
    </w:p>
    <w:p>
      <w:pPr>
        <w:spacing w:line="240" w:lineRule="auto" w:before="2"/>
        <w:rPr>
          <w:rFonts w:ascii="宋体" w:hAnsi="宋体" w:cs="宋体" w:eastAsia="宋体" w:hint="default"/>
          <w:sz w:val="21"/>
          <w:szCs w:val="21"/>
        </w:rPr>
      </w:pPr>
    </w:p>
    <w:p>
      <w:pPr>
        <w:pStyle w:val="Heading3"/>
        <w:spacing w:line="240" w:lineRule="auto"/>
        <w:ind w:right="0"/>
        <w:jc w:val="both"/>
        <w:rPr>
          <w:b w:val="0"/>
          <w:bCs w:val="0"/>
        </w:rPr>
      </w:pPr>
      <w:bookmarkStart w:name="2、其他" w:id="405"/>
      <w:bookmarkEnd w:id="405"/>
      <w:r>
        <w:rPr>
          <w:b w:val="0"/>
          <w:bCs w:val="0"/>
        </w:rPr>
      </w:r>
      <w:r>
        <w:rPr>
          <w:rFonts w:ascii="Times New Roman" w:hAnsi="Times New Roman" w:cs="Times New Roman" w:eastAsia="Times New Roman" w:hint="default"/>
        </w:rPr>
        <w:t>2</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9"/>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日，公司第六届董事会第三十三次（临时）会议审议通过了《关于回购公司股份的预案》，公司拟使用自</w:t>
      </w:r>
      <w:r>
        <w:rPr>
          <w:spacing w:val="-83"/>
        </w:rPr>
        <w:t> </w:t>
      </w:r>
      <w:r>
        <w:rPr>
          <w:spacing w:val="-83"/>
        </w:rPr>
      </w:r>
      <w:r>
        <w:rPr>
          <w:spacing w:val="-1"/>
        </w:rPr>
        <w:t>有或自筹资金以集中竞价交易方式回购公司</w:t>
      </w:r>
      <w:r>
        <w:rPr>
          <w:rFonts w:ascii="Times New Roman" w:hAnsi="Times New Roman" w:cs="Times New Roman" w:eastAsia="Times New Roman" w:hint="default"/>
          <w:spacing w:val="-1"/>
        </w:rPr>
        <w:t>A</w:t>
      </w:r>
      <w:r>
        <w:rPr>
          <w:spacing w:val="-1"/>
        </w:rPr>
        <w:t>股股份，用于后续员工持股计划或者股权激励计划。股份回购的资金总额度不</w:t>
      </w:r>
      <w:r>
        <w:rPr>
          <w:spacing w:val="-69"/>
        </w:rPr>
        <w:t> </w:t>
      </w:r>
      <w:r>
        <w:rPr>
          <w:spacing w:val="-69"/>
        </w:rPr>
      </w:r>
      <w:r>
        <w:rPr/>
        <w:t>超过人民币</w:t>
      </w:r>
      <w:r>
        <w:rPr>
          <w:rFonts w:ascii="Times New Roman" w:hAnsi="Times New Roman" w:cs="Times New Roman" w:eastAsia="Times New Roman" w:hint="default"/>
        </w:rPr>
        <w:t>12,000</w:t>
      </w:r>
      <w:r>
        <w:rPr/>
        <w:t>万元（含）且不低于人民币</w:t>
      </w:r>
      <w:r>
        <w:rPr>
          <w:rFonts w:ascii="Times New Roman" w:hAnsi="Times New Roman" w:cs="Times New Roman" w:eastAsia="Times New Roman" w:hint="default"/>
        </w:rPr>
        <w:t>6,000</w:t>
      </w:r>
      <w:r>
        <w:rPr/>
        <w:t>万元（含），回购价格不超过人民币</w:t>
      </w:r>
      <w:r>
        <w:rPr>
          <w:rFonts w:ascii="Times New Roman" w:hAnsi="Times New Roman" w:cs="Times New Roman" w:eastAsia="Times New Roman" w:hint="default"/>
        </w:rPr>
        <w:t>10</w:t>
      </w:r>
      <w:r>
        <w:rPr/>
        <w:t>元</w:t>
      </w:r>
      <w:r>
        <w:rPr>
          <w:rFonts w:ascii="Times New Roman" w:hAnsi="Times New Roman" w:cs="Times New Roman" w:eastAsia="Times New Roman" w:hint="default"/>
        </w:rPr>
        <w:t>/</w:t>
      </w:r>
      <w:r>
        <w:rPr/>
        <w:t>股（含）。回购期限为自</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日公司股东大会审议通过本次回购股份方案之日起</w:t>
      </w:r>
      <w:r>
        <w:rPr>
          <w:rFonts w:ascii="Times New Roman" w:hAnsi="Times New Roman" w:cs="Times New Roman" w:eastAsia="Times New Roman" w:hint="default"/>
        </w:rPr>
        <w:t>12</w:t>
      </w:r>
      <w:r>
        <w:rPr/>
        <w:t>个月内。</w:t>
      </w:r>
    </w:p>
    <w:p>
      <w:pPr>
        <w:pStyle w:val="BodyText"/>
        <w:spacing w:line="300" w:lineRule="auto" w:before="13"/>
        <w:ind w:right="1130"/>
        <w:jc w:val="both"/>
      </w:pPr>
      <w:r>
        <w:rPr>
          <w:spacing w:val="-2"/>
        </w:rPr>
        <w:t>（</w:t>
      </w:r>
      <w:r>
        <w:rPr>
          <w:rFonts w:ascii="Times New Roman" w:hAnsi="Times New Roman" w:cs="Times New Roman" w:eastAsia="Times New Roman" w:hint="default"/>
          <w:spacing w:val="-2"/>
        </w:rPr>
        <w:t>2</w:t>
      </w:r>
      <w:r>
        <w:rPr>
          <w:spacing w:val="-2"/>
        </w:rPr>
        <w:t>）截止到</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日，控股股东及实际控制人股票质押情况如下：北京久其科技投资有限公司质押股票</w:t>
      </w:r>
      <w:r>
        <w:rPr>
          <w:rFonts w:ascii="Times New Roman" w:hAnsi="Times New Roman" w:cs="Times New Roman" w:eastAsia="Times New Roman" w:hint="default"/>
          <w:spacing w:val="-2"/>
        </w:rPr>
        <w:t>98,272,299.00</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t>股，董泰湘质押股票</w:t>
      </w:r>
      <w:r>
        <w:rPr>
          <w:rFonts w:ascii="Times New Roman" w:hAnsi="Times New Roman" w:cs="Times New Roman" w:eastAsia="Times New Roman" w:hint="default"/>
        </w:rPr>
        <w:t>87,280,000.00</w:t>
      </w:r>
      <w:r>
        <w:rPr/>
        <w:t>股，赵福君质押股票</w:t>
      </w:r>
      <w:r>
        <w:rPr>
          <w:rFonts w:ascii="Times New Roman" w:hAnsi="Times New Roman" w:cs="Times New Roman" w:eastAsia="Times New Roman" w:hint="default"/>
        </w:rPr>
        <w:t>69,770,000.00</w:t>
      </w:r>
      <w:r>
        <w:rPr/>
        <w:t>股。</w:t>
      </w:r>
    </w:p>
    <w:p>
      <w:pPr>
        <w:pStyle w:val="BodyText"/>
        <w:spacing w:line="300" w:lineRule="auto" w:before="13"/>
        <w:ind w:right="1129"/>
        <w:jc w:val="both"/>
        <w:rPr>
          <w:rFonts w:ascii="Times New Roman" w:hAnsi="Times New Roman" w:cs="Times New Roman" w:eastAsia="Times New Roman" w:hint="default"/>
        </w:rPr>
      </w:pPr>
      <w:r>
        <w:rPr>
          <w:spacing w:val="-5"/>
        </w:rPr>
        <w:t>（</w:t>
      </w:r>
      <w:r>
        <w:rPr>
          <w:rFonts w:ascii="Times New Roman" w:hAnsi="Times New Roman" w:cs="Times New Roman" w:eastAsia="Times New Roman" w:hint="default"/>
          <w:spacing w:val="-5"/>
        </w:rPr>
        <w:t>3</w:t>
      </w:r>
      <w:r>
        <w:rPr>
          <w:spacing w:val="-5"/>
        </w:rPr>
        <w:t>）公司控股股东久其科技于</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3</w:t>
      </w:r>
      <w:r>
        <w:rPr>
          <w:spacing w:val="-5"/>
        </w:rPr>
        <w:t>月</w:t>
      </w:r>
      <w:r>
        <w:rPr>
          <w:rFonts w:ascii="Times New Roman" w:hAnsi="Times New Roman" w:cs="Times New Roman" w:eastAsia="Times New Roman" w:hint="default"/>
          <w:spacing w:val="-5"/>
        </w:rPr>
        <w:t>27</w:t>
      </w:r>
      <w:r>
        <w:rPr>
          <w:spacing w:val="-5"/>
        </w:rPr>
        <w:t>日取得中国证券登记结算有限责任公司深圳分公司出具的《证券质押登记证明》，</w:t>
      </w:r>
      <w:r>
        <w:rPr>
          <w:spacing w:val="-59"/>
        </w:rPr>
        <w:t> </w:t>
      </w:r>
      <w:r>
        <w:rPr>
          <w:spacing w:val="-59"/>
        </w:rPr>
      </w:r>
      <w:r>
        <w:rPr/>
        <w:t>将其持有的公司无限售条件流通股</w:t>
      </w:r>
      <w:r>
        <w:rPr>
          <w:rFonts w:ascii="Times New Roman" w:hAnsi="Times New Roman" w:cs="Times New Roman" w:eastAsia="Times New Roman" w:hint="default"/>
        </w:rPr>
        <w:t>7,100</w:t>
      </w:r>
      <w:r>
        <w:rPr/>
        <w:t>万股（占其所持股份的</w:t>
      </w:r>
      <w:r>
        <w:rPr>
          <w:rFonts w:ascii="Times New Roman" w:hAnsi="Times New Roman" w:cs="Times New Roman" w:eastAsia="Times New Roman" w:hint="default"/>
        </w:rPr>
        <w:t>43.15%</w:t>
      </w:r>
      <w:r>
        <w:rPr/>
        <w:t>）质押给债券受托管理人（即质权人）红塔证券股份</w:t>
      </w:r>
      <w:r>
        <w:rPr>
          <w:spacing w:val="-58"/>
        </w:rPr>
        <w:t> </w:t>
      </w:r>
      <w:r>
        <w:rPr>
          <w:spacing w:val="-58"/>
        </w:rPr>
      </w:r>
      <w:r>
        <w:rPr/>
        <w:t>有限公司，该部分质押股票用于可交换债券持有人交换本公司股票和对本期债券的本息偿付提供担保，质押期限自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p>
    <w:p>
      <w:pPr>
        <w:spacing w:after="0" w:line="300" w:lineRule="auto"/>
        <w:jc w:val="both"/>
        <w:rPr>
          <w:rFonts w:ascii="Times New Roman" w:hAnsi="Times New Roman" w:cs="Times New Roman" w:eastAsia="Times New Roman" w:hint="default"/>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4"/>
          <w:szCs w:val="24"/>
        </w:rPr>
      </w:pPr>
    </w:p>
    <w:p>
      <w:pPr>
        <w:pStyle w:val="BodyText"/>
        <w:spacing w:line="240" w:lineRule="auto" w:before="44"/>
        <w:ind w:right="0"/>
        <w:jc w:val="left"/>
      </w:pPr>
      <w:r>
        <w:rPr/>
        <w:t>月</w:t>
      </w:r>
      <w:r>
        <w:rPr>
          <w:rFonts w:ascii="Times New Roman" w:hAnsi="Times New Roman" w:cs="Times New Roman" w:eastAsia="Times New Roman" w:hint="default"/>
        </w:rPr>
        <w:t>27</w:t>
      </w:r>
      <w:r>
        <w:rPr/>
        <w:t>日起至质权人申请解除质押登记之日止。截至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日，久其科技已完成非公开发行可交换公司债券的发行。</w:t>
      </w:r>
    </w:p>
    <w:p>
      <w:pPr>
        <w:pStyle w:val="BodyText"/>
        <w:spacing w:line="309" w:lineRule="auto" w:before="63"/>
        <w:ind w:right="1032"/>
        <w:jc w:val="left"/>
      </w:pPr>
      <w:r>
        <w:rPr>
          <w:spacing w:val="-5"/>
        </w:rPr>
        <w:t>（</w:t>
      </w:r>
      <w:r>
        <w:rPr>
          <w:rFonts w:ascii="Times New Roman" w:hAnsi="Times New Roman" w:cs="Times New Roman" w:eastAsia="Times New Roman" w:hint="default"/>
          <w:spacing w:val="-5"/>
        </w:rPr>
        <w:t>4</w:t>
      </w:r>
      <w:r>
        <w:rPr>
          <w:spacing w:val="-5"/>
        </w:rPr>
        <w:t>）</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1</w:t>
      </w:r>
      <w:r>
        <w:rPr>
          <w:spacing w:val="-5"/>
        </w:rPr>
        <w:t>月初，久其软件在对下属子公司上海移通派驻工作小组实施子公司业务审计，发现上海移通三名员工存在伪造、</w:t>
      </w:r>
      <w:r>
        <w:rPr>
          <w:spacing w:val="-64"/>
        </w:rPr>
        <w:t> </w:t>
      </w:r>
      <w:r>
        <w:rPr>
          <w:spacing w:val="-64"/>
        </w:rPr>
      </w:r>
      <w:r>
        <w:rPr>
          <w:spacing w:val="-2"/>
        </w:rPr>
        <w:t>私刻客户单位公章的不法行为，并于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26</w:t>
      </w:r>
      <w:r>
        <w:rPr>
          <w:spacing w:val="-2"/>
        </w:rPr>
        <w:t>日向公安机关报案。截至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25</w:t>
      </w:r>
      <w:r>
        <w:rPr>
          <w:spacing w:val="-2"/>
        </w:rPr>
        <w:t>日，久其软件已收到上海与北京两地</w:t>
      </w:r>
      <w:r>
        <w:rPr>
          <w:spacing w:val="-53"/>
        </w:rPr>
        <w:t> </w:t>
      </w:r>
      <w:r>
        <w:rPr>
          <w:spacing w:val="-53"/>
        </w:rPr>
      </w:r>
      <w:r>
        <w:rPr/>
        <w:t>公安机关出具的立案通知文件，分别对久其软件举报伪造公章一案和被合同诈骗一案立案，目前案件侦查工作正在进行中，</w:t>
      </w:r>
      <w:r>
        <w:rPr>
          <w:spacing w:val="-85"/>
        </w:rPr>
        <w:t> </w:t>
      </w:r>
      <w:r>
        <w:rPr>
          <w:spacing w:val="-85"/>
        </w:rPr>
      </w:r>
      <w:r>
        <w:rPr/>
        <w:t>案件情况存在不确定性。 </w:t>
      </w:r>
      <w:r>
        <w:rPr>
          <w:spacing w:val="-2"/>
        </w:rPr>
        <w:t>根据久其软件与上海移通原实际控制人签署的收购协议约定，业绩补偿承诺方应于</w:t>
      </w:r>
      <w:r>
        <w:rPr>
          <w:rFonts w:ascii="Times New Roman" w:hAnsi="Times New Roman" w:cs="Times New Roman" w:eastAsia="Times New Roman" w:hint="default"/>
          <w:spacing w:val="-2"/>
        </w:rPr>
        <w:t>2018</w:t>
      </w:r>
      <w:r>
        <w:rPr>
          <w:spacing w:val="-2"/>
        </w:rPr>
        <w:t>年度上海移通专项审计报告出具后一</w:t>
      </w:r>
      <w:r>
        <w:rPr>
          <w:spacing w:val="-60"/>
        </w:rPr>
        <w:t> </w:t>
      </w:r>
      <w:r>
        <w:rPr>
          <w:spacing w:val="-5"/>
        </w:rPr>
        <w:t>个月内向公司支付业绩补偿款。但可能受公安机关案件调查、债权债务纠纷、业绩补偿承诺方履约意愿及履约能力等的影响，</w:t>
      </w:r>
      <w:r>
        <w:rPr>
          <w:spacing w:val="-79"/>
        </w:rPr>
        <w:t> </w:t>
      </w:r>
      <w:r>
        <w:rPr>
          <w:spacing w:val="-79"/>
        </w:rPr>
      </w:r>
      <w:r>
        <w:rPr/>
        <w:t>可能存在久其软件主张的业绩补偿款不能按期足额获得业绩对赌补偿款的风险。</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bookmarkStart w:name="十七、母公司财务报表主要项目注释" w:id="406"/>
      <w:bookmarkEnd w:id="406"/>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及应收账款" w:id="407"/>
      <w:bookmarkEnd w:id="407"/>
      <w:r>
        <w:rPr>
          <w:b w:val="0"/>
          <w:bCs w:val="0"/>
        </w:rPr>
      </w:r>
      <w:r>
        <w:rPr>
          <w:rFonts w:ascii="Times New Roman" w:hAnsi="Times New Roman" w:cs="Times New Roman" w:eastAsia="Times New Roman" w:hint="default"/>
        </w:rPr>
        <w:t>1</w:t>
      </w:r>
      <w:r>
        <w:rPr/>
        <w:t>、应收票据及应收账款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113,515,515.57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111,270,185.87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113,515,515.57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111,270,185.87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账款" w:id="408"/>
      <w:bookmarkEnd w:id="408"/>
      <w:r>
        <w:rPr>
          <w:b w:val="0"/>
          <w:bCs w:val="0"/>
        </w:rPr>
      </w:r>
      <w:r>
        <w:rPr/>
        <w:t>（</w:t>
      </w:r>
      <w:r>
        <w:rPr>
          <w:rFonts w:ascii="Times New Roman" w:hAnsi="Times New Roman" w:cs="Times New Roman" w:eastAsia="Times New Roman" w:hint="default"/>
        </w:rPr>
        <w:t>1</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117,652,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737.59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4,137,22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3.52%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113,515,5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15.57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pacing w:val="-3"/>
                <w:sz w:val="18"/>
              </w:rPr>
              <w:t>115,411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,506.39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98.62%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4,141,320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111,270,18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5.87</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1,612,0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44.00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1,612,044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117,652,</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737.59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4,137,22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2.02</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113,515,5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15.57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42" w:right="0"/>
              <w:jc w:val="left"/>
              <w:rPr>
                <w:rFonts w:ascii="Times New Roman" w:hAnsi="Times New Roman" w:cs="Times New Roman" w:eastAsia="Times New Roman" w:hint="default"/>
                <w:sz w:val="18"/>
                <w:szCs w:val="18"/>
              </w:rPr>
            </w:pPr>
            <w:r>
              <w:rPr>
                <w:rFonts w:ascii="Times New Roman"/>
                <w:sz w:val="18"/>
              </w:rPr>
              <w:t>117,023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,550.39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5,753,364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111,270,18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5.87</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70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7075"/>
      </w:tblGrid>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type w:val="continuous"/>
          <w:pgSz w:w="11910" w:h="16840"/>
          <w:pgMar w:top="1060" w:bottom="70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0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83,390,160.08</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0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4,493,314.04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224,665.70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7,826,014.00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782,601.40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6,582,347.47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987,352.12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7,825,174.00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1,565,034.80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577,568.00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577,568.00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110,694,577.59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4,137,222.02</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8772"/>
        <w:jc w:val="left"/>
      </w:pPr>
      <w:r>
        <w:rPr/>
        <w:t>确定该组合依据的说明： 无</w:t>
      </w:r>
    </w:p>
    <w:p>
      <w:pPr>
        <w:pStyle w:val="BodyText"/>
        <w:spacing w:line="240" w:lineRule="auto" w:before="29"/>
        <w:ind w:right="0"/>
        <w:jc w:val="left"/>
      </w:pPr>
      <w:r>
        <w:rPr/>
        <w:t>组合中，采用余额百分比法计提坏账准备的应收账款：</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4"/>
        <w:rPr>
          <w:rFonts w:ascii="宋体" w:hAnsi="宋体" w:cs="宋体" w:eastAsia="宋体" w:hint="default"/>
          <w:sz w:val="2"/>
          <w:szCs w:val="2"/>
        </w:rPr>
      </w:pPr>
    </w:p>
    <w:tbl>
      <w:tblPr>
        <w:tblW w:w="0" w:type="auto"/>
        <w:jc w:val="left"/>
        <w:tblInd w:w="139" w:type="dxa"/>
        <w:tblLayout w:type="fixed"/>
        <w:tblCellMar>
          <w:top w:w="0" w:type="dxa"/>
          <w:left w:w="0" w:type="dxa"/>
          <w:bottom w:w="0" w:type="dxa"/>
          <w:right w:w="0" w:type="dxa"/>
        </w:tblCellMar>
        <w:tblLook w:val="01E0"/>
      </w:tblPr>
      <w:tblGrid>
        <w:gridCol w:w="3482"/>
        <w:gridCol w:w="2280"/>
        <w:gridCol w:w="2132"/>
        <w:gridCol w:w="1765"/>
      </w:tblGrid>
      <w:tr>
        <w:trPr>
          <w:trHeight w:val="342" w:hRule="exact"/>
        </w:trPr>
        <w:tc>
          <w:tcPr>
            <w:tcW w:w="348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6177"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3482" w:type="dxa"/>
            <w:vMerge/>
            <w:tcBorders>
              <w:left w:val="single" w:sz="4" w:space="0" w:color="000000"/>
              <w:bottom w:val="single" w:sz="4" w:space="0" w:color="000000"/>
              <w:right w:val="single" w:sz="4" w:space="0" w:color="000000"/>
            </w:tcBorders>
            <w:shd w:val="clear" w:color="auto" w:fill="D9D9D9"/>
          </w:tcPr>
          <w:p>
            <w:pPr/>
          </w:p>
        </w:tc>
        <w:tc>
          <w:tcPr>
            <w:tcW w:w="22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1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70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61"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内部及关联方组合</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6,958,160.00</w:t>
            </w:r>
          </w:p>
        </w:tc>
        <w:tc>
          <w:tcPr>
            <w:tcW w:w="2132"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4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6,958,160.00</w:t>
            </w:r>
          </w:p>
        </w:tc>
        <w:tc>
          <w:tcPr>
            <w:tcW w:w="2132"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765" w:type="dxa"/>
            <w:tcBorders>
              <w:top w:val="single" w:sz="4" w:space="0" w:color="000000"/>
              <w:left w:val="single" w:sz="4" w:space="0" w:color="000000"/>
              <w:bottom w:val="single" w:sz="4" w:space="0" w:color="000000"/>
              <w:right w:val="single" w:sz="4" w:space="0" w:color="000000"/>
            </w:tcBorders>
            <w:shd w:val="clear" w:color="auto" w:fill="D9D9D9"/>
          </w:tcPr>
          <w:p>
            <w:pPr/>
          </w:p>
        </w:tc>
      </w:tr>
    </w:tbl>
    <w:p>
      <w:pPr>
        <w:spacing w:line="240" w:lineRule="auto" w:before="6"/>
        <w:rPr>
          <w:rFonts w:ascii="宋体" w:hAnsi="宋体" w:cs="宋体" w:eastAsia="宋体" w:hint="default"/>
          <w:sz w:val="27"/>
          <w:szCs w:val="27"/>
        </w:rPr>
      </w:pPr>
    </w:p>
    <w:p>
      <w:pPr>
        <w:pStyle w:val="BodyText"/>
        <w:spacing w:line="240" w:lineRule="auto" w:before="44"/>
        <w:ind w:right="0"/>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4460"/>
        <w:jc w:val="left"/>
      </w:pPr>
      <w:r>
        <w:rPr/>
        <w:t>本期计提坏账准备金额</w:t>
      </w:r>
      <w:r>
        <w:rPr>
          <w:spacing w:val="-47"/>
        </w:rPr>
        <w:t> </w:t>
      </w:r>
      <w:r>
        <w:rPr>
          <w:rFonts w:ascii="Times New Roman" w:hAnsi="Times New Roman" w:cs="Times New Roman" w:eastAsia="Times New Roman" w:hint="default"/>
        </w:rPr>
        <w:t>1,698,621.50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10"/>
        <w:rPr>
          <w:rFonts w:ascii="宋体" w:hAnsi="宋体" w:cs="宋体" w:eastAsia="宋体" w:hint="default"/>
          <w:sz w:val="26"/>
          <w:szCs w:val="26"/>
        </w:rPr>
      </w:pPr>
    </w:p>
    <w:p>
      <w:pPr>
        <w:pStyle w:val="BodyText"/>
        <w:spacing w:line="240" w:lineRule="auto" w:before="44"/>
        <w:ind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1"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3,314,764.00</w:t>
            </w:r>
          </w:p>
        </w:tc>
      </w:tr>
    </w:tbl>
    <w:p>
      <w:pPr>
        <w:pStyle w:val="BodyText"/>
        <w:spacing w:line="240" w:lineRule="auto" w:before="51"/>
        <w:ind w:right="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068"/>
        <w:gridCol w:w="1565"/>
        <w:gridCol w:w="1378"/>
        <w:gridCol w:w="1068"/>
        <w:gridCol w:w="1813"/>
        <w:gridCol w:w="2802"/>
      </w:tblGrid>
      <w:tr>
        <w:trPr>
          <w:trHeight w:val="402" w:hRule="exact"/>
        </w:trPr>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5" w:right="0"/>
              <w:jc w:val="left"/>
              <w:rPr>
                <w:rFonts w:ascii="宋体" w:hAnsi="宋体" w:cs="宋体" w:eastAsia="宋体" w:hint="default"/>
                <w:sz w:val="18"/>
                <w:szCs w:val="18"/>
              </w:rPr>
            </w:pPr>
            <w:r>
              <w:rPr>
                <w:rFonts w:ascii="宋体" w:hAnsi="宋体" w:cs="宋体" w:eastAsia="宋体" w:hint="default"/>
                <w:sz w:val="18"/>
                <w:szCs w:val="18"/>
              </w:rPr>
              <w:t>款项是否由关联交易产生</w:t>
            </w:r>
          </w:p>
        </w:tc>
      </w:tr>
      <w:tr>
        <w:trPr>
          <w:trHeight w:val="402"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1,250,000.00</w:t>
            </w: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rFonts w:ascii="Times New Roman" w:hAnsi="Times New Roman" w:cs="Times New Roman" w:eastAsia="Times New Roman" w:hint="default"/>
        </w:rPr>
        <w:t>4)</w:t>
      </w:r>
      <w:r>
        <w:rPr/>
        <w:t>按欠款方归集的期末余额前五名的应收账款情况</w:t>
      </w:r>
    </w:p>
    <w:p>
      <w:pPr>
        <w:spacing w:line="240" w:lineRule="auto" w:before="0"/>
        <w:rPr>
          <w:rFonts w:ascii="宋体" w:hAnsi="宋体" w:cs="宋体" w:eastAsia="宋体" w:hint="default"/>
          <w:sz w:val="7"/>
          <w:szCs w:val="7"/>
        </w:rPr>
      </w:pPr>
    </w:p>
    <w:tbl>
      <w:tblPr>
        <w:tblW w:w="0" w:type="auto"/>
        <w:jc w:val="left"/>
        <w:tblInd w:w="139" w:type="dxa"/>
        <w:tblLayout w:type="fixed"/>
        <w:tblCellMar>
          <w:top w:w="0" w:type="dxa"/>
          <w:left w:w="0" w:type="dxa"/>
          <w:bottom w:w="0" w:type="dxa"/>
          <w:right w:w="0" w:type="dxa"/>
        </w:tblCellMar>
        <w:tblLook w:val="01E0"/>
      </w:tblPr>
      <w:tblGrid>
        <w:gridCol w:w="1461"/>
        <w:gridCol w:w="2082"/>
        <w:gridCol w:w="4480"/>
        <w:gridCol w:w="1636"/>
      </w:tblGrid>
      <w:tr>
        <w:trPr>
          <w:trHeight w:val="422" w:hRule="exact"/>
        </w:trPr>
        <w:tc>
          <w:tcPr>
            <w:tcW w:w="146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8198"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2" w:hRule="exact"/>
        </w:trPr>
        <w:tc>
          <w:tcPr>
            <w:tcW w:w="1461" w:type="dxa"/>
            <w:vMerge/>
            <w:tcBorders>
              <w:left w:val="single" w:sz="4" w:space="0" w:color="000000"/>
              <w:bottom w:val="single" w:sz="4" w:space="0" w:color="000000"/>
              <w:right w:val="single" w:sz="4" w:space="0" w:color="000000"/>
            </w:tcBorders>
            <w:shd w:val="clear" w:color="auto" w:fill="D9D9D9"/>
          </w:tcPr>
          <w:p>
            <w:pPr/>
          </w:p>
        </w:tc>
        <w:tc>
          <w:tcPr>
            <w:tcW w:w="20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67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4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11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占应收账款合计数的比例</w:t>
            </w:r>
            <w:r>
              <w:rPr>
                <w:rFonts w:ascii="Times New Roman" w:hAnsi="Times New Roman" w:cs="Times New Roman" w:eastAsia="Times New Roman" w:hint="default"/>
                <w:sz w:val="18"/>
                <w:szCs w:val="18"/>
              </w:rPr>
              <w:t>(%)</w:t>
            </w:r>
          </w:p>
        </w:tc>
        <w:tc>
          <w:tcPr>
            <w:tcW w:w="16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45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22" w:hRule="exact"/>
        </w:trPr>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21" w:right="0"/>
              <w:jc w:val="left"/>
              <w:rPr>
                <w:rFonts w:ascii="Times New Roman" w:hAnsi="Times New Roman" w:cs="Times New Roman" w:eastAsia="Times New Roman" w:hint="default"/>
                <w:sz w:val="18"/>
                <w:szCs w:val="18"/>
              </w:rPr>
            </w:pPr>
            <w:r>
              <w:rPr>
                <w:rFonts w:ascii="Times New Roman"/>
                <w:sz w:val="18"/>
              </w:rPr>
              <w:t>8,381,150.00</w:t>
            </w:r>
          </w:p>
        </w:tc>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7.12</w:t>
            </w:r>
          </w:p>
        </w:tc>
        <w:tc>
          <w:tcPr>
            <w:tcW w:w="16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39" w:type="dxa"/>
        <w:tblLayout w:type="fixed"/>
        <w:tblCellMar>
          <w:top w:w="0" w:type="dxa"/>
          <w:left w:w="0" w:type="dxa"/>
          <w:bottom w:w="0" w:type="dxa"/>
          <w:right w:w="0" w:type="dxa"/>
        </w:tblCellMar>
        <w:tblLook w:val="01E0"/>
      </w:tblPr>
      <w:tblGrid>
        <w:gridCol w:w="1461"/>
        <w:gridCol w:w="2082"/>
        <w:gridCol w:w="4480"/>
        <w:gridCol w:w="1636"/>
      </w:tblGrid>
      <w:tr>
        <w:trPr>
          <w:trHeight w:val="422" w:hRule="exact"/>
        </w:trPr>
        <w:tc>
          <w:tcPr>
            <w:tcW w:w="146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8198"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1" w:hRule="exact"/>
        </w:trPr>
        <w:tc>
          <w:tcPr>
            <w:tcW w:w="1461" w:type="dxa"/>
            <w:vMerge/>
            <w:tcBorders>
              <w:left w:val="single" w:sz="4" w:space="0" w:color="000000"/>
              <w:bottom w:val="single" w:sz="4" w:space="0" w:color="000000"/>
              <w:right w:val="single" w:sz="4" w:space="0" w:color="000000"/>
            </w:tcBorders>
            <w:shd w:val="clear" w:color="auto" w:fill="D9D9D9"/>
          </w:tcPr>
          <w:p>
            <w:pPr/>
          </w:p>
        </w:tc>
        <w:tc>
          <w:tcPr>
            <w:tcW w:w="20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67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4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11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占应收账款合计数的比例</w:t>
            </w:r>
            <w:r>
              <w:rPr>
                <w:rFonts w:ascii="Times New Roman" w:hAnsi="Times New Roman" w:cs="Times New Roman" w:eastAsia="Times New Roman" w:hint="default"/>
                <w:sz w:val="18"/>
                <w:szCs w:val="18"/>
              </w:rPr>
              <w:t>(%)</w:t>
            </w:r>
          </w:p>
        </w:tc>
        <w:tc>
          <w:tcPr>
            <w:tcW w:w="16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45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22" w:hRule="exact"/>
        </w:trPr>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6,788,160.00</w:t>
            </w:r>
          </w:p>
        </w:tc>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
              <w:jc w:val="right"/>
              <w:rPr>
                <w:rFonts w:ascii="Times New Roman" w:hAnsi="Times New Roman" w:cs="Times New Roman" w:eastAsia="Times New Roman" w:hint="default"/>
                <w:sz w:val="18"/>
                <w:szCs w:val="18"/>
              </w:rPr>
            </w:pPr>
            <w:r>
              <w:rPr>
                <w:rFonts w:ascii="Times New Roman"/>
                <w:sz w:val="18"/>
              </w:rPr>
              <w:t>5.77</w:t>
            </w:r>
          </w:p>
        </w:tc>
        <w:tc>
          <w:tcPr>
            <w:tcW w:w="1636" w:type="dxa"/>
            <w:tcBorders>
              <w:top w:val="single" w:sz="4" w:space="0" w:color="000000"/>
              <w:left w:val="single" w:sz="4" w:space="0" w:color="000000"/>
              <w:bottom w:val="single" w:sz="4" w:space="0" w:color="000000"/>
              <w:right w:val="single" w:sz="4" w:space="0" w:color="000000"/>
            </w:tcBorders>
          </w:tcPr>
          <w:p>
            <w:pPr/>
          </w:p>
        </w:tc>
      </w:tr>
      <w:tr>
        <w:trPr>
          <w:trHeight w:val="423" w:hRule="exact"/>
        </w:trPr>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2,766,599.99</w:t>
            </w:r>
          </w:p>
        </w:tc>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
              <w:jc w:val="right"/>
              <w:rPr>
                <w:rFonts w:ascii="Times New Roman" w:hAnsi="Times New Roman" w:cs="Times New Roman" w:eastAsia="Times New Roman" w:hint="default"/>
                <w:sz w:val="18"/>
                <w:szCs w:val="18"/>
              </w:rPr>
            </w:pPr>
            <w:r>
              <w:rPr>
                <w:rFonts w:ascii="Times New Roman"/>
                <w:sz w:val="18"/>
              </w:rPr>
              <w:t>2.35</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57,750.00</w:t>
            </w:r>
          </w:p>
        </w:tc>
      </w:tr>
      <w:tr>
        <w:trPr>
          <w:trHeight w:val="421" w:hRule="exact"/>
        </w:trPr>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2,545,802.99</w:t>
            </w:r>
          </w:p>
        </w:tc>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z w:val="18"/>
              </w:rPr>
              <w:t>2.16</w:t>
            </w:r>
          </w:p>
        </w:tc>
        <w:tc>
          <w:tcPr>
            <w:tcW w:w="1636"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2,277,500.00</w:t>
            </w:r>
          </w:p>
        </w:tc>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
              <w:jc w:val="right"/>
              <w:rPr>
                <w:rFonts w:ascii="Times New Roman" w:hAnsi="Times New Roman" w:cs="Times New Roman" w:eastAsia="Times New Roman" w:hint="default"/>
                <w:sz w:val="18"/>
                <w:szCs w:val="18"/>
              </w:rPr>
            </w:pPr>
            <w:r>
              <w:rPr>
                <w:rFonts w:ascii="Times New Roman"/>
                <w:sz w:val="18"/>
              </w:rPr>
              <w:t>1.94</w:t>
            </w:r>
          </w:p>
        </w:tc>
        <w:tc>
          <w:tcPr>
            <w:tcW w:w="1636"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14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22,759,212.98</w:t>
            </w:r>
          </w:p>
        </w:tc>
        <w:tc>
          <w:tcPr>
            <w:tcW w:w="44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19.34</w:t>
            </w:r>
          </w:p>
        </w:tc>
        <w:tc>
          <w:tcPr>
            <w:tcW w:w="16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57,750.00</w:t>
            </w:r>
          </w:p>
        </w:tc>
      </w:tr>
    </w:tbl>
    <w:p>
      <w:pPr>
        <w:pStyle w:val="BodyText"/>
        <w:spacing w:line="338" w:lineRule="auto" w:before="52"/>
        <w:ind w:right="7542"/>
        <w:jc w:val="left"/>
      </w:pPr>
      <w:r>
        <w:rPr>
          <w:rFonts w:ascii="Times New Roman" w:hAnsi="Times New Roman" w:cs="Times New Roman" w:eastAsia="Times New Roman" w:hint="default"/>
        </w:rPr>
        <w:t>5)</w:t>
      </w:r>
      <w:r>
        <w:rPr/>
        <w:t>因金融资产转移而终止确认的应收账款</w:t>
      </w:r>
      <w:r>
        <w:rPr>
          <w:w w:val="99"/>
        </w:rPr>
        <w:t> </w:t>
      </w:r>
      <w:r>
        <w:rPr/>
        <w:t>无</w:t>
      </w:r>
    </w:p>
    <w:p>
      <w:pPr>
        <w:pStyle w:val="BodyText"/>
        <w:spacing w:line="338" w:lineRule="auto" w:before="43"/>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无</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2、其他应收款" w:id="409"/>
      <w:bookmarkEnd w:id="409"/>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136,147,378.92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59,662,533.23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136,147,378.92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59,662,533.23</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1）其他应收款" w:id="410"/>
      <w:bookmarkEnd w:id="410"/>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653"/>
        <w:gridCol w:w="1193"/>
        <w:gridCol w:w="701"/>
        <w:gridCol w:w="995"/>
        <w:gridCol w:w="525"/>
        <w:gridCol w:w="1181"/>
        <w:gridCol w:w="1091"/>
        <w:gridCol w:w="701"/>
        <w:gridCol w:w="1001"/>
        <w:gridCol w:w="524"/>
        <w:gridCol w:w="1091"/>
      </w:tblGrid>
      <w:tr>
        <w:trPr>
          <w:trHeight w:val="397" w:hRule="exact"/>
        </w:trPr>
        <w:tc>
          <w:tcPr>
            <w:tcW w:w="653" w:type="dxa"/>
            <w:vMerge w:val="restart"/>
            <w:tcBorders>
              <w:top w:val="single" w:sz="4" w:space="0" w:color="000000"/>
              <w:left w:val="single" w:sz="4" w:space="0" w:color="000000"/>
              <w:right w:val="single" w:sz="4" w:space="0" w:color="000000"/>
            </w:tcBorders>
            <w:shd w:val="clear" w:color="auto" w:fill="D2D2D2"/>
          </w:tcPr>
          <w:p>
            <w:pPr/>
          </w:p>
        </w:tc>
        <w:tc>
          <w:tcPr>
            <w:tcW w:w="45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653" w:type="dxa"/>
            <w:vMerge/>
            <w:tcBorders>
              <w:left w:val="single" w:sz="4" w:space="0" w:color="000000"/>
              <w:bottom w:val="nil" w:sz="6" w:space="0" w:color="auto"/>
              <w:right w:val="single" w:sz="4" w:space="0" w:color="000000"/>
            </w:tcBorders>
            <w:shd w:val="clear" w:color="auto" w:fill="D2D2D2"/>
          </w:tcPr>
          <w:p>
            <w:pPr/>
          </w:p>
        </w:tc>
        <w:tc>
          <w:tcPr>
            <w:tcW w:w="18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7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894" w:type="dxa"/>
            <w:gridSpan w:val="2"/>
            <w:vMerge/>
            <w:tcBorders>
              <w:left w:val="single" w:sz="4" w:space="0" w:color="000000"/>
              <w:bottom w:val="single" w:sz="4" w:space="0" w:color="000000"/>
              <w:right w:val="single" w:sz="4" w:space="0" w:color="000000"/>
            </w:tcBorders>
            <w:shd w:val="clear" w:color="auto" w:fill="D2D2D2"/>
          </w:tcPr>
          <w:p>
            <w:pPr/>
          </w:p>
        </w:tc>
        <w:tc>
          <w:tcPr>
            <w:tcW w:w="1520" w:type="dxa"/>
            <w:gridSpan w:val="2"/>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792" w:type="dxa"/>
            <w:gridSpan w:val="2"/>
            <w:vMerge/>
            <w:tcBorders>
              <w:left w:val="single" w:sz="4" w:space="0" w:color="000000"/>
              <w:bottom w:val="single" w:sz="4" w:space="0" w:color="000000"/>
              <w:right w:val="single" w:sz="4" w:space="0" w:color="000000"/>
            </w:tcBorders>
            <w:shd w:val="clear" w:color="auto" w:fill="D2D2D2"/>
          </w:tcPr>
          <w:p>
            <w:pP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653" w:type="dxa"/>
            <w:vMerge/>
            <w:tcBorders>
              <w:left w:val="single" w:sz="4" w:space="0" w:color="000000"/>
              <w:bottom w:val="nil" w:sz="6" w:space="0" w:color="auto"/>
              <w:right w:val="single" w:sz="4" w:space="0" w:color="000000"/>
            </w:tcBorders>
            <w:shd w:val="clear" w:color="auto" w:fill="D2D2D2"/>
          </w:tcPr>
          <w:p>
            <w:pP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5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6" w:right="7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2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5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6" w:right="77"/>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8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653" w:type="dxa"/>
            <w:vMerge w:val="restart"/>
            <w:tcBorders>
              <w:top w:val="nil" w:sz="6" w:space="0" w:color="auto"/>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5"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4"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653"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c>
          <w:tcPr>
            <w:tcW w:w="995" w:type="dxa"/>
            <w:vMerge/>
            <w:tcBorders>
              <w:left w:val="single" w:sz="4" w:space="0" w:color="000000"/>
              <w:bottom w:val="nil" w:sz="6" w:space="0" w:color="auto"/>
              <w:right w:val="single" w:sz="4" w:space="0" w:color="000000"/>
            </w:tcBorders>
            <w:shd w:val="clear" w:color="auto" w:fill="D2D2D2"/>
          </w:tcPr>
          <w:p>
            <w:pPr/>
          </w:p>
        </w:tc>
        <w:tc>
          <w:tcPr>
            <w:tcW w:w="525"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524"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653"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525"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524"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r>
      <w:tr>
        <w:trPr>
          <w:trHeight w:val="2274" w:hRule="exact"/>
        </w:trPr>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0"/>
              <w:jc w:val="both"/>
              <w:rPr>
                <w:rFonts w:ascii="宋体" w:hAnsi="宋体" w:cs="宋体" w:eastAsia="宋体" w:hint="default"/>
                <w:sz w:val="18"/>
                <w:szCs w:val="18"/>
              </w:rPr>
            </w:pPr>
            <w:r>
              <w:rPr>
                <w:rFonts w:ascii="宋体" w:hAnsi="宋体" w:cs="宋体" w:eastAsia="宋体" w:hint="default"/>
                <w:sz w:val="18"/>
                <w:szCs w:val="18"/>
              </w:rPr>
              <w:t>按信用 风险特 征组合 计提坏 账准备 的其他 应收款</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140,371,491.21</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4,224,112.29</w:t>
            </w:r>
          </w:p>
        </w:tc>
        <w:tc>
          <w:tcPr>
            <w:tcW w:w="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3.01%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136,147,378.92</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63,080,700.51</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3,418,167.28</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5.42%</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59,662,533.23</w:t>
            </w:r>
          </w:p>
        </w:tc>
      </w:tr>
      <w:tr>
        <w:trPr>
          <w:trHeight w:val="402" w:hRule="exact"/>
        </w:trPr>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140,371,491.21</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4,224,112.29</w:t>
            </w:r>
          </w:p>
        </w:tc>
        <w:tc>
          <w:tcPr>
            <w:tcW w:w="52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136,147,378.92</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63,080,700.51</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3,418,167.28</w:t>
            </w:r>
          </w:p>
        </w:tc>
        <w:tc>
          <w:tcPr>
            <w:tcW w:w="5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59,662,533.23</w:t>
            </w:r>
          </w:p>
        </w:tc>
      </w:tr>
    </w:tbl>
    <w:p>
      <w:pPr>
        <w:pStyle w:val="BodyText"/>
        <w:spacing w:line="240" w:lineRule="auto" w:before="51"/>
        <w:ind w:right="0"/>
        <w:jc w:val="left"/>
      </w:pPr>
      <w:r>
        <w:rPr/>
        <w:t>期末单项金额重大并单项计提坏账准备的其他应收款：</w:t>
      </w:r>
    </w:p>
    <w:p>
      <w:pPr>
        <w:pStyle w:val="BodyText"/>
        <w:spacing w:line="338" w:lineRule="auto" w:before="117"/>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spacing w:after="0" w:line="338"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0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17,492,008.11</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0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6,867,046.81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343,352.34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8,891,354.40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889,135.44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9,127,234.00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1,369,085.10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3,944,067.06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788,813.41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833,726.00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833,726.00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47,155,436.38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4,224,112.29</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8772"/>
        <w:jc w:val="left"/>
      </w:pPr>
      <w:r>
        <w:rPr/>
        <w:t>确定该组合依据的说明： 无</w:t>
      </w:r>
    </w:p>
    <w:p>
      <w:pPr>
        <w:pStyle w:val="BodyText"/>
        <w:spacing w:line="240" w:lineRule="auto" w:before="29"/>
        <w:ind w:right="0"/>
        <w:jc w:val="left"/>
      </w:pPr>
      <w:r>
        <w:rPr/>
        <w:t>组合中，采用余额百分比法计提坏账准备的其他应收款：</w:t>
      </w:r>
    </w:p>
    <w:p>
      <w:pPr>
        <w:pStyle w:val="BodyText"/>
        <w:spacing w:line="340" w:lineRule="auto" w:before="116"/>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4"/>
        <w:rPr>
          <w:rFonts w:ascii="宋体" w:hAnsi="宋体" w:cs="宋体" w:eastAsia="宋体" w:hint="default"/>
          <w:sz w:val="7"/>
          <w:szCs w:val="7"/>
        </w:rPr>
      </w:pPr>
    </w:p>
    <w:tbl>
      <w:tblPr>
        <w:tblW w:w="0" w:type="auto"/>
        <w:jc w:val="left"/>
        <w:tblInd w:w="139" w:type="dxa"/>
        <w:tblLayout w:type="fixed"/>
        <w:tblCellMar>
          <w:top w:w="0" w:type="dxa"/>
          <w:left w:w="0" w:type="dxa"/>
          <w:bottom w:w="0" w:type="dxa"/>
          <w:right w:w="0" w:type="dxa"/>
        </w:tblCellMar>
        <w:tblLook w:val="01E0"/>
      </w:tblPr>
      <w:tblGrid>
        <w:gridCol w:w="2611"/>
        <w:gridCol w:w="2267"/>
        <w:gridCol w:w="2268"/>
        <w:gridCol w:w="2513"/>
      </w:tblGrid>
      <w:tr>
        <w:trPr>
          <w:trHeight w:val="417" w:hRule="exact"/>
        </w:trPr>
        <w:tc>
          <w:tcPr>
            <w:tcW w:w="261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048"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2" w:hRule="exact"/>
        </w:trPr>
        <w:tc>
          <w:tcPr>
            <w:tcW w:w="2611" w:type="dxa"/>
            <w:vMerge/>
            <w:tcBorders>
              <w:left w:val="single" w:sz="4" w:space="0" w:color="000000"/>
              <w:bottom w:val="single" w:sz="4" w:space="0" w:color="000000"/>
              <w:right w:val="single" w:sz="4" w:space="0" w:color="000000"/>
            </w:tcBorders>
            <w:shd w:val="clear" w:color="auto" w:fill="D9D9D9"/>
          </w:tcPr>
          <w:p>
            <w:pPr/>
          </w:p>
        </w:tc>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67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5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63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1" w:hRule="exact"/>
        </w:trPr>
        <w:tc>
          <w:tcPr>
            <w:tcW w:w="26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1154"/>
              <w:jc w:val="right"/>
              <w:rPr>
                <w:rFonts w:ascii="宋体" w:hAnsi="宋体" w:cs="宋体" w:eastAsia="宋体" w:hint="default"/>
                <w:sz w:val="18"/>
                <w:szCs w:val="18"/>
              </w:rPr>
            </w:pPr>
            <w:r>
              <w:rPr>
                <w:rFonts w:ascii="宋体" w:hAnsi="宋体" w:cs="宋体" w:eastAsia="宋体" w:hint="default"/>
                <w:sz w:val="18"/>
                <w:szCs w:val="18"/>
              </w:rPr>
              <w:t>内部及关联方组合</w:t>
            </w:r>
          </w:p>
        </w:tc>
        <w:tc>
          <w:tcPr>
            <w:tcW w:w="2267" w:type="dxa"/>
            <w:tcBorders>
              <w:top w:val="single" w:sz="8" w:space="0" w:color="000000"/>
              <w:left w:val="single" w:sz="6" w:space="0" w:color="000000"/>
              <w:bottom w:val="single" w:sz="4" w:space="0" w:color="000000"/>
              <w:right w:val="single" w:sz="4" w:space="0" w:color="000000"/>
            </w:tcBorders>
          </w:tcPr>
          <w:p>
            <w:pPr>
              <w:pStyle w:val="TableParagraph"/>
              <w:spacing w:line="240" w:lineRule="auto" w:before="95"/>
              <w:ind w:right="2"/>
              <w:jc w:val="right"/>
              <w:rPr>
                <w:rFonts w:ascii="Times New Roman" w:hAnsi="Times New Roman" w:cs="Times New Roman" w:eastAsia="Times New Roman" w:hint="default"/>
                <w:sz w:val="18"/>
                <w:szCs w:val="18"/>
              </w:rPr>
            </w:pPr>
            <w:r>
              <w:rPr>
                <w:rFonts w:ascii="Times New Roman"/>
                <w:spacing w:val="-1"/>
                <w:sz w:val="18"/>
              </w:rPr>
              <w:t>93,216,054.83</w:t>
            </w:r>
          </w:p>
        </w:tc>
        <w:tc>
          <w:tcPr>
            <w:tcW w:w="2268" w:type="dxa"/>
            <w:tcBorders>
              <w:top w:val="single" w:sz="8" w:space="0" w:color="000000"/>
              <w:left w:val="single" w:sz="4" w:space="0" w:color="000000"/>
              <w:bottom w:val="single" w:sz="4" w:space="0" w:color="000000"/>
              <w:right w:val="single" w:sz="4" w:space="0" w:color="000000"/>
            </w:tcBorders>
          </w:tcPr>
          <w:p>
            <w:pPr/>
          </w:p>
        </w:tc>
        <w:tc>
          <w:tcPr>
            <w:tcW w:w="2513" w:type="dxa"/>
            <w:tcBorders>
              <w:top w:val="single" w:sz="8" w:space="0" w:color="000000"/>
              <w:left w:val="single" w:sz="4" w:space="0" w:color="000000"/>
              <w:bottom w:val="single" w:sz="4" w:space="0" w:color="000000"/>
              <w:right w:val="single" w:sz="4" w:space="0" w:color="000000"/>
            </w:tcBorders>
          </w:tcPr>
          <w:p>
            <w:pPr/>
          </w:p>
        </w:tc>
      </w:tr>
      <w:tr>
        <w:trPr>
          <w:trHeight w:val="422" w:hRule="exact"/>
        </w:trPr>
        <w:tc>
          <w:tcPr>
            <w:tcW w:w="26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right="1119"/>
              <w:jc w:val="right"/>
              <w:rPr>
                <w:rFonts w:ascii="宋体" w:hAnsi="宋体" w:cs="宋体" w:eastAsia="宋体" w:hint="default"/>
                <w:sz w:val="18"/>
                <w:szCs w:val="18"/>
              </w:rPr>
            </w:pPr>
            <w:r>
              <w:rPr>
                <w:rFonts w:ascii="宋体" w:hAnsi="宋体" w:cs="宋体" w:eastAsia="宋体" w:hint="default"/>
                <w:sz w:val="18"/>
                <w:szCs w:val="18"/>
              </w:rPr>
              <w:t>合计</w:t>
            </w:r>
          </w:p>
        </w:tc>
        <w:tc>
          <w:tcPr>
            <w:tcW w:w="226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93,216,054.83</w:t>
            </w:r>
          </w:p>
        </w:tc>
        <w:tc>
          <w:tcPr>
            <w:tcW w:w="2268"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pStyle w:val="BodyText"/>
        <w:spacing w:line="240" w:lineRule="auto" w:before="51"/>
        <w:ind w:right="-13"/>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3"/>
        <w:ind w:right="-13"/>
        <w:jc w:val="left"/>
      </w:pPr>
      <w:r>
        <w:rPr/>
        <w:t>本期计提坏账准备金额</w:t>
      </w:r>
      <w:r>
        <w:rPr>
          <w:spacing w:val="-47"/>
        </w:rPr>
        <w:t> </w:t>
      </w:r>
      <w:r>
        <w:rPr>
          <w:rFonts w:ascii="Times New Roman" w:hAnsi="Times New Roman" w:cs="Times New Roman" w:eastAsia="Times New Roman" w:hint="default"/>
        </w:rPr>
        <w:t>2,396,945.01</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13"/>
        <w:jc w:val="left"/>
      </w:pPr>
      <w:r>
        <w:rPr>
          <w:rFonts w:ascii="Times New Roman" w:hAnsi="Times New Roman" w:cs="Times New Roman" w:eastAsia="Times New Roman" w:hint="default"/>
        </w:rPr>
        <w:t>3)</w:t>
      </w:r>
      <w:r>
        <w:rPr/>
        <w:t>本期实际核销的其他应收款情况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700" w:left="980" w:right="0"/>
          <w:cols w:num="2" w:equalWidth="0">
            <w:col w:w="6454" w:space="237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1,591,000.00</w:t>
            </w:r>
          </w:p>
        </w:tc>
      </w:tr>
    </w:tbl>
    <w:p>
      <w:pPr>
        <w:pStyle w:val="BodyText"/>
        <w:spacing w:line="240" w:lineRule="auto" w:before="51"/>
        <w:ind w:right="0"/>
        <w:jc w:val="left"/>
      </w:pP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1,300,000.00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rFonts w:ascii="Times New Roman" w:hAnsi="Times New Roman" w:cs="Times New Roman" w:eastAsia="Times New Roman" w:hint="default"/>
        </w:rPr>
        <w:t>4)</w:t>
      </w:r>
      <w:r>
        <w:rPr/>
        <w:t>其他应收款按款项性质分类情况</w:t>
      </w:r>
    </w:p>
    <w:p>
      <w:pPr>
        <w:pStyle w:val="BodyText"/>
        <w:spacing w:line="240" w:lineRule="auto" w:before="102"/>
        <w:ind w:left="0" w:right="1130"/>
        <w:jc w:val="right"/>
      </w:pPr>
      <w:r>
        <w:rPr/>
        <w:t>单位： 元</w:t>
      </w:r>
    </w:p>
    <w:p>
      <w:pPr>
        <w:spacing w:after="0" w:line="240" w:lineRule="auto"/>
        <w:jc w:val="right"/>
        <w:sectPr>
          <w:type w:val="continuous"/>
          <w:pgSz w:w="11910" w:h="16840"/>
          <w:pgMar w:top="1060" w:bottom="70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9,484,019.21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4,847,149.44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押金、保证金等</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47,175,887.36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42,539,646.46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83,711,584.64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15,693,904.61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140,371,491.21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63,080,700.51</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28,780,000.00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pacing w:val="-10"/>
                <w:sz w:val="18"/>
                <w:szCs w:val="18"/>
              </w:rPr>
              <w:t>个月、</w:t>
            </w:r>
            <w:r>
              <w:rPr>
                <w:rFonts w:ascii="Times New Roman" w:hAnsi="Times New Roman" w:cs="Times New Roman" w:eastAsia="Times New Roman" w:hint="default"/>
                <w:spacing w:val="-10"/>
                <w:sz w:val="18"/>
                <w:szCs w:val="18"/>
              </w:rPr>
              <w:t>6-12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20.50%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11.75%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6,095,352.85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38"/>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r>
              <w:rPr>
                <w:rFonts w:ascii="Times New Roman" w:hAnsi="Times New Roman" w:cs="Times New Roman" w:eastAsia="Times New Roman" w:hint="default"/>
                <w:sz w:val="18"/>
                <w:szCs w:val="18"/>
              </w:rPr>
              <w:t>12-24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71,875,352.85</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51.19%</w:t>
            </w:r>
          </w:p>
        </w:tc>
        <w:tc>
          <w:tcPr>
            <w:tcW w:w="16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51"/>
        <w:ind w:right="8622"/>
        <w:jc w:val="left"/>
      </w:pPr>
      <w:r>
        <w:rPr>
          <w:rFonts w:ascii="Times New Roman" w:hAnsi="Times New Roman" w:cs="Times New Roman" w:eastAsia="Times New Roman" w:hint="default"/>
        </w:rPr>
        <w:t>6)</w:t>
      </w:r>
      <w:r>
        <w:rPr/>
        <w:t>涉及政府补助的应收款项</w:t>
      </w:r>
      <w:r>
        <w:rPr>
          <w:w w:val="99"/>
        </w:rPr>
        <w:t> </w:t>
      </w:r>
      <w:r>
        <w:rPr/>
        <w:t>无</w:t>
      </w:r>
    </w:p>
    <w:p>
      <w:pPr>
        <w:pStyle w:val="BodyText"/>
        <w:spacing w:line="338" w:lineRule="auto" w:before="44"/>
        <w:ind w:right="7362"/>
        <w:jc w:val="left"/>
      </w:pPr>
      <w:r>
        <w:rPr>
          <w:rFonts w:ascii="Times New Roman" w:hAnsi="Times New Roman" w:cs="Times New Roman" w:eastAsia="Times New Roman" w:hint="default"/>
        </w:rPr>
        <w:t>7)</w:t>
      </w:r>
      <w:r>
        <w:rPr/>
        <w:t>因金融资产转移而终止确认的其他应收款</w:t>
      </w:r>
      <w:r>
        <w:rPr>
          <w:w w:val="99"/>
        </w:rPr>
        <w:t> </w:t>
      </w:r>
      <w:r>
        <w:rPr/>
        <w:t>无</w:t>
      </w:r>
    </w:p>
    <w:p>
      <w:pPr>
        <w:pStyle w:val="BodyText"/>
        <w:spacing w:line="338" w:lineRule="auto" w:before="43"/>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无</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3、长期股权投资" w:id="411"/>
      <w:bookmarkEnd w:id="411"/>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3,656,902,213.58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1,496,472,261.92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2,160,429,951.66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2,665,685,674.58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2,665,685,674.58</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129,886,501.93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129,886,501.93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133,658,047.63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133,658,047.63</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3,786,788,715.51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1,496,472,261.92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2,290,316,453.59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2,799,343,722.21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2,799,343,722.21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412"/>
      <w:bookmarkEnd w:id="412"/>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99"/>
        <w:gridCol w:w="1316"/>
        <w:gridCol w:w="1317"/>
        <w:gridCol w:w="1091"/>
        <w:gridCol w:w="1315"/>
        <w:gridCol w:w="1415"/>
        <w:gridCol w:w="1402"/>
      </w:tblGrid>
      <w:tr>
        <w:trPr>
          <w:trHeight w:val="714"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3" w:right="70"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1" w:right="58"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bl>
    <w:p>
      <w:pPr>
        <w:spacing w:after="0" w:line="316"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799"/>
        <w:gridCol w:w="1316"/>
        <w:gridCol w:w="1317"/>
        <w:gridCol w:w="1091"/>
        <w:gridCol w:w="1315"/>
        <w:gridCol w:w="1415"/>
        <w:gridCol w:w="1414"/>
      </w:tblGrid>
      <w:tr>
        <w:trPr>
          <w:trHeight w:val="714"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3" w:right="70"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1" w:right="71"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西安久其软件有限公 司</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2,974,522.70</w:t>
            </w: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2,974,522.70</w:t>
            </w:r>
          </w:p>
        </w:tc>
        <w:tc>
          <w:tcPr>
            <w:tcW w:w="14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上海久其软件有限公 司</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3,203,281.00</w:t>
            </w: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3,203,281.00</w:t>
            </w:r>
          </w:p>
        </w:tc>
        <w:tc>
          <w:tcPr>
            <w:tcW w:w="14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成都久其软件有限公 司</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2,952,000.00</w:t>
            </w: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2,952,000.00</w:t>
            </w:r>
          </w:p>
        </w:tc>
        <w:tc>
          <w:tcPr>
            <w:tcW w:w="14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广东久其软件有限公 司</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1,504,638.24</w:t>
            </w: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1,504,638.24</w:t>
            </w:r>
          </w:p>
        </w:tc>
        <w:tc>
          <w:tcPr>
            <w:tcW w:w="14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北京久其政务软件股 份有限公司</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307,092,354.54</w:t>
            </w: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307,092,354.54</w:t>
            </w:r>
          </w:p>
        </w:tc>
        <w:tc>
          <w:tcPr>
            <w:tcW w:w="14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新疆久其科技有限公 司</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2,876,628.10</w:t>
            </w: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2,876,628.10</w:t>
            </w:r>
          </w:p>
        </w:tc>
        <w:tc>
          <w:tcPr>
            <w:tcW w:w="14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重庆久其软件有限公 司</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4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海南久其云计算科技 有限公司</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4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北京久其智通数据科 技有限公司</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4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北京亿起联科技有限 公司</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510,000,000.00</w:t>
            </w: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510,000,000.00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8" w:right="0"/>
              <w:jc w:val="left"/>
              <w:rPr>
                <w:rFonts w:ascii="Times New Roman" w:hAnsi="Times New Roman" w:cs="Times New Roman" w:eastAsia="Times New Roman" w:hint="default"/>
                <w:sz w:val="18"/>
                <w:szCs w:val="18"/>
              </w:rPr>
            </w:pPr>
            <w:r>
              <w:rPr>
                <w:rFonts w:ascii="Times New Roman"/>
                <w:sz w:val="18"/>
              </w:rPr>
              <w:t>261,769,830.39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261,769,830.39</w:t>
            </w:r>
          </w:p>
        </w:tc>
      </w:tr>
      <w:tr>
        <w:trPr>
          <w:trHeight w:val="714"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北京久其龙信数据科 技有限公司</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5,100,000.00</w:t>
            </w: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5,100,000.00</w:t>
            </w:r>
          </w:p>
        </w:tc>
        <w:tc>
          <w:tcPr>
            <w:tcW w:w="1315"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北京久其互联网金融 信息服务有限公司</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17,500,000.00</w:t>
            </w: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17,500,000.00</w:t>
            </w:r>
          </w:p>
        </w:tc>
        <w:tc>
          <w:tcPr>
            <w:tcW w:w="14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北京华夏电通科技有 限公司</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602,252,250.00</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8" w:right="0"/>
              <w:jc w:val="left"/>
              <w:rPr>
                <w:rFonts w:ascii="Times New Roman" w:hAnsi="Times New Roman" w:cs="Times New Roman" w:eastAsia="Times New Roman" w:hint="default"/>
                <w:sz w:val="18"/>
                <w:szCs w:val="18"/>
              </w:rPr>
            </w:pPr>
            <w:r>
              <w:rPr>
                <w:rFonts w:ascii="Times New Roman"/>
                <w:sz w:val="18"/>
              </w:rPr>
              <w:t>47,623,000.00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649,875,250.00</w:t>
            </w:r>
          </w:p>
        </w:tc>
        <w:tc>
          <w:tcPr>
            <w:tcW w:w="14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北京蜂语网络科技有 限公司</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4,590,000.00</w:t>
            </w: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4,590,000.00</w:t>
            </w:r>
          </w:p>
        </w:tc>
        <w:tc>
          <w:tcPr>
            <w:tcW w:w="14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北京中民颐养科技服 务有限公司</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2,040,000.00</w:t>
            </w: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2,040,000.00</w:t>
            </w:r>
          </w:p>
        </w:tc>
        <w:tc>
          <w:tcPr>
            <w:tcW w:w="14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深圳市久金保商业保 理有限公司</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141,700,000.00</w:t>
            </w: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141,700,000.00</w:t>
            </w:r>
          </w:p>
        </w:tc>
        <w:tc>
          <w:tcPr>
            <w:tcW w:w="14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北京瑞意恒动科技有 限公司</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225,000,000.00</w:t>
            </w: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225,000,000.00</w:t>
            </w:r>
          </w:p>
        </w:tc>
        <w:tc>
          <w:tcPr>
            <w:tcW w:w="14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海南久其互联网产业 研究院有限公司</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4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799"/>
        <w:gridCol w:w="1316"/>
        <w:gridCol w:w="1317"/>
        <w:gridCol w:w="1091"/>
        <w:gridCol w:w="1315"/>
        <w:gridCol w:w="1415"/>
        <w:gridCol w:w="1414"/>
      </w:tblGrid>
      <w:tr>
        <w:trPr>
          <w:trHeight w:val="714"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3" w:right="70"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1" w:right="71"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上海移通网络有限公 司</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734,400,000.00</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1,534,400,000.00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1,234,702,431.53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1,234,702,431.53</w:t>
            </w:r>
          </w:p>
        </w:tc>
      </w:tr>
      <w:tr>
        <w:trPr>
          <w:trHeight w:val="714"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北京久其金建科技有 限公司</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22,500,000.00</w:t>
            </w: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7,200,000.00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15,300,000.00</w:t>
            </w:r>
          </w:p>
        </w:tc>
        <w:tc>
          <w:tcPr>
            <w:tcW w:w="14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久其数字传播有限公 司</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155,893,539.00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165,893,539.00</w:t>
            </w:r>
          </w:p>
        </w:tc>
        <w:tc>
          <w:tcPr>
            <w:tcW w:w="14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2,665,685,674.58</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1,003,516,539.00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12,300,000.00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3,656,902,213.58</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1,496,472,261.92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1,496,472,261.92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2）对联营、合营企业投资" w:id="413"/>
      <w:bookmarkEnd w:id="413"/>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121"/>
        <w:gridCol w:w="1192"/>
        <w:gridCol w:w="371"/>
        <w:gridCol w:w="1009"/>
        <w:gridCol w:w="1263"/>
        <w:gridCol w:w="545"/>
        <w:gridCol w:w="456"/>
        <w:gridCol w:w="1263"/>
        <w:gridCol w:w="456"/>
        <w:gridCol w:w="283"/>
        <w:gridCol w:w="1192"/>
        <w:gridCol w:w="545"/>
      </w:tblGrid>
      <w:tr>
        <w:trPr>
          <w:trHeight w:val="402" w:hRule="exact"/>
        </w:trPr>
        <w:tc>
          <w:tcPr>
            <w:tcW w:w="11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1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64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5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86" w:right="86"/>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1338" w:hRule="exact"/>
        </w:trPr>
        <w:tc>
          <w:tcPr>
            <w:tcW w:w="1121" w:type="dxa"/>
            <w:vMerge/>
            <w:tcBorders>
              <w:left w:val="single" w:sz="4" w:space="0" w:color="000000"/>
              <w:bottom w:val="single" w:sz="4" w:space="0" w:color="000000"/>
              <w:right w:val="single" w:sz="4" w:space="0" w:color="000000"/>
            </w:tcBorders>
            <w:shd w:val="clear" w:color="auto" w:fill="D2D2D2"/>
          </w:tcPr>
          <w:p>
            <w:pPr/>
          </w:p>
        </w:tc>
        <w:tc>
          <w:tcPr>
            <w:tcW w:w="1192" w:type="dxa"/>
            <w:vMerge/>
            <w:tcBorders>
              <w:left w:val="single" w:sz="4" w:space="0" w:color="000000"/>
              <w:bottom w:val="single" w:sz="4" w:space="0" w:color="000000"/>
              <w:right w:val="single" w:sz="4" w:space="0" w:color="000000"/>
            </w:tcBorders>
            <w:shd w:val="clear" w:color="auto" w:fill="D2D2D2"/>
          </w:tcPr>
          <w:p>
            <w:pPr/>
          </w:p>
        </w:tc>
        <w:tc>
          <w:tcPr>
            <w:tcW w:w="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0" w:right="89"/>
              <w:jc w:val="both"/>
              <w:rPr>
                <w:rFonts w:ascii="宋体" w:hAnsi="宋体" w:cs="宋体" w:eastAsia="宋体" w:hint="default"/>
                <w:sz w:val="18"/>
                <w:szCs w:val="18"/>
              </w:rPr>
            </w:pPr>
            <w:r>
              <w:rPr>
                <w:rFonts w:ascii="宋体" w:hAnsi="宋体" w:cs="宋体" w:eastAsia="宋体" w:hint="default"/>
                <w:sz w:val="18"/>
                <w:szCs w:val="18"/>
              </w:rPr>
              <w:t>追 加 投 资</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减少投资</w:t>
            </w:r>
          </w:p>
        </w:tc>
        <w:tc>
          <w:tcPr>
            <w:tcW w:w="1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75" w:right="85" w:hanging="90"/>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6" w:right="86"/>
              <w:jc w:val="both"/>
              <w:rPr>
                <w:rFonts w:ascii="宋体" w:hAnsi="宋体" w:cs="宋体" w:eastAsia="宋体" w:hint="default"/>
                <w:sz w:val="18"/>
                <w:szCs w:val="18"/>
              </w:rPr>
            </w:pPr>
            <w:r>
              <w:rPr>
                <w:rFonts w:ascii="宋体" w:hAnsi="宋体" w:cs="宋体" w:eastAsia="宋体" w:hint="default"/>
                <w:sz w:val="18"/>
                <w:szCs w:val="18"/>
              </w:rPr>
              <w:t>其他 综合 收益 调整</w:t>
            </w:r>
          </w:p>
        </w:tc>
        <w:tc>
          <w:tcPr>
            <w:tcW w:w="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2" w:right="42"/>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1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75" w:right="87" w:hanging="90"/>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 w:right="42"/>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5" w:right="47"/>
              <w:jc w:val="left"/>
              <w:rPr>
                <w:rFonts w:ascii="宋体" w:hAnsi="宋体" w:cs="宋体" w:eastAsia="宋体" w:hint="default"/>
                <w:sz w:val="18"/>
                <w:szCs w:val="18"/>
              </w:rPr>
            </w:pPr>
            <w:r>
              <w:rPr>
                <w:rFonts w:ascii="宋体" w:hAnsi="宋体" w:cs="宋体" w:eastAsia="宋体" w:hint="default"/>
                <w:sz w:val="18"/>
                <w:szCs w:val="18"/>
              </w:rPr>
              <w:t>其 他</w:t>
            </w:r>
          </w:p>
        </w:tc>
        <w:tc>
          <w:tcPr>
            <w:tcW w:w="1192" w:type="dxa"/>
            <w:vMerge/>
            <w:tcBorders>
              <w:left w:val="single" w:sz="4" w:space="0" w:color="000000"/>
              <w:bottom w:val="single" w:sz="4" w:space="0" w:color="000000"/>
              <w:right w:val="single" w:sz="4" w:space="0" w:color="000000"/>
            </w:tcBorders>
            <w:shd w:val="clear" w:color="auto" w:fill="D2D2D2"/>
          </w:tcPr>
          <w:p>
            <w:pPr/>
          </w:p>
        </w:tc>
        <w:tc>
          <w:tcPr>
            <w:tcW w:w="54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69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714"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6"/>
              <w:jc w:val="left"/>
              <w:rPr>
                <w:rFonts w:ascii="宋体" w:hAnsi="宋体" w:cs="宋体" w:eastAsia="宋体" w:hint="default"/>
                <w:sz w:val="18"/>
                <w:szCs w:val="18"/>
              </w:rPr>
            </w:pPr>
            <w:r>
              <w:rPr>
                <w:rFonts w:ascii="宋体" w:hAnsi="宋体" w:cs="宋体" w:eastAsia="宋体" w:hint="default"/>
                <w:sz w:val="18"/>
                <w:szCs w:val="18"/>
              </w:rPr>
              <w:t>同望科技股 份有限公司</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59,800,172.08</w:t>
            </w:r>
          </w:p>
        </w:tc>
        <w:tc>
          <w:tcPr>
            <w:tcW w:w="371"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1,069,978.99</w:t>
            </w:r>
          </w:p>
        </w:tc>
        <w:tc>
          <w:tcPr>
            <w:tcW w:w="545"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1,350,090.00</w:t>
            </w:r>
          </w:p>
        </w:tc>
        <w:tc>
          <w:tcPr>
            <w:tcW w:w="45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59,520,061.07</w:t>
            </w:r>
          </w:p>
        </w:tc>
        <w:tc>
          <w:tcPr>
            <w:tcW w:w="54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6"/>
              <w:jc w:val="both"/>
              <w:rPr>
                <w:rFonts w:ascii="宋体" w:hAnsi="宋体" w:cs="宋体" w:eastAsia="宋体" w:hint="default"/>
                <w:sz w:val="18"/>
                <w:szCs w:val="18"/>
              </w:rPr>
            </w:pPr>
            <w:r>
              <w:rPr>
                <w:rFonts w:ascii="宋体" w:hAnsi="宋体" w:cs="宋体" w:eastAsia="宋体" w:hint="default"/>
                <w:sz w:val="18"/>
                <w:szCs w:val="18"/>
              </w:rPr>
              <w:t>北京信诺软 通信息技术 有限公司</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3,588,063.63</w:t>
            </w:r>
          </w:p>
        </w:tc>
        <w:tc>
          <w:tcPr>
            <w:tcW w:w="371"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3,795,490.06</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207,426.43</w:t>
            </w:r>
          </w:p>
        </w:tc>
        <w:tc>
          <w:tcPr>
            <w:tcW w:w="545"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70,366,440.86</w:t>
            </w:r>
          </w:p>
        </w:tc>
        <w:tc>
          <w:tcPr>
            <w:tcW w:w="54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深圳前海数 聚成长投资 </w:t>
            </w:r>
            <w:r>
              <w:rPr>
                <w:rFonts w:ascii="宋体" w:hAnsi="宋体" w:cs="宋体" w:eastAsia="宋体" w:hint="default"/>
                <w:spacing w:val="-3"/>
                <w:sz w:val="18"/>
                <w:szCs w:val="18"/>
              </w:rPr>
              <w:t>中心（有限合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伙）</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70,269,811.92</w:t>
            </w:r>
          </w:p>
        </w:tc>
        <w:tc>
          <w:tcPr>
            <w:tcW w:w="371"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96,628.94</w:t>
            </w:r>
          </w:p>
        </w:tc>
        <w:tc>
          <w:tcPr>
            <w:tcW w:w="545"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133,658,047.63</w:t>
            </w:r>
          </w:p>
        </w:tc>
        <w:tc>
          <w:tcPr>
            <w:tcW w:w="371"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3,795,490.06</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1,374,034.36</w:t>
            </w:r>
          </w:p>
        </w:tc>
        <w:tc>
          <w:tcPr>
            <w:tcW w:w="545"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1,350,090.00</w:t>
            </w:r>
          </w:p>
        </w:tc>
        <w:tc>
          <w:tcPr>
            <w:tcW w:w="45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129,886,501.93</w:t>
            </w:r>
          </w:p>
        </w:tc>
        <w:tc>
          <w:tcPr>
            <w:tcW w:w="54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979" w:top="1100" w:bottom="1160" w:left="980" w:right="0"/>
        </w:sectPr>
      </w:pPr>
    </w:p>
    <w:p>
      <w:pPr>
        <w:pStyle w:val="Heading3"/>
        <w:spacing w:line="240" w:lineRule="auto" w:before="35"/>
        <w:ind w:right="0"/>
        <w:jc w:val="left"/>
        <w:rPr>
          <w:b w:val="0"/>
          <w:bCs w:val="0"/>
        </w:rPr>
      </w:pPr>
      <w:bookmarkStart w:name="4、营业收入和营业成本" w:id="414"/>
      <w:bookmarkEnd w:id="414"/>
      <w:r>
        <w:rPr>
          <w:b w:val="0"/>
          <w:bCs w:val="0"/>
        </w:rPr>
      </w:r>
      <w:r>
        <w:rPr>
          <w:rFonts w:ascii="Times New Roman" w:hAnsi="Times New Roman" w:cs="Times New Roman" w:eastAsia="Times New Roman" w:hint="default"/>
          <w:w w:val="95"/>
        </w:rPr>
        <w:t>4</w:t>
      </w:r>
      <w:r>
        <w:rPr>
          <w:w w:val="95"/>
        </w:rPr>
        <w:t>、营业收入和营业成本</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pStyle w:val="BodyText"/>
        <w:spacing w:line="240" w:lineRule="auto"/>
        <w:ind w:left="153" w:right="0"/>
        <w:jc w:val="left"/>
      </w:pPr>
      <w:r>
        <w:rPr/>
        <w:t>单位： 元</w:t>
      </w:r>
    </w:p>
    <w:p>
      <w:pPr>
        <w:spacing w:after="0" w:line="240" w:lineRule="auto"/>
        <w:jc w:val="left"/>
        <w:sectPr>
          <w:type w:val="continuous"/>
          <w:pgSz w:w="11910" w:h="16840"/>
          <w:pgMar w:top="1060" w:bottom="700" w:left="980" w:right="0"/>
          <w:cols w:num="2" w:equalWidth="0">
            <w:col w:w="2366" w:space="6463"/>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629,402,047.96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84,448,270.50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465,069,200.92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70,482,296.77</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8,540,600.29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7,793,267.04</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637,942,648.25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84,448,270.50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472,862,467.96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70,482,296.77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70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5、投资收益" w:id="415"/>
      <w:bookmarkEnd w:id="415"/>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1,374,034.36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4,162,658.65</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-694,885.83</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292,316,373.88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292,995,522.41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24,162,658.65</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八、补充资料" w:id="416"/>
      <w:bookmarkEnd w:id="416"/>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417"/>
      <w:bookmarkEnd w:id="417"/>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5"/>
        <w:gridCol w:w="2847"/>
        <w:gridCol w:w="1946"/>
      </w:tblGrid>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-974,670.21</w:t>
            </w:r>
            <w:r>
              <w:rPr>
                <w:rFonts w:ascii="Times New Roman"/>
                <w:sz w:val="18"/>
              </w:rPr>
            </w:r>
          </w:p>
        </w:tc>
        <w:tc>
          <w:tcPr>
            <w:tcW w:w="194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 统一标准定额或定量享受的政府补助除外）</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16,258,217.01</w:t>
            </w:r>
          </w:p>
        </w:tc>
        <w:tc>
          <w:tcPr>
            <w:tcW w:w="19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23,212,289.03</w:t>
            </w:r>
          </w:p>
        </w:tc>
        <w:tc>
          <w:tcPr>
            <w:tcW w:w="19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1,040,583.94</w:t>
            </w:r>
          </w:p>
        </w:tc>
        <w:tc>
          <w:tcPr>
            <w:tcW w:w="19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-7,623,000.00</w:t>
            </w:r>
          </w:p>
        </w:tc>
        <w:tc>
          <w:tcPr>
            <w:tcW w:w="19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4,162,842.15</w:t>
            </w:r>
          </w:p>
        </w:tc>
        <w:tc>
          <w:tcPr>
            <w:tcW w:w="19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165,558.08</w:t>
            </w:r>
          </w:p>
        </w:tc>
        <w:tc>
          <w:tcPr>
            <w:tcW w:w="19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27,585,019.55</w:t>
            </w:r>
          </w:p>
        </w:tc>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418"/>
      <w:bookmarkEnd w:id="418"/>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2696"/>
        <w:gridCol w:w="1997"/>
        <w:gridCol w:w="2427"/>
        <w:gridCol w:w="2563"/>
      </w:tblGrid>
      <w:tr>
        <w:trPr>
          <w:trHeight w:val="205" w:hRule="exact"/>
        </w:trPr>
        <w:tc>
          <w:tcPr>
            <w:tcW w:w="26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tcBorders>
              <w:top w:val="single" w:sz="4" w:space="0" w:color="000000"/>
              <w:left w:val="single" w:sz="4" w:space="0" w:color="000000"/>
              <w:bottom w:val="nil" w:sz="6" w:space="0" w:color="auto"/>
              <w:right w:val="single" w:sz="4" w:space="0" w:color="000000"/>
            </w:tcBorders>
            <w:shd w:val="clear" w:color="auto" w:fill="D2D2D2"/>
          </w:tcPr>
          <w:p>
            <w:pPr/>
          </w:p>
        </w:tc>
        <w:tc>
          <w:tcPr>
            <w:tcW w:w="49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8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19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499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96" w:type="dxa"/>
            <w:vMerge/>
            <w:tcBorders>
              <w:left w:val="single" w:sz="4" w:space="0" w:color="000000"/>
              <w:bottom w:val="nil" w:sz="6" w:space="0" w:color="auto"/>
              <w:right w:val="single" w:sz="4" w:space="0" w:color="000000"/>
            </w:tcBorders>
            <w:shd w:val="clear" w:color="auto" w:fill="D2D2D2"/>
          </w:tcPr>
          <w:p>
            <w:pPr/>
          </w:p>
        </w:tc>
        <w:tc>
          <w:tcPr>
            <w:tcW w:w="1997" w:type="dxa"/>
            <w:vMerge/>
            <w:tcBorders>
              <w:left w:val="single" w:sz="4" w:space="0" w:color="000000"/>
              <w:bottom w:val="nil" w:sz="6" w:space="0" w:color="auto"/>
              <w:right w:val="single" w:sz="4" w:space="0" w:color="000000"/>
            </w:tcBorders>
            <w:shd w:val="clear" w:color="auto" w:fill="D2D2D2"/>
          </w:tcPr>
          <w:p>
            <w:pPr/>
          </w:p>
        </w:tc>
        <w:tc>
          <w:tcPr>
            <w:tcW w:w="24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8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25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50"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7" w:hRule="exact"/>
        </w:trPr>
        <w:tc>
          <w:tcPr>
            <w:tcW w:w="26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997" w:type="dxa"/>
            <w:tcBorders>
              <w:top w:val="nil" w:sz="6" w:space="0" w:color="auto"/>
              <w:left w:val="single" w:sz="4" w:space="0" w:color="000000"/>
              <w:bottom w:val="single" w:sz="4" w:space="0" w:color="000000"/>
              <w:right w:val="single" w:sz="4" w:space="0" w:color="000000"/>
            </w:tcBorders>
            <w:shd w:val="clear" w:color="auto" w:fill="D2D2D2"/>
          </w:tcPr>
          <w:p>
            <w:pPr/>
          </w:p>
        </w:tc>
        <w:tc>
          <w:tcPr>
            <w:tcW w:w="2427" w:type="dxa"/>
            <w:vMerge/>
            <w:tcBorders>
              <w:left w:val="single" w:sz="4" w:space="0" w:color="000000"/>
              <w:bottom w:val="single" w:sz="4" w:space="0" w:color="000000"/>
              <w:right w:val="single" w:sz="4" w:space="0" w:color="000000"/>
            </w:tcBorders>
            <w:shd w:val="clear" w:color="auto" w:fill="D2D2D2"/>
          </w:tcPr>
          <w:p>
            <w:pPr/>
          </w:p>
        </w:tc>
        <w:tc>
          <w:tcPr>
            <w:tcW w:w="256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-49.49%</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-1.1838</w:t>
            </w:r>
          </w:p>
        </w:tc>
        <w:tc>
          <w:tcPr>
            <w:tcW w:w="2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-1.1838</w:t>
            </w:r>
          </w:p>
        </w:tc>
      </w:tr>
      <w:tr>
        <w:trPr>
          <w:trHeight w:val="714"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3"/>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-51.11%</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-1.2226</w:t>
            </w:r>
          </w:p>
        </w:tc>
        <w:tc>
          <w:tcPr>
            <w:tcW w:w="2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-1.2228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1"/>
        <w:spacing w:line="240" w:lineRule="auto"/>
        <w:ind w:right="4249"/>
        <w:jc w:val="center"/>
        <w:rPr>
          <w:b w:val="0"/>
          <w:bCs w:val="0"/>
        </w:rPr>
      </w:pPr>
      <w:bookmarkStart w:name="第十二节 备查文件目录" w:id="419"/>
      <w:bookmarkEnd w:id="419"/>
      <w:r>
        <w:rPr>
          <w:b w:val="0"/>
          <w:bCs w:val="0"/>
        </w:rPr>
      </w:r>
      <w:bookmarkStart w:name="_bookmark10" w:id="420"/>
      <w:bookmarkEnd w:id="420"/>
      <w:r>
        <w:rPr>
          <w:b w:val="0"/>
          <w:bCs w:val="0"/>
        </w:rPr>
      </w:r>
      <w:r>
        <w:rPr/>
        <w:t>第十二节</w:t>
      </w:r>
      <w:r>
        <w:rPr>
          <w:spacing w:val="-8"/>
        </w:rPr>
        <w:t> </w:t>
      </w:r>
      <w:r>
        <w:rPr/>
        <w:t>备查文件目录</w:t>
      </w:r>
      <w:r>
        <w:rPr>
          <w:b w:val="0"/>
          <w:bCs w:val="0"/>
        </w:rPr>
      </w:r>
    </w:p>
    <w:p>
      <w:pPr>
        <w:spacing w:line="240" w:lineRule="auto" w:before="7"/>
        <w:rPr>
          <w:rFonts w:ascii="宋体" w:hAnsi="宋体" w:cs="宋体" w:eastAsia="宋体" w:hint="default"/>
          <w:b/>
          <w:bCs/>
          <w:sz w:val="42"/>
          <w:szCs w:val="42"/>
        </w:rPr>
      </w:pPr>
    </w:p>
    <w:p>
      <w:pPr>
        <w:pStyle w:val="BodyText"/>
        <w:spacing w:line="240" w:lineRule="auto"/>
        <w:ind w:right="0"/>
        <w:jc w:val="left"/>
      </w:pPr>
      <w:r>
        <w:rPr>
          <w:rFonts w:ascii="Times New Roman" w:hAnsi="Times New Roman" w:cs="Times New Roman" w:eastAsia="Times New Roman" w:hint="default"/>
        </w:rPr>
        <w:t>1</w:t>
      </w:r>
      <w:r>
        <w:rPr/>
        <w:t>、载有公司法定代表人赵福君、公司财务总监邱安超及会计机构负责人丁丹签名并盖章的会计报表。</w:t>
      </w:r>
    </w:p>
    <w:p>
      <w:pPr>
        <w:pStyle w:val="BodyText"/>
        <w:spacing w:line="240" w:lineRule="auto" w:before="63"/>
        <w:ind w:right="0"/>
        <w:jc w:val="left"/>
      </w:pPr>
      <w:r>
        <w:rPr>
          <w:rFonts w:ascii="Times New Roman" w:hAnsi="Times New Roman" w:cs="Times New Roman" w:eastAsia="Times New Roman" w:hint="default"/>
        </w:rPr>
        <w:t>2</w:t>
      </w:r>
      <w:r>
        <w:rPr/>
        <w:t>、载有立信会计师事务所（特殊普通合伙）盖章、注册会计师梁谦海、胡碟签名并盖章的公司</w:t>
      </w:r>
      <w:r>
        <w:rPr>
          <w:rFonts w:ascii="Times New Roman" w:hAnsi="Times New Roman" w:cs="Times New Roman" w:eastAsia="Times New Roman" w:hint="default"/>
        </w:rPr>
        <w:t>2018</w:t>
      </w:r>
      <w:r>
        <w:rPr/>
        <w:t>年度审计报告原件。</w:t>
      </w:r>
    </w:p>
    <w:p>
      <w:pPr>
        <w:pStyle w:val="BodyText"/>
        <w:spacing w:line="240" w:lineRule="auto" w:before="63"/>
        <w:ind w:right="0"/>
        <w:jc w:val="left"/>
      </w:pPr>
      <w:r>
        <w:rPr>
          <w:rFonts w:ascii="Times New Roman" w:hAnsi="Times New Roman" w:cs="Times New Roman" w:eastAsia="Times New Roman" w:hint="default"/>
        </w:rPr>
        <w:t>3</w:t>
      </w:r>
      <w:r>
        <w:rPr/>
        <w:t>、报告期内在中国证监会指定报纸上公开披露过的所有公司文件正本及公告的原稿。</w:t>
      </w:r>
    </w:p>
    <w:p>
      <w:pPr>
        <w:pStyle w:val="BodyText"/>
        <w:spacing w:line="240" w:lineRule="auto" w:before="63"/>
        <w:ind w:right="0"/>
        <w:jc w:val="left"/>
      </w:pPr>
      <w:r>
        <w:rPr>
          <w:rFonts w:ascii="Times New Roman" w:hAnsi="Times New Roman" w:cs="Times New Roman" w:eastAsia="Times New Roman" w:hint="default"/>
        </w:rPr>
        <w:t>4</w:t>
      </w:r>
      <w:r>
        <w:rPr/>
        <w:t>、载有公司董事长签名的</w:t>
      </w:r>
      <w:r>
        <w:rPr>
          <w:rFonts w:ascii="Times New Roman" w:hAnsi="Times New Roman" w:cs="Times New Roman" w:eastAsia="Times New Roman" w:hint="default"/>
        </w:rPr>
        <w:t>2018</w:t>
      </w:r>
      <w:r>
        <w:rPr/>
        <w:t>年度报告文本原件。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0"/>
          <w:szCs w:val="20"/>
        </w:rPr>
      </w:pPr>
    </w:p>
    <w:p>
      <w:pPr>
        <w:pStyle w:val="BodyText"/>
        <w:spacing w:line="316" w:lineRule="auto"/>
        <w:ind w:left="8173" w:right="1130" w:hanging="540"/>
        <w:jc w:val="right"/>
      </w:pPr>
      <w:r>
        <w:rPr/>
        <w:t>北京久其软件股份有限公司 法定代表人：赵福君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w:t>
      </w:r>
    </w:p>
    <w:sectPr>
      <w:pgSz w:w="11910" w:h="16840"/>
      <w:pgMar w:header="877" w:footer="979"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6488" type="#_x0000_t75" stroked="false">
          <v:imagedata r:id="rId1" o:titl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5912" type="#_x0000_t75" stroked="false">
          <v:imagedata r:id="rId1" o:title=""/>
        </v:shape>
      </w:pict>
    </w:r>
    <w:r>
      <w:rPr/>
      <w:pict>
        <v:shape style="position:absolute;margin-left:523.179993pt;margin-top:781.957947pt;width:17.5pt;height:11pt;mso-position-horizontal-relative:page;mso-position-vertical-relative:page;z-index:-10458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167</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045840" type="#_x0000_t75" stroked="false">
          <v:imagedata r:id="rId1" o:title=""/>
        </v:shape>
      </w:pict>
    </w:r>
    <w:r>
      <w:rPr/>
      <w:pict>
        <v:shape style="position:absolute;margin-left:754.47998pt;margin-top:535.357971pt;width:17.5pt;height:11pt;mso-position-horizontal-relative:page;mso-position-vertical-relative:page;z-index:-10458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174</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5744" type="#_x0000_t75" stroked="false">
          <v:imagedata r:id="rId1" o:title=""/>
        </v:shape>
      </w:pict>
    </w:r>
    <w:r>
      <w:rPr/>
      <w:pict>
        <v:shape style="position:absolute;margin-left:523.179993pt;margin-top:781.957947pt;width:17.5pt;height:11pt;mso-position-horizontal-relative:page;mso-position-vertical-relative:page;z-index:-10457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177</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6464" type="#_x0000_t75" stroked="false">
          <v:imagedata r:id="rId1" o:title=""/>
        </v:shape>
      </w:pict>
    </w:r>
    <w:r>
      <w:rPr/>
      <w:pict>
        <v:shape style="position:absolute;margin-left:527.679993pt;margin-top:781.957947pt;width:13pt;height:11pt;mso-position-horizontal-relative:page;mso-position-vertical-relative:page;z-index:-10464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6416" type="#_x0000_t75" stroked="false">
          <v:imagedata r:id="rId1" o:title=""/>
        </v:shape>
      </w:pict>
    </w:r>
    <w:r>
      <w:rPr/>
      <w:pict>
        <v:shape style="position:absolute;margin-left:527.679993pt;margin-top:781.957947pt;width:13pt;height:11pt;mso-position-horizontal-relative:page;mso-position-vertical-relative:page;z-index:-10463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046344" type="#_x0000_t75" stroked="false">
          <v:imagedata r:id="rId1" o:title=""/>
        </v:shape>
      </w:pict>
    </w:r>
    <w:r>
      <w:rPr/>
      <w:pict>
        <v:shape style="position:absolute;margin-left:758.97998pt;margin-top:535.357971pt;width:13pt;height:11pt;mso-position-horizontal-relative:page;mso-position-vertical-relative:page;z-index:-10463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36</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6248" type="#_x0000_t75" stroked="false">
          <v:imagedata r:id="rId1" o:title=""/>
        </v:shape>
      </w:pict>
    </w:r>
    <w:r>
      <w:rPr/>
      <w:pict>
        <v:shape style="position:absolute;margin-left:527.679993pt;margin-top:781.957947pt;width:13pt;height:11pt;mso-position-horizontal-relative:page;mso-position-vertical-relative:page;z-index:-10462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046176" type="#_x0000_t75" stroked="false">
          <v:imagedata r:id="rId1" o:title=""/>
        </v:shape>
      </w:pict>
    </w:r>
    <w:r>
      <w:rPr/>
      <w:pict>
        <v:shape style="position:absolute;margin-left:754.47998pt;margin-top:535.357971pt;width:17.5pt;height:11pt;mso-position-horizontal-relative:page;mso-position-vertical-relative:page;z-index:-10461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6080" type="#_x0000_t75" stroked="false">
          <v:imagedata r:id="rId1" o:title=""/>
        </v:shape>
      </w:pict>
    </w:r>
    <w:r>
      <w:rPr/>
      <w:pict>
        <v:shape style="position:absolute;margin-left:523.179993pt;margin-top:781.957947pt;width:17.5pt;height:11pt;mso-position-horizontal-relative:page;mso-position-vertical-relative:page;z-index:-10460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109</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046008" type="#_x0000_t75" stroked="false">
          <v:imagedata r:id="rId1" o:title=""/>
        </v:shape>
      </w:pict>
    </w:r>
    <w:r>
      <w:rPr/>
      <w:pict>
        <v:shape style="position:absolute;margin-left:754.47998pt;margin-top:535.357971pt;width:17.5pt;height:11pt;mso-position-horizontal-relative:page;mso-position-vertical-relative:page;z-index:-10459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1046512" type="#_x0000_t202" filled="false" stroked="false">
          <v:textbox inset="0,0,0,0">
            <w:txbxContent>
              <w:p>
                <w:pPr>
                  <w:pStyle w:val="BodyText"/>
                  <w:spacing w:line="214" w:lineRule="exact"/>
                  <w:ind w:left="20" w:right="0"/>
                  <w:jc w:val="left"/>
                </w:pPr>
                <w:r>
                  <w:rPr/>
                  <w:t>北京久其软件股份有限公司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045792"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20001pt;margin-top:42.865608pt;width:195.5pt;height:11.5pt;mso-position-horizontal-relative:page;mso-position-vertical-relative:page;z-index:-1045768" type="#_x0000_t202" filled="false" stroked="false">
          <v:textbox inset="0,0,0,0">
            <w:txbxContent>
              <w:p>
                <w:pPr>
                  <w:pStyle w:val="BodyText"/>
                  <w:spacing w:line="214" w:lineRule="exact"/>
                  <w:ind w:left="20" w:right="0"/>
                  <w:jc w:val="left"/>
                </w:pPr>
                <w:r>
                  <w:rPr/>
                  <w:t>北京久其软件股份有限公司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520020pt;margin-top:42.865631pt;width:195.5pt;height:11.5pt;mso-position-horizontal-relative:page;mso-position-vertical-relative:page;z-index:-1046368" type="#_x0000_t202" filled="false" stroked="false">
          <v:textbox inset="0,0,0,0">
            <w:txbxContent>
              <w:p>
                <w:pPr>
                  <w:pStyle w:val="BodyText"/>
                  <w:spacing w:line="214" w:lineRule="exact"/>
                  <w:ind w:left="20" w:right="0"/>
                  <w:jc w:val="left"/>
                </w:pPr>
                <w:r>
                  <w:rPr/>
                  <w:t>北京久其软件股份有限公司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046296"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20001pt;margin-top:42.865608pt;width:195.5pt;height:11.5pt;mso-position-horizontal-relative:page;mso-position-vertical-relative:page;z-index:-1046272" type="#_x0000_t202" filled="false" stroked="false">
          <v:textbox inset="0,0,0,0">
            <w:txbxContent>
              <w:p>
                <w:pPr>
                  <w:pStyle w:val="BodyText"/>
                  <w:spacing w:line="214" w:lineRule="exact"/>
                  <w:ind w:left="20" w:right="0"/>
                  <w:jc w:val="left"/>
                </w:pPr>
                <w:r>
                  <w:rPr/>
                  <w:t>北京久其软件股份有限公司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520020pt;margin-top:42.865631pt;width:195.5pt;height:11.5pt;mso-position-horizontal-relative:page;mso-position-vertical-relative:page;z-index:-1046200" type="#_x0000_t202" filled="false" stroked="false">
          <v:textbox inset="0,0,0,0">
            <w:txbxContent>
              <w:p>
                <w:pPr>
                  <w:pStyle w:val="BodyText"/>
                  <w:spacing w:line="214" w:lineRule="exact"/>
                  <w:ind w:left="20" w:right="0"/>
                  <w:jc w:val="left"/>
                </w:pPr>
                <w:r>
                  <w:rPr/>
                  <w:t>北京久其软件股份有限公司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046128"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20001pt;margin-top:42.865608pt;width:195.5pt;height:11.5pt;mso-position-horizontal-relative:page;mso-position-vertical-relative:page;z-index:-1046104" type="#_x0000_t202" filled="false" stroked="false">
          <v:textbox inset="0,0,0,0">
            <w:txbxContent>
              <w:p>
                <w:pPr>
                  <w:pStyle w:val="BodyText"/>
                  <w:spacing w:line="214" w:lineRule="exact"/>
                  <w:ind w:left="20" w:right="0"/>
                  <w:jc w:val="left"/>
                </w:pPr>
                <w:r>
                  <w:rPr/>
                  <w:t>北京久其软件股份有限公司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520020pt;margin-top:42.865631pt;width:195.5pt;height:11.5pt;mso-position-horizontal-relative:page;mso-position-vertical-relative:page;z-index:-1046032" type="#_x0000_t202" filled="false" stroked="false">
          <v:textbox inset="0,0,0,0">
            <w:txbxContent>
              <w:p>
                <w:pPr>
                  <w:pStyle w:val="BodyText"/>
                  <w:spacing w:line="214" w:lineRule="exact"/>
                  <w:ind w:left="20" w:right="0"/>
                  <w:jc w:val="left"/>
                </w:pPr>
                <w:r>
                  <w:rPr/>
                  <w:t>北京久其软件股份有限公司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045960"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20001pt;margin-top:42.865608pt;width:195.5pt;height:11.5pt;mso-position-horizontal-relative:page;mso-position-vertical-relative:page;z-index:-1045936" type="#_x0000_t202" filled="false" stroked="false">
          <v:textbox inset="0,0,0,0">
            <w:txbxContent>
              <w:p>
                <w:pPr>
                  <w:pStyle w:val="BodyText"/>
                  <w:spacing w:line="214" w:lineRule="exact"/>
                  <w:ind w:left="20" w:right="0"/>
                  <w:jc w:val="left"/>
                </w:pPr>
                <w:r>
                  <w:rPr/>
                  <w:t>北京久其软件股份有限公司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520020pt;margin-top:42.865631pt;width:195.5pt;height:11.5pt;mso-position-horizontal-relative:page;mso-position-vertical-relative:page;z-index:-1045864" type="#_x0000_t202" filled="false" stroked="false">
          <v:textbox inset="0,0,0,0">
            <w:txbxContent>
              <w:p>
                <w:pPr>
                  <w:pStyle w:val="BodyText"/>
                  <w:spacing w:line="214" w:lineRule="exact"/>
                  <w:ind w:left="20" w:right="0"/>
                  <w:jc w:val="left"/>
                </w:pPr>
                <w:r>
                  <w:rPr/>
                  <w:t>北京久其软件股份有限公司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3270"/>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jiuqi.com.cn/" TargetMode="External"/><Relationship Id="rId10" Type="http://schemas.openxmlformats.org/officeDocument/2006/relationships/hyperlink" Target="mailto:002279@jiuqi.com.cn" TargetMode="External"/><Relationship Id="rId11" Type="http://schemas.openxmlformats.org/officeDocument/2006/relationships/hyperlink" Target="mailto:whx@jiuqi.com.cn" TargetMode="External"/><Relationship Id="rId12" Type="http://schemas.openxmlformats.org/officeDocument/2006/relationships/hyperlink" Target="mailto:liuwenjia@jiuqi.com.cn" TargetMode="External"/><Relationship Id="rId13" Type="http://schemas.openxmlformats.org/officeDocument/2006/relationships/hyperlink" Target="http://www.cninfo.com.cn/" TargetMode="Externa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image" Target="media/image1.jpeg"/><Relationship Id="rId17" Type="http://schemas.openxmlformats.org/officeDocument/2006/relationships/footer" Target="footer4.xml"/><Relationship Id="rId18" Type="http://schemas.openxmlformats.org/officeDocument/2006/relationships/hyperlink" Target="http://static.cninfo.com.cn/finalpage/201" TargetMode="External"/><Relationship Id="rId19" Type="http://schemas.openxmlformats.org/officeDocument/2006/relationships/header" Target="header3.xml"/><Relationship Id="rId20" Type="http://schemas.openxmlformats.org/officeDocument/2006/relationships/footer" Target="footer5.xml"/><Relationship Id="rId21" Type="http://schemas.openxmlformats.org/officeDocument/2006/relationships/header" Target="header4.xml"/><Relationship Id="rId22" Type="http://schemas.openxmlformats.org/officeDocument/2006/relationships/footer" Target="footer6.xml"/><Relationship Id="rId23" Type="http://schemas.openxmlformats.org/officeDocument/2006/relationships/image" Target="media/image3.jpeg"/><Relationship Id="rId24" Type="http://schemas.openxmlformats.org/officeDocument/2006/relationships/header" Target="header5.xml"/><Relationship Id="rId25" Type="http://schemas.openxmlformats.org/officeDocument/2006/relationships/footer" Target="footer7.xml"/><Relationship Id="rId26" Type="http://schemas.openxmlformats.org/officeDocument/2006/relationships/header" Target="header6.xml"/><Relationship Id="rId27" Type="http://schemas.openxmlformats.org/officeDocument/2006/relationships/footer" Target="footer8.xml"/><Relationship Id="rId28" Type="http://schemas.openxmlformats.org/officeDocument/2006/relationships/header" Target="header7.xml"/><Relationship Id="rId29" Type="http://schemas.openxmlformats.org/officeDocument/2006/relationships/footer" Target="footer9.xml"/><Relationship Id="rId30" Type="http://schemas.openxmlformats.org/officeDocument/2006/relationships/header" Target="header8.xml"/><Relationship Id="rId31" Type="http://schemas.openxmlformats.org/officeDocument/2006/relationships/footer" Target="footer10.xml"/><Relationship Id="rId32" Type="http://schemas.openxmlformats.org/officeDocument/2006/relationships/header" Target="header9.xml"/><Relationship Id="rId33" Type="http://schemas.openxmlformats.org/officeDocument/2006/relationships/footer" Target="footer11.xml"/><Relationship Id="rId34" Type="http://schemas.openxmlformats.org/officeDocument/2006/relationships/header" Target="header10.xml"/><Relationship Id="rId35" Type="http://schemas.openxmlformats.org/officeDocument/2006/relationships/footer" Target="footer1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北京久其软件股份有限公司</dc:creator>
  <dc:title>北京久其软件股份有限公司2018年年度报告全文</dc:title>
  <dcterms:created xsi:type="dcterms:W3CDTF">2020-05-05T04:51:25Z</dcterms:created>
  <dcterms:modified xsi:type="dcterms:W3CDTF">2020-05-05T04:51:25Z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2019-04-29T00:00:00Z</vt:filetime>
  </property>
  <property fmtid="{D5CDD505-2E9C-101B-9397-08002B2CF9AE}" pid="3" name="Creator">
    <vt:lpwstr>Microsoft® Office Word 2007</vt:lpwstr>
  </property>
  <property fmtid="{D5CDD505-2E9C-101B-9397-08002B2CF9AE}" pid="4" name="LastSaved">
    <vt:filetime>2020-05-04T00:00:00Z</vt:filetime>
  </property>
</Properties>
</file>